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A9" w:rsidRDefault="009F7AA9" w:rsidP="009F7AA9">
      <w:pPr>
        <w:widowControl/>
        <w:shd w:val="clear" w:color="auto" w:fill="FDFEFD"/>
        <w:spacing w:line="270" w:lineRule="atLeast"/>
        <w:jc w:val="center"/>
        <w:rPr>
          <w:rFonts w:ascii="宋体" w:hAnsi="宋体" w:cs="宋体" w:hint="eastAsia"/>
          <w:b/>
          <w:color w:val="666666"/>
          <w:kern w:val="0"/>
          <w:sz w:val="44"/>
          <w:szCs w:val="44"/>
        </w:rPr>
      </w:pPr>
      <w:r w:rsidRPr="009F7AA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盘锦市政府法制办公室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jc w:val="center"/>
        <w:rPr>
          <w:rFonts w:ascii="宋体" w:cs="宋体"/>
          <w:b/>
          <w:color w:val="666666"/>
          <w:kern w:val="0"/>
          <w:sz w:val="44"/>
          <w:szCs w:val="44"/>
        </w:rPr>
      </w:pPr>
      <w:r w:rsidRPr="009F7AA9">
        <w:rPr>
          <w:rFonts w:ascii="宋体" w:hAnsi="宋体" w:cs="宋体"/>
          <w:b/>
          <w:color w:val="666666"/>
          <w:kern w:val="0"/>
          <w:sz w:val="44"/>
          <w:szCs w:val="44"/>
        </w:rPr>
        <w:t>2017</w:t>
      </w:r>
      <w:r w:rsidRPr="009F7AA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年部门预算</w:t>
      </w:r>
      <w:r w:rsidR="009F7AA9" w:rsidRPr="009F7AA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公开</w:t>
      </w:r>
      <w:r w:rsidRPr="009F7AA9">
        <w:rPr>
          <w:rFonts w:ascii="宋体" w:hAnsi="宋体" w:cs="宋体" w:hint="eastAsia"/>
          <w:b/>
          <w:color w:val="666666"/>
          <w:kern w:val="0"/>
          <w:sz w:val="44"/>
          <w:szCs w:val="44"/>
        </w:rPr>
        <w:t>说明</w:t>
      </w:r>
    </w:p>
    <w:p w:rsidR="00BA247D" w:rsidRDefault="00BA247D" w:rsidP="00CA5EEA">
      <w:pPr>
        <w:widowControl/>
        <w:shd w:val="clear" w:color="auto" w:fill="FDFEFD"/>
        <w:spacing w:line="270" w:lineRule="atLeast"/>
        <w:jc w:val="left"/>
        <w:rPr>
          <w:rStyle w:val="a3"/>
          <w:rFonts w:ascii="黑体" w:eastAsia="黑体" w:hAnsi="黑体" w:cs="黑体"/>
          <w:b w:val="0"/>
          <w:bCs w:val="0"/>
          <w:color w:val="000000"/>
          <w:spacing w:val="6"/>
          <w:sz w:val="32"/>
          <w:szCs w:val="32"/>
        </w:rPr>
      </w:pPr>
    </w:p>
    <w:p w:rsid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一、市法制办公室主要职责及部门预算单位构成：</w:t>
      </w:r>
      <w:r>
        <w:rPr>
          <w:rFonts w:ascii="黑体" w:eastAsia="黑体" w:hAnsi="黑体"/>
          <w:b/>
          <w:bCs/>
          <w:color w:val="000000"/>
          <w:spacing w:val="6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 xml:space="preserve">　　（一）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部门主要职责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1.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调查研究依法行政和政府法制建设中出现的新情况、新问题，提出推进依法行政和政府法制建设的建议，负责全市依法行政的综合协调、督促指导、监督检查和考评，协助市长办理法制工作事项，承担市全面推进依法行政工作领导小组日常工作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2.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承担统筹规划市政府立法工作的责任，拟订市政府立法工作规划和年度计划，报市政府批准后组织实施并督促指导。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3.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承担审查报送市政府的地方性法规、市政府规章草案的责任，负责起草或组织起草重要的地方性法规、市政府规章草案和地方性法规应用解释、市政府规章解释工作，研究提出市政府贯彻实施国家法律、法规的方案或意见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 xml:space="preserve"> 4.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依法开展行政执法监督检查，负责规范行政执法程序、行政执法行为和行政裁量权，审核确认市直部门行政执法主体和行政执法人员资格，协调各县区政府、经济区管委会、市直部门间在法律、法规和规章实施中的有关执法争议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lastRenderedPageBreak/>
        <w:t>5.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组织市政府规章实施后的评估工作，负责市政府、市政府办公室发布的规范性文件的合法性审查，负责县区政府、经济区管委会规范性文件和市直部门制定的规范性文件的备案审查，负责市政府规章报送备案和市政府规章及规范性文件的清理工作，编辑市政府规章汇编正式版本，组织翻译、审定市政府规章的外文文本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6.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承办向市政府申请的行政复议案件，指导、监督全市行政复议、行政应诉和行政赔偿工作，研究行政应诉、行政赔偿等法律、法规、规章实施及行政执法中带有普遍性的问题，向市政府提出完善制度和解决问题的意见，拟订有关配套的规章、文件和答复意见。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7.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负责市政府法律顾问工作，对市政府重大决策提出意见，对市政府做出的重大行政决策进行合法性审查，代理市政府行政诉讼和以市政府作为民事主体的相关法律事务，负责市政府法律事务咨询等工作，联系、协调仲裁机构。</w:t>
      </w:r>
    </w:p>
    <w:p w:rsidR="00BA247D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8.</w:t>
      </w:r>
      <w:r w:rsidR="00BA247D">
        <w:rPr>
          <w:rFonts w:ascii="仿宋" w:eastAsia="仿宋" w:hAnsi="仿宋" w:hint="eastAsia"/>
          <w:color w:val="000000"/>
          <w:spacing w:val="6"/>
          <w:sz w:val="32"/>
          <w:szCs w:val="32"/>
        </w:rPr>
        <w:t>组织开展依法行政、政府法制理论研究和宣传工作，协助落实市政府领导干部学法制度，组织开展依法行政业务培训工作，负责政府法制工作信息综合和对外业务交流。</w:t>
      </w:r>
    </w:p>
    <w:p w:rsidR="009F7AA9" w:rsidRDefault="009F7AA9" w:rsidP="00CA5EEA">
      <w:pPr>
        <w:widowControl/>
        <w:shd w:val="clear" w:color="auto" w:fill="FDFEFD"/>
        <w:spacing w:line="270" w:lineRule="atLeast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/>
          <w:color w:val="000000"/>
          <w:spacing w:val="6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 xml:space="preserve">    </w:t>
      </w:r>
      <w:r w:rsidR="00BA247D">
        <w:rPr>
          <w:rFonts w:ascii="仿宋" w:eastAsia="仿宋" w:hAnsi="仿宋"/>
          <w:color w:val="000000"/>
          <w:spacing w:val="6"/>
          <w:sz w:val="32"/>
          <w:szCs w:val="32"/>
        </w:rPr>
        <w:t>(</w:t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二</w:t>
      </w:r>
      <w:r w:rsidR="00BA247D">
        <w:rPr>
          <w:rFonts w:ascii="仿宋" w:eastAsia="仿宋" w:hAnsi="仿宋"/>
          <w:color w:val="000000"/>
          <w:spacing w:val="6"/>
          <w:sz w:val="32"/>
          <w:szCs w:val="32"/>
        </w:rPr>
        <w:t>)</w:t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部门预算单位构成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b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lastRenderedPageBreak/>
        <w:t>市政府法制办为独立县处级行政单位，财务为一级帐户、下设盘锦仲裁委员会为二级帐户。</w:t>
      </w:r>
      <w:r>
        <w:rPr>
          <w:rFonts w:ascii="仿宋" w:eastAsia="仿宋" w:hAnsi="仿宋"/>
          <w:color w:val="000000"/>
          <w:spacing w:val="6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 xml:space="preserve">　　</w:t>
      </w:r>
      <w:r w:rsidRPr="009F7AA9"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二、</w:t>
      </w:r>
      <w:r w:rsidRPr="009F7AA9">
        <w:rPr>
          <w:rFonts w:ascii="仿宋" w:eastAsia="仿宋" w:hAnsi="仿宋"/>
          <w:b/>
          <w:color w:val="000000"/>
          <w:spacing w:val="6"/>
          <w:sz w:val="32"/>
          <w:szCs w:val="32"/>
        </w:rPr>
        <w:t>2017</w:t>
      </w:r>
      <w:r w:rsidRPr="009F7AA9"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年预算收支情况：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（一）收入支出决预算总体情况</w:t>
      </w:r>
    </w:p>
    <w:p w:rsidR="00BA247D" w:rsidRPr="009F7AA9" w:rsidRDefault="00BA247D" w:rsidP="009F7AA9">
      <w:pPr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收入总计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323.91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万元，包括：一般行政收入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226.77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、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法制建设收入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91.9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、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离退休收入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5.24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（二）支出总计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323.91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万元，包括：一般行政支出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226.77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、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法制建设支出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91.9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、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离退休支出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5.24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197" w:firstLine="657"/>
        <w:jc w:val="left"/>
        <w:rPr>
          <w:rFonts w:ascii="仿宋" w:eastAsia="仿宋" w:hAnsi="仿宋"/>
          <w:b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三、公共预算财政拨款“三公”经费预算情况</w:t>
      </w:r>
    </w:p>
    <w:p w:rsidR="009F7AA9" w:rsidRDefault="009F7AA9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6"/>
          <w:sz w:val="32"/>
          <w:szCs w:val="32"/>
        </w:rPr>
        <w:t>2017年“三公”经费与2016年持平。其中：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公务接待费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1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万元，</w:t>
      </w:r>
      <w:r w:rsidR="009F7AA9"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主要用于省级业务指导部门检查指导接待等。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公务用车购置及运行维护费</w:t>
      </w: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8.3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万元</w:t>
      </w:r>
      <w:r w:rsid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。</w:t>
      </w:r>
      <w:r w:rsidR="009F7AA9"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主要用于车辆维修及购汽油。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。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197" w:firstLine="657"/>
        <w:jc w:val="left"/>
        <w:rPr>
          <w:rFonts w:ascii="仿宋" w:eastAsia="仿宋" w:hAnsi="仿宋"/>
          <w:b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四、其它需要公开的内容</w:t>
      </w:r>
    </w:p>
    <w:p w:rsidR="00BA247D" w:rsidRPr="009F7AA9" w:rsidRDefault="00BA247D" w:rsidP="009F7AA9">
      <w:pPr>
        <w:widowControl/>
        <w:shd w:val="clear" w:color="auto" w:fill="FDFEFD"/>
        <w:spacing w:line="270" w:lineRule="atLeast"/>
        <w:ind w:firstLineChars="200" w:firstLine="664"/>
        <w:jc w:val="left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9F7AA9">
        <w:rPr>
          <w:rFonts w:ascii="仿宋" w:eastAsia="仿宋" w:hAnsi="仿宋"/>
          <w:color w:val="000000"/>
          <w:spacing w:val="6"/>
          <w:sz w:val="32"/>
          <w:szCs w:val="32"/>
        </w:rPr>
        <w:t>1</w:t>
      </w:r>
      <w:r w:rsidRPr="009F7AA9">
        <w:rPr>
          <w:rFonts w:ascii="仿宋" w:eastAsia="仿宋" w:hAnsi="仿宋" w:hint="eastAsia"/>
          <w:color w:val="000000"/>
          <w:spacing w:val="6"/>
          <w:sz w:val="32"/>
          <w:szCs w:val="32"/>
        </w:rPr>
        <w:t>、市法制办运行预算说明</w:t>
      </w:r>
    </w:p>
    <w:tbl>
      <w:tblPr>
        <w:tblpPr w:leftFromText="180" w:rightFromText="180" w:vertAnchor="text" w:horzAnchor="margin" w:tblpY="158"/>
        <w:tblW w:w="8180" w:type="dxa"/>
        <w:tblLook w:val="0000"/>
      </w:tblPr>
      <w:tblGrid>
        <w:gridCol w:w="436"/>
        <w:gridCol w:w="148"/>
        <w:gridCol w:w="1904"/>
        <w:gridCol w:w="1740"/>
        <w:gridCol w:w="1420"/>
        <w:gridCol w:w="1420"/>
        <w:gridCol w:w="1260"/>
      </w:tblGrid>
      <w:tr w:rsidR="00BA247D" w:rsidRPr="00E73408" w:rsidTr="00E73408">
        <w:trPr>
          <w:trHeight w:val="293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项</w:t>
            </w: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 xml:space="preserve">    </w:t>
            </w: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目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本年支出合计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人员经费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公用经费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项目经费</w:t>
            </w:r>
          </w:p>
        </w:tc>
      </w:tr>
      <w:tr w:rsidR="00BA247D" w:rsidRPr="00E73408" w:rsidTr="00E73408">
        <w:trPr>
          <w:trHeight w:val="312"/>
        </w:trPr>
        <w:tc>
          <w:tcPr>
            <w:tcW w:w="436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</w:tr>
      <w:tr w:rsidR="00BA247D" w:rsidRPr="00E73408" w:rsidTr="00E73408">
        <w:trPr>
          <w:trHeight w:val="312"/>
        </w:trPr>
        <w:tc>
          <w:tcPr>
            <w:tcW w:w="4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</w:tr>
      <w:tr w:rsidR="00BA247D" w:rsidRPr="00E73408" w:rsidTr="00E73408">
        <w:trPr>
          <w:trHeight w:val="312"/>
        </w:trPr>
        <w:tc>
          <w:tcPr>
            <w:tcW w:w="436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</w:p>
        </w:tc>
      </w:tr>
      <w:tr w:rsidR="00BA247D" w:rsidRPr="00E73408" w:rsidTr="00E73408">
        <w:trPr>
          <w:trHeight w:val="293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栏</w:t>
            </w: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 xml:space="preserve">    </w:t>
            </w: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3</w:t>
            </w:r>
          </w:p>
        </w:tc>
      </w:tr>
      <w:tr w:rsidR="00BA247D" w:rsidRPr="00E73408" w:rsidTr="00E73408">
        <w:trPr>
          <w:trHeight w:val="293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BA247D" w:rsidRPr="00E73408" w:rsidRDefault="00BA247D" w:rsidP="00E73408">
            <w:pPr>
              <w:widowControl/>
              <w:jc w:val="center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合</w:t>
            </w: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 xml:space="preserve">    </w:t>
            </w: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  <w:t>323.91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b/>
                <w:bCs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  <w:t>190.20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b/>
                <w:bCs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  <w:t>41.81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b/>
                <w:bCs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  <w:t>91.90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基本工资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105.70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105.70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津贴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73.60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73.60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其他工资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奖金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8.50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办公费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印刷费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邮电费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差旅费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培训费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福利费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招待费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交通费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3.00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其他费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采暖补助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5.24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5.24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一般购置费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其他交通费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21.47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21.47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47D" w:rsidRPr="00E73408" w:rsidTr="00E73408">
        <w:trPr>
          <w:trHeight w:val="293"/>
        </w:trPr>
        <w:tc>
          <w:tcPr>
            <w:tcW w:w="2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lef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>法制建设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</w:rPr>
              <w:t>91.90</w:t>
            </w: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47D" w:rsidRPr="00E73408" w:rsidRDefault="00BA247D" w:rsidP="00E73408">
            <w:pPr>
              <w:widowControl/>
              <w:jc w:val="right"/>
              <w:rPr>
                <w:rFonts w:ascii="宋体" w:cs="Arial"/>
                <w:color w:val="000000"/>
                <w:kern w:val="0"/>
                <w:sz w:val="22"/>
              </w:rPr>
            </w:pPr>
            <w:r w:rsidRPr="00E73408">
              <w:rPr>
                <w:rFonts w:ascii="宋体" w:hAnsi="宋体" w:cs="Arial"/>
                <w:color w:val="000000"/>
                <w:kern w:val="0"/>
                <w:sz w:val="22"/>
              </w:rPr>
              <w:t>91.90</w:t>
            </w:r>
          </w:p>
        </w:tc>
      </w:tr>
    </w:tbl>
    <w:p w:rsidR="00BA247D" w:rsidRDefault="00BA247D" w:rsidP="009F7A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、市法制办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年需政府采购项目：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）法规资料费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）印刷费</w:t>
      </w:r>
      <w:r>
        <w:rPr>
          <w:rFonts w:ascii="仿宋" w:eastAsia="仿宋" w:hAnsi="仿宋"/>
          <w:sz w:val="32"/>
          <w:szCs w:val="32"/>
        </w:rPr>
        <w:t>2.4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Default="00BA247D" w:rsidP="009F7AA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、市法制办国有资产占有使用总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30F91">
        <w:rPr>
          <w:rFonts w:ascii="仿宋" w:eastAsia="仿宋" w:hAnsi="仿宋" w:hint="eastAsia"/>
          <w:sz w:val="32"/>
          <w:szCs w:val="32"/>
        </w:rPr>
        <w:t>电气设备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2.66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Pr="00930F91" w:rsidRDefault="00BA247D" w:rsidP="009F7AA9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其中：空调</w:t>
      </w:r>
      <w:r>
        <w:rPr>
          <w:rFonts w:ascii="仿宋" w:eastAsia="仿宋" w:hAnsi="仿宋"/>
          <w:sz w:val="32"/>
          <w:szCs w:val="32"/>
        </w:rPr>
        <w:t>:8</w:t>
      </w:r>
      <w:r>
        <w:rPr>
          <w:rFonts w:ascii="仿宋" w:eastAsia="仿宋" w:hAnsi="仿宋" w:hint="eastAsia"/>
          <w:sz w:val="32"/>
          <w:szCs w:val="32"/>
        </w:rPr>
        <w:t>台、饮水机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30F91">
        <w:rPr>
          <w:rFonts w:ascii="仿宋" w:eastAsia="仿宋" w:hAnsi="仿宋" w:hint="eastAsia"/>
          <w:sz w:val="32"/>
          <w:szCs w:val="32"/>
        </w:rPr>
        <w:t>电子产品及通信设备</w:t>
      </w:r>
      <w:r>
        <w:rPr>
          <w:rFonts w:ascii="仿宋" w:eastAsia="仿宋" w:hAnsi="仿宋"/>
          <w:sz w:val="32"/>
          <w:szCs w:val="32"/>
        </w:rPr>
        <w:t>47.54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Default="00BA247D" w:rsidP="009F7AA9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其中：计算机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台、传真机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台、复印机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台、摄像机：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台、扫描仪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台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30F91">
        <w:rPr>
          <w:rFonts w:ascii="仿宋" w:eastAsia="仿宋" w:hAnsi="仿宋" w:hint="eastAsia"/>
          <w:sz w:val="32"/>
          <w:szCs w:val="32"/>
        </w:rPr>
        <w:t>家具用具及其他类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14.89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Default="00BA247D" w:rsidP="009F7AA9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其中：桌椅</w:t>
      </w:r>
      <w:r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套、会议桌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套、沙发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个、卷柜</w:t>
      </w:r>
      <w:r>
        <w:rPr>
          <w:rFonts w:ascii="仿宋" w:eastAsia="仿宋" w:hAnsi="仿宋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个</w:t>
      </w:r>
    </w:p>
    <w:p w:rsidR="00BA247D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30F91">
        <w:rPr>
          <w:rFonts w:ascii="仿宋" w:eastAsia="仿宋" w:hAnsi="仿宋" w:hint="eastAsia"/>
          <w:sz w:val="32"/>
          <w:szCs w:val="32"/>
        </w:rPr>
        <w:t>交通运输设备</w:t>
      </w:r>
      <w:r>
        <w:rPr>
          <w:rFonts w:ascii="仿宋" w:eastAsia="仿宋" w:hAnsi="仿宋" w:hint="eastAsia"/>
          <w:sz w:val="32"/>
          <w:szCs w:val="32"/>
        </w:rPr>
        <w:t>：</w:t>
      </w:r>
      <w:r w:rsidR="009F7AA9">
        <w:rPr>
          <w:rFonts w:ascii="仿宋" w:eastAsia="仿宋" w:hAnsi="仿宋" w:hint="eastAsia"/>
          <w:sz w:val="32"/>
          <w:szCs w:val="32"/>
        </w:rPr>
        <w:t>中华轿车</w:t>
      </w:r>
      <w:r w:rsidR="009F7AA9">
        <w:rPr>
          <w:rFonts w:ascii="仿宋" w:eastAsia="仿宋" w:hAnsi="仿宋"/>
          <w:sz w:val="32"/>
          <w:szCs w:val="32"/>
        </w:rPr>
        <w:t>1</w:t>
      </w:r>
      <w:r w:rsidR="009F7AA9">
        <w:rPr>
          <w:rFonts w:ascii="仿宋" w:eastAsia="仿宋" w:hAnsi="仿宋" w:hint="eastAsia"/>
          <w:sz w:val="32"/>
          <w:szCs w:val="32"/>
        </w:rPr>
        <w:t>台，价值</w:t>
      </w:r>
      <w:r>
        <w:rPr>
          <w:rFonts w:ascii="仿宋" w:eastAsia="仿宋" w:hAnsi="仿宋"/>
          <w:sz w:val="32"/>
          <w:szCs w:val="32"/>
        </w:rPr>
        <w:t>10.85</w:t>
      </w:r>
      <w:r>
        <w:rPr>
          <w:rFonts w:ascii="仿宋" w:eastAsia="仿宋" w:hAnsi="仿宋" w:hint="eastAsia"/>
          <w:sz w:val="32"/>
          <w:szCs w:val="32"/>
        </w:rPr>
        <w:t>万元</w:t>
      </w:r>
    </w:p>
    <w:p w:rsidR="00BA247D" w:rsidRPr="00930F91" w:rsidRDefault="00BA247D" w:rsidP="009F7AA9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30F91">
        <w:rPr>
          <w:rFonts w:ascii="仿宋" w:eastAsia="仿宋" w:hAnsi="仿宋" w:hint="eastAsia"/>
          <w:sz w:val="32"/>
          <w:szCs w:val="32"/>
        </w:rPr>
        <w:t>专用设备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0.84</w:t>
      </w:r>
      <w:r>
        <w:rPr>
          <w:rFonts w:ascii="仿宋" w:eastAsia="仿宋" w:hAnsi="仿宋" w:hint="eastAsia"/>
          <w:sz w:val="32"/>
          <w:szCs w:val="32"/>
        </w:rPr>
        <w:t>万元</w:t>
      </w:r>
      <w:r w:rsidR="009F7AA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其中：电冰箱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台、保险柜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台</w:t>
      </w:r>
    </w:p>
    <w:p w:rsidR="00BA247D" w:rsidRDefault="009F7AA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9F7AA9">
        <w:rPr>
          <w:rFonts w:ascii="仿宋" w:eastAsia="仿宋" w:hAnsi="仿宋" w:hint="eastAsia"/>
          <w:sz w:val="32"/>
          <w:szCs w:val="32"/>
        </w:rPr>
        <w:t>盘锦市政府法制办公室</w:t>
      </w:r>
      <w:r>
        <w:rPr>
          <w:rFonts w:ascii="仿宋" w:eastAsia="仿宋" w:hAnsi="仿宋" w:hint="eastAsia"/>
          <w:sz w:val="32"/>
          <w:szCs w:val="32"/>
        </w:rPr>
        <w:t>2017年部门预算公开表</w:t>
      </w:r>
    </w:p>
    <w:p w:rsidR="00BA247D" w:rsidRDefault="00BA247D">
      <w:pPr>
        <w:rPr>
          <w:rFonts w:ascii="仿宋" w:eastAsia="仿宋" w:hAnsi="仿宋"/>
          <w:sz w:val="32"/>
          <w:szCs w:val="32"/>
        </w:rPr>
      </w:pPr>
    </w:p>
    <w:p w:rsidR="00BA247D" w:rsidRPr="00930F91" w:rsidRDefault="00BA24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</w:p>
    <w:p w:rsidR="00BA247D" w:rsidRPr="00BB4F52" w:rsidRDefault="00BA247D">
      <w:pPr>
        <w:rPr>
          <w:rFonts w:ascii="仿宋" w:eastAsia="仿宋" w:hAnsi="仿宋"/>
          <w:sz w:val="32"/>
          <w:szCs w:val="32"/>
        </w:rPr>
      </w:pPr>
    </w:p>
    <w:sectPr w:rsidR="00BA247D" w:rsidRPr="00BB4F52" w:rsidSect="0024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09" w:rsidRDefault="007B0309" w:rsidP="00BB4F52">
      <w:r>
        <w:separator/>
      </w:r>
    </w:p>
  </w:endnote>
  <w:endnote w:type="continuationSeparator" w:id="0">
    <w:p w:rsidR="007B0309" w:rsidRDefault="007B0309" w:rsidP="00BB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09" w:rsidRDefault="007B0309" w:rsidP="00BB4F52">
      <w:r>
        <w:separator/>
      </w:r>
    </w:p>
  </w:footnote>
  <w:footnote w:type="continuationSeparator" w:id="0">
    <w:p w:rsidR="007B0309" w:rsidRDefault="007B0309" w:rsidP="00BB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986"/>
    <w:multiLevelType w:val="hybridMultilevel"/>
    <w:tmpl w:val="7A56AC44"/>
    <w:lvl w:ilvl="0" w:tplc="15ACC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551A6B"/>
    <w:multiLevelType w:val="hybridMultilevel"/>
    <w:tmpl w:val="CAAA54CE"/>
    <w:lvl w:ilvl="0" w:tplc="0EBEE00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EEA"/>
    <w:rsid w:val="000B274C"/>
    <w:rsid w:val="000D5DA0"/>
    <w:rsid w:val="000F6D69"/>
    <w:rsid w:val="001274B3"/>
    <w:rsid w:val="00160DCB"/>
    <w:rsid w:val="002432CE"/>
    <w:rsid w:val="00260B6B"/>
    <w:rsid w:val="002B778B"/>
    <w:rsid w:val="002E3355"/>
    <w:rsid w:val="002F55E0"/>
    <w:rsid w:val="003E2818"/>
    <w:rsid w:val="00404863"/>
    <w:rsid w:val="00501617"/>
    <w:rsid w:val="006E49A4"/>
    <w:rsid w:val="0072772C"/>
    <w:rsid w:val="007B0309"/>
    <w:rsid w:val="008F50F5"/>
    <w:rsid w:val="00930F91"/>
    <w:rsid w:val="009B4C60"/>
    <w:rsid w:val="009F7AA9"/>
    <w:rsid w:val="00A61E20"/>
    <w:rsid w:val="00AF2BBC"/>
    <w:rsid w:val="00B52739"/>
    <w:rsid w:val="00BA247D"/>
    <w:rsid w:val="00BB4F52"/>
    <w:rsid w:val="00BF3AF0"/>
    <w:rsid w:val="00CA5EEA"/>
    <w:rsid w:val="00CC4856"/>
    <w:rsid w:val="00DF2C04"/>
    <w:rsid w:val="00E3754C"/>
    <w:rsid w:val="00E6601F"/>
    <w:rsid w:val="00E67F35"/>
    <w:rsid w:val="00E727E3"/>
    <w:rsid w:val="00E73408"/>
    <w:rsid w:val="00E82A4E"/>
    <w:rsid w:val="00F17A53"/>
    <w:rsid w:val="00F6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A5EE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404863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BB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B4F52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B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B4F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XJB</cp:lastModifiedBy>
  <cp:revision>11</cp:revision>
  <dcterms:created xsi:type="dcterms:W3CDTF">2017-02-06T02:57:00Z</dcterms:created>
  <dcterms:modified xsi:type="dcterms:W3CDTF">2017-02-19T20:28:00Z</dcterms:modified>
</cp:coreProperties>
</file>