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A4462D">
      <w:pPr>
        <w:jc w:val="center"/>
        <w:rPr>
          <w:rFonts w:asciiTheme="majorEastAsia" w:hAnsiTheme="majorEastAsia" w:eastAsia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sz w:val="44"/>
          <w:szCs w:val="44"/>
        </w:rPr>
        <w:t>市本级</w:t>
      </w:r>
      <w:bookmarkStart w:id="0" w:name="_GoBack"/>
      <w:bookmarkEnd w:id="0"/>
      <w:r>
        <w:rPr>
          <w:rFonts w:hint="eastAsia" w:asciiTheme="majorEastAsia" w:hAnsiTheme="majorEastAsia" w:eastAsiaTheme="majorEastAsia"/>
          <w:b/>
          <w:sz w:val="44"/>
          <w:szCs w:val="44"/>
        </w:rPr>
        <w:t>2</w:t>
      </w:r>
      <w:r>
        <w:rPr>
          <w:rFonts w:asciiTheme="majorEastAsia" w:hAnsiTheme="majorEastAsia" w:eastAsiaTheme="majorEastAsia"/>
          <w:b/>
          <w:sz w:val="44"/>
          <w:szCs w:val="44"/>
        </w:rPr>
        <w:t>017</w:t>
      </w:r>
      <w:r>
        <w:rPr>
          <w:rFonts w:hint="eastAsia" w:asciiTheme="majorEastAsia" w:hAnsiTheme="majorEastAsia" w:eastAsiaTheme="majorEastAsia"/>
          <w:b/>
          <w:sz w:val="44"/>
          <w:szCs w:val="44"/>
        </w:rPr>
        <w:t>年度部门决算公开情况</w:t>
      </w:r>
    </w:p>
    <w:p w14:paraId="67287A4F">
      <w:pPr>
        <w:jc w:val="center"/>
        <w:rPr>
          <w:rFonts w:asciiTheme="majorEastAsia" w:hAnsiTheme="majorEastAsia" w:eastAsia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sz w:val="44"/>
          <w:szCs w:val="44"/>
        </w:rPr>
        <w:t>汇总说明</w:t>
      </w:r>
    </w:p>
    <w:p w14:paraId="5729EC7A">
      <w:pPr>
        <w:rPr>
          <w:rFonts w:asciiTheme="majorEastAsia" w:hAnsiTheme="majorEastAsia" w:eastAsiaTheme="majorEastAsia"/>
          <w:sz w:val="44"/>
          <w:szCs w:val="44"/>
        </w:rPr>
      </w:pPr>
    </w:p>
    <w:p w14:paraId="0B32416A">
      <w:pPr>
        <w:tabs>
          <w:tab w:val="left" w:pos="2370"/>
        </w:tabs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盘锦市财政局</w:t>
      </w:r>
    </w:p>
    <w:p w14:paraId="5C18F8B4">
      <w:pPr>
        <w:tabs>
          <w:tab w:val="left" w:pos="2370"/>
        </w:tabs>
        <w:jc w:val="center"/>
        <w:rPr>
          <w:rFonts w:ascii="楷体" w:hAnsi="楷体" w:eastAsia="楷体"/>
          <w:sz w:val="32"/>
          <w:szCs w:val="32"/>
        </w:rPr>
      </w:pPr>
      <w:r>
        <w:rPr>
          <w:rFonts w:ascii="楷体" w:hAnsi="楷体" w:eastAsia="楷体"/>
          <w:sz w:val="32"/>
          <w:szCs w:val="32"/>
        </w:rPr>
        <w:t>2018</w:t>
      </w:r>
      <w:r>
        <w:rPr>
          <w:rFonts w:hint="eastAsia" w:ascii="楷体" w:hAnsi="楷体" w:eastAsia="楷体"/>
          <w:sz w:val="32"/>
          <w:szCs w:val="32"/>
        </w:rPr>
        <w:t>年8月</w:t>
      </w:r>
      <w:r>
        <w:rPr>
          <w:rFonts w:ascii="楷体" w:hAnsi="楷体" w:eastAsia="楷体"/>
          <w:sz w:val="32"/>
          <w:szCs w:val="32"/>
        </w:rPr>
        <w:t>15</w:t>
      </w:r>
      <w:r>
        <w:rPr>
          <w:rFonts w:hint="eastAsia" w:ascii="楷体" w:hAnsi="楷体" w:eastAsia="楷体"/>
          <w:sz w:val="32"/>
          <w:szCs w:val="32"/>
        </w:rPr>
        <w:t>日</w:t>
      </w:r>
    </w:p>
    <w:p w14:paraId="0F528F26">
      <w:pPr>
        <w:tabs>
          <w:tab w:val="left" w:pos="2370"/>
        </w:tabs>
        <w:jc w:val="center"/>
        <w:rPr>
          <w:rFonts w:ascii="楷体" w:hAnsi="楷体" w:eastAsia="楷体"/>
          <w:sz w:val="32"/>
          <w:szCs w:val="32"/>
        </w:rPr>
      </w:pPr>
    </w:p>
    <w:p w14:paraId="3A48BDC9">
      <w:pPr>
        <w:tabs>
          <w:tab w:val="left" w:pos="2370"/>
        </w:tabs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ascii="仿宋" w:hAnsi="仿宋" w:eastAsia="仿宋"/>
          <w:sz w:val="32"/>
          <w:szCs w:val="32"/>
        </w:rPr>
        <w:t>018</w:t>
      </w:r>
      <w:r>
        <w:rPr>
          <w:rFonts w:hint="eastAsia" w:ascii="仿宋" w:hAnsi="仿宋" w:eastAsia="仿宋"/>
          <w:sz w:val="32"/>
          <w:szCs w:val="32"/>
        </w:rPr>
        <w:t>年盘锦市财政局指导和督促各部门及时、全面公开部门决算信息，提高决算透明度，现将部门决算公开情况汇总说明如下：</w:t>
      </w:r>
    </w:p>
    <w:p w14:paraId="38689098">
      <w:pPr>
        <w:pStyle w:val="6"/>
        <w:numPr>
          <w:ilvl w:val="0"/>
          <w:numId w:val="1"/>
        </w:numPr>
        <w:tabs>
          <w:tab w:val="left" w:pos="2370"/>
        </w:tabs>
        <w:ind w:firstLineChars="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公开时间及公开方式</w:t>
      </w:r>
    </w:p>
    <w:p w14:paraId="2414673F">
      <w:pPr>
        <w:tabs>
          <w:tab w:val="left" w:pos="2370"/>
        </w:tabs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根据</w:t>
      </w:r>
      <w:r>
        <w:rPr>
          <w:rFonts w:hint="eastAsia" w:ascii="仿宋" w:hAnsi="仿宋" w:eastAsia="仿宋"/>
          <w:sz w:val="32"/>
          <w:szCs w:val="32"/>
          <w:lang w:eastAsia="zh-CN"/>
        </w:rPr>
        <w:t>《中华人民共和国预算法》</w:t>
      </w:r>
      <w:r>
        <w:rPr>
          <w:rFonts w:hint="eastAsia" w:ascii="仿宋" w:hAnsi="仿宋" w:eastAsia="仿宋"/>
          <w:sz w:val="32"/>
          <w:szCs w:val="32"/>
        </w:rPr>
        <w:t>第一章第十四条规定，“经本级政府财政部门批复的部门预算、决算及报表，应当在批复后二十日内由各部门向社会公开”。盘锦市财政局于2</w:t>
      </w:r>
      <w:r>
        <w:rPr>
          <w:rFonts w:ascii="仿宋" w:hAnsi="仿宋" w:eastAsia="仿宋"/>
          <w:sz w:val="32"/>
          <w:szCs w:val="32"/>
        </w:rPr>
        <w:t>018</w:t>
      </w:r>
      <w:r>
        <w:rPr>
          <w:rFonts w:hint="eastAsia" w:ascii="仿宋" w:hAnsi="仿宋" w:eastAsia="仿宋"/>
          <w:sz w:val="32"/>
          <w:szCs w:val="32"/>
        </w:rPr>
        <w:t>年8月9日向市本级一级预算部门批复部门决算，并于2</w:t>
      </w:r>
      <w:r>
        <w:rPr>
          <w:rFonts w:ascii="仿宋" w:hAnsi="仿宋" w:eastAsia="仿宋"/>
          <w:sz w:val="32"/>
          <w:szCs w:val="32"/>
        </w:rPr>
        <w:t>018</w:t>
      </w:r>
      <w:r>
        <w:rPr>
          <w:rFonts w:hint="eastAsia" w:ascii="仿宋" w:hAnsi="仿宋" w:eastAsia="仿宋"/>
          <w:sz w:val="32"/>
          <w:szCs w:val="32"/>
        </w:rPr>
        <w:t>年8月2</w:t>
      </w:r>
      <w:r>
        <w:rPr>
          <w:rFonts w:ascii="仿宋" w:hAnsi="仿宋" w:eastAsia="仿宋"/>
          <w:sz w:val="32"/>
          <w:szCs w:val="32"/>
        </w:rPr>
        <w:t>3</w:t>
      </w:r>
      <w:r>
        <w:rPr>
          <w:rFonts w:hint="eastAsia" w:ascii="仿宋" w:hAnsi="仿宋" w:eastAsia="仿宋"/>
          <w:sz w:val="32"/>
          <w:szCs w:val="32"/>
        </w:rPr>
        <w:t>日在市财政局门户网站“重点领域政府信息公开—财政预决算信息公开—部门决算”专栏统一集中公开全市各部门决算信息。</w:t>
      </w:r>
    </w:p>
    <w:p w14:paraId="029BAF41">
      <w:pPr>
        <w:pStyle w:val="6"/>
        <w:numPr>
          <w:ilvl w:val="0"/>
          <w:numId w:val="1"/>
        </w:numPr>
        <w:tabs>
          <w:tab w:val="left" w:pos="2370"/>
        </w:tabs>
        <w:ind w:firstLineChars="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公开数量</w:t>
      </w:r>
    </w:p>
    <w:p w14:paraId="61F0E1E0">
      <w:pPr>
        <w:tabs>
          <w:tab w:val="left" w:pos="705"/>
        </w:tabs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ab/>
      </w:r>
      <w:r>
        <w:rPr>
          <w:rFonts w:ascii="仿宋" w:hAnsi="仿宋" w:eastAsia="仿宋"/>
          <w:sz w:val="32"/>
          <w:szCs w:val="32"/>
        </w:rPr>
        <w:t>2017</w:t>
      </w:r>
      <w:r>
        <w:rPr>
          <w:rFonts w:hint="eastAsia" w:ascii="仿宋" w:hAnsi="仿宋" w:eastAsia="仿宋"/>
          <w:sz w:val="32"/>
          <w:szCs w:val="32"/>
        </w:rPr>
        <w:t>年度，全市共有8</w:t>
      </w:r>
      <w:r>
        <w:rPr>
          <w:rFonts w:ascii="仿宋" w:hAnsi="仿宋" w:eastAsia="仿宋"/>
          <w:sz w:val="32"/>
          <w:szCs w:val="32"/>
        </w:rPr>
        <w:t>0</w:t>
      </w:r>
      <w:r>
        <w:rPr>
          <w:rFonts w:hint="eastAsia" w:ascii="仿宋" w:hAnsi="仿宋" w:eastAsia="仿宋"/>
          <w:sz w:val="32"/>
          <w:szCs w:val="32"/>
        </w:rPr>
        <w:t>个一级预算部门公开部门决算情况，较2</w:t>
      </w:r>
      <w:r>
        <w:rPr>
          <w:rFonts w:ascii="仿宋" w:hAnsi="仿宋" w:eastAsia="仿宋"/>
          <w:sz w:val="32"/>
          <w:szCs w:val="32"/>
        </w:rPr>
        <w:t>016</w:t>
      </w:r>
      <w:r>
        <w:rPr>
          <w:rFonts w:hint="eastAsia" w:ascii="仿宋" w:hAnsi="仿宋" w:eastAsia="仿宋"/>
          <w:sz w:val="32"/>
          <w:szCs w:val="32"/>
        </w:rPr>
        <w:t>年度相比，减少一个部门，即盘锦市辽河油田基础教育管理中心。减少原因为，2</w:t>
      </w:r>
      <w:r>
        <w:rPr>
          <w:rFonts w:ascii="仿宋" w:hAnsi="仿宋" w:eastAsia="仿宋"/>
          <w:sz w:val="32"/>
          <w:szCs w:val="32"/>
        </w:rPr>
        <w:t>017</w:t>
      </w:r>
      <w:r>
        <w:rPr>
          <w:rFonts w:hint="eastAsia" w:ascii="仿宋" w:hAnsi="仿宋" w:eastAsia="仿宋"/>
          <w:sz w:val="32"/>
          <w:szCs w:val="32"/>
        </w:rPr>
        <w:t>年度，盘锦市辽河油田基础教育管理中心下划到我市兴隆台区，2</w:t>
      </w:r>
      <w:r>
        <w:rPr>
          <w:rFonts w:ascii="仿宋" w:hAnsi="仿宋" w:eastAsia="仿宋"/>
          <w:sz w:val="32"/>
          <w:szCs w:val="32"/>
        </w:rPr>
        <w:t>017</w:t>
      </w:r>
      <w:r>
        <w:rPr>
          <w:rFonts w:hint="eastAsia" w:ascii="仿宋" w:hAnsi="仿宋" w:eastAsia="仿宋"/>
          <w:sz w:val="32"/>
          <w:szCs w:val="32"/>
        </w:rPr>
        <w:t>年度未在市本级列决。</w:t>
      </w:r>
    </w:p>
    <w:p w14:paraId="3A425ABA">
      <w:pPr>
        <w:tabs>
          <w:tab w:val="left" w:pos="705"/>
        </w:tabs>
        <w:ind w:firstLine="643" w:firstLineChars="200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三、公开内容及细化程度</w:t>
      </w:r>
    </w:p>
    <w:p w14:paraId="3662EDEC">
      <w:pPr>
        <w:tabs>
          <w:tab w:val="left" w:pos="705"/>
        </w:tabs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ascii="仿宋" w:hAnsi="仿宋" w:eastAsia="仿宋"/>
          <w:sz w:val="32"/>
          <w:szCs w:val="32"/>
        </w:rPr>
        <w:t>017</w:t>
      </w:r>
      <w:r>
        <w:rPr>
          <w:rFonts w:hint="eastAsia" w:ascii="仿宋" w:hAnsi="仿宋" w:eastAsia="仿宋"/>
          <w:sz w:val="32"/>
          <w:szCs w:val="32"/>
        </w:rPr>
        <w:t>年度市本级部门决算公开内容包括收支总表、收入总表、支出总表、财政拨款收支总表、一般公共预算财政拨款支出表、一般公共预算财政拨款基本支出表、政府性基金收支决算表、财政专户管理资金收支表、一般公共预算财政拨款“三公”经费支出决算表。</w:t>
      </w:r>
    </w:p>
    <w:p w14:paraId="24AB9F26">
      <w:pPr>
        <w:tabs>
          <w:tab w:val="left" w:pos="705"/>
        </w:tabs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其中：政府性基金决算中，全市8</w:t>
      </w:r>
      <w:r>
        <w:rPr>
          <w:rFonts w:ascii="仿宋" w:hAnsi="仿宋" w:eastAsia="仿宋"/>
          <w:sz w:val="32"/>
          <w:szCs w:val="32"/>
        </w:rPr>
        <w:t>0</w:t>
      </w:r>
      <w:r>
        <w:rPr>
          <w:rFonts w:hint="eastAsia" w:ascii="仿宋" w:hAnsi="仿宋" w:eastAsia="仿宋"/>
          <w:sz w:val="32"/>
          <w:szCs w:val="32"/>
        </w:rPr>
        <w:t>个部门，只有11个部门2</w:t>
      </w:r>
      <w:r>
        <w:rPr>
          <w:rFonts w:ascii="仿宋" w:hAnsi="仿宋" w:eastAsia="仿宋"/>
          <w:sz w:val="32"/>
          <w:szCs w:val="32"/>
        </w:rPr>
        <w:t>017</w:t>
      </w:r>
      <w:r>
        <w:rPr>
          <w:rFonts w:hint="eastAsia" w:ascii="仿宋" w:hAnsi="仿宋" w:eastAsia="仿宋"/>
          <w:sz w:val="32"/>
          <w:szCs w:val="32"/>
        </w:rPr>
        <w:t>年度有政府性基金决算收支，分别是盘锦市体育局、盘锦市水利局、盘锦市民政局、盘锦市科学技术局、盘锦市教育局、盘锦市国土资源局、盘锦市残疾人联合会、盘锦市环境保护局、盘锦市人民政府办公室、盘锦市住房和城乡建设委员会、盘锦市土地储备中心。其余69个部门2</w:t>
      </w:r>
      <w:r>
        <w:rPr>
          <w:rFonts w:ascii="仿宋" w:hAnsi="仿宋" w:eastAsia="仿宋"/>
          <w:sz w:val="32"/>
          <w:szCs w:val="32"/>
        </w:rPr>
        <w:t>017</w:t>
      </w:r>
      <w:r>
        <w:rPr>
          <w:rFonts w:hint="eastAsia" w:ascii="仿宋" w:hAnsi="仿宋" w:eastAsia="仿宋"/>
          <w:sz w:val="32"/>
          <w:szCs w:val="32"/>
        </w:rPr>
        <w:t>年度无政府性基金决算收支，故已公开的部门决算报表中，“政府性基金收支决算表”是空表。</w:t>
      </w:r>
    </w:p>
    <w:p w14:paraId="3479860E">
      <w:pPr>
        <w:tabs>
          <w:tab w:val="left" w:pos="705"/>
        </w:tabs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财政专户管理资金决算中，全市8</w:t>
      </w:r>
      <w:r>
        <w:rPr>
          <w:rFonts w:ascii="仿宋" w:hAnsi="仿宋" w:eastAsia="仿宋"/>
          <w:sz w:val="32"/>
          <w:szCs w:val="32"/>
        </w:rPr>
        <w:t>0</w:t>
      </w:r>
      <w:r>
        <w:rPr>
          <w:rFonts w:hint="eastAsia" w:ascii="仿宋" w:hAnsi="仿宋" w:eastAsia="仿宋"/>
          <w:sz w:val="32"/>
          <w:szCs w:val="32"/>
        </w:rPr>
        <w:t>个部门，只有3各部门2</w:t>
      </w:r>
      <w:r>
        <w:rPr>
          <w:rFonts w:ascii="仿宋" w:hAnsi="仿宋" w:eastAsia="仿宋"/>
          <w:sz w:val="32"/>
          <w:szCs w:val="32"/>
        </w:rPr>
        <w:t>017</w:t>
      </w:r>
      <w:r>
        <w:rPr>
          <w:rFonts w:hint="eastAsia" w:ascii="仿宋" w:hAnsi="仿宋" w:eastAsia="仿宋"/>
          <w:sz w:val="32"/>
          <w:szCs w:val="32"/>
        </w:rPr>
        <w:t>年度有此类资金决算收支，分别是盘锦市体育局、盘锦市人力资源和社会保障局、盘锦市教育局。其余7</w:t>
      </w:r>
      <w:r>
        <w:rPr>
          <w:rFonts w:ascii="仿宋" w:hAnsi="仿宋" w:eastAsia="仿宋"/>
          <w:sz w:val="32"/>
          <w:szCs w:val="32"/>
        </w:rPr>
        <w:t>7</w:t>
      </w:r>
      <w:r>
        <w:rPr>
          <w:rFonts w:hint="eastAsia" w:ascii="仿宋" w:hAnsi="仿宋" w:eastAsia="仿宋"/>
          <w:sz w:val="32"/>
          <w:szCs w:val="32"/>
        </w:rPr>
        <w:t>个部门2</w:t>
      </w:r>
      <w:r>
        <w:rPr>
          <w:rFonts w:ascii="仿宋" w:hAnsi="仿宋" w:eastAsia="仿宋"/>
          <w:sz w:val="32"/>
          <w:szCs w:val="32"/>
        </w:rPr>
        <w:t>017</w:t>
      </w:r>
      <w:r>
        <w:rPr>
          <w:rFonts w:hint="eastAsia" w:ascii="仿宋" w:hAnsi="仿宋" w:eastAsia="仿宋"/>
          <w:sz w:val="32"/>
          <w:szCs w:val="32"/>
        </w:rPr>
        <w:t>年度无此项收支决算，故已公开的部门决算报表中，“财政专户管理资金收支表”是空表。</w:t>
      </w:r>
    </w:p>
    <w:p w14:paraId="3F4A5E04">
      <w:pPr>
        <w:tabs>
          <w:tab w:val="left" w:pos="705"/>
        </w:tabs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部门决算中，一般公共预算支出表公开到功能分类相机科目，一般公共预算基本支出表公开到经济性质分类款级科目。</w:t>
      </w:r>
    </w:p>
    <w:p w14:paraId="63167B17">
      <w:pPr>
        <w:tabs>
          <w:tab w:val="left" w:pos="705"/>
        </w:tabs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各部门在公开上述9张表的同时，还对部门概况、机关运行经费、政府采购、国有资产占有使用情况、预算绩效等情况进行详细说明，并对专业性较强。的名词进行解释。</w:t>
      </w:r>
    </w:p>
    <w:p w14:paraId="0CF4F154">
      <w:pPr>
        <w:tabs>
          <w:tab w:val="left" w:pos="705"/>
        </w:tabs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ascii="仿宋" w:hAnsi="仿宋" w:eastAsia="仿宋"/>
          <w:sz w:val="32"/>
          <w:szCs w:val="32"/>
        </w:rPr>
        <w:t xml:space="preserve">   </w:t>
      </w:r>
    </w:p>
    <w:p w14:paraId="0DB0E1A3">
      <w:pPr>
        <w:tabs>
          <w:tab w:val="left" w:pos="705"/>
        </w:tabs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9307ECA"/>
    <w:multiLevelType w:val="multilevel"/>
    <w:tmpl w:val="49307ECA"/>
    <w:lvl w:ilvl="0" w:tentative="0">
      <w:start w:val="1"/>
      <w:numFmt w:val="japaneseCounting"/>
      <w:lvlText w:val="%1、"/>
      <w:lvlJc w:val="left"/>
      <w:pPr>
        <w:ind w:left="1428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48" w:hanging="420"/>
      </w:pPr>
    </w:lvl>
    <w:lvl w:ilvl="2" w:tentative="0">
      <w:start w:val="1"/>
      <w:numFmt w:val="lowerRoman"/>
      <w:lvlText w:val="%3."/>
      <w:lvlJc w:val="right"/>
      <w:pPr>
        <w:ind w:left="1968" w:hanging="420"/>
      </w:pPr>
    </w:lvl>
    <w:lvl w:ilvl="3" w:tentative="0">
      <w:start w:val="1"/>
      <w:numFmt w:val="decimal"/>
      <w:lvlText w:val="%4."/>
      <w:lvlJc w:val="left"/>
      <w:pPr>
        <w:ind w:left="2388" w:hanging="420"/>
      </w:pPr>
    </w:lvl>
    <w:lvl w:ilvl="4" w:tentative="0">
      <w:start w:val="1"/>
      <w:numFmt w:val="lowerLetter"/>
      <w:lvlText w:val="%5)"/>
      <w:lvlJc w:val="left"/>
      <w:pPr>
        <w:ind w:left="2808" w:hanging="420"/>
      </w:pPr>
    </w:lvl>
    <w:lvl w:ilvl="5" w:tentative="0">
      <w:start w:val="1"/>
      <w:numFmt w:val="lowerRoman"/>
      <w:lvlText w:val="%6."/>
      <w:lvlJc w:val="right"/>
      <w:pPr>
        <w:ind w:left="3228" w:hanging="420"/>
      </w:pPr>
    </w:lvl>
    <w:lvl w:ilvl="6" w:tentative="0">
      <w:start w:val="1"/>
      <w:numFmt w:val="decimal"/>
      <w:lvlText w:val="%7."/>
      <w:lvlJc w:val="left"/>
      <w:pPr>
        <w:ind w:left="3648" w:hanging="420"/>
      </w:pPr>
    </w:lvl>
    <w:lvl w:ilvl="7" w:tentative="0">
      <w:start w:val="1"/>
      <w:numFmt w:val="lowerLetter"/>
      <w:lvlText w:val="%8)"/>
      <w:lvlJc w:val="left"/>
      <w:pPr>
        <w:ind w:left="4068" w:hanging="420"/>
      </w:pPr>
    </w:lvl>
    <w:lvl w:ilvl="8" w:tentative="0">
      <w:start w:val="1"/>
      <w:numFmt w:val="lowerRoman"/>
      <w:lvlText w:val="%9."/>
      <w:lvlJc w:val="right"/>
      <w:pPr>
        <w:ind w:left="4488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F42"/>
    <w:rsid w:val="000F06B3"/>
    <w:rsid w:val="00101177"/>
    <w:rsid w:val="00214A77"/>
    <w:rsid w:val="002325A5"/>
    <w:rsid w:val="002408B7"/>
    <w:rsid w:val="00443182"/>
    <w:rsid w:val="0048033F"/>
    <w:rsid w:val="00697F42"/>
    <w:rsid w:val="00743943"/>
    <w:rsid w:val="00755EF6"/>
    <w:rsid w:val="00A35D7D"/>
    <w:rsid w:val="00BA10A6"/>
    <w:rsid w:val="00C5515A"/>
    <w:rsid w:val="00DB28C0"/>
    <w:rsid w:val="00E11135"/>
    <w:rsid w:val="00F2142F"/>
    <w:rsid w:val="00F3317E"/>
    <w:rsid w:val="3BD42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5"/>
    <w:semiHidden/>
    <w:unhideWhenUsed/>
    <w:uiPriority w:val="99"/>
    <w:pPr>
      <w:ind w:left="100" w:leftChars="2500"/>
    </w:pPr>
  </w:style>
  <w:style w:type="character" w:customStyle="1" w:styleId="5">
    <w:name w:val="日期 Char"/>
    <w:basedOn w:val="4"/>
    <w:link w:val="2"/>
    <w:semiHidden/>
    <w:uiPriority w:val="99"/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914</Words>
  <Characters>964</Characters>
  <Lines>7</Lines>
  <Paragraphs>1</Paragraphs>
  <TotalTime>79</TotalTime>
  <ScaleCrop>false</ScaleCrop>
  <LinksUpToDate>false</LinksUpToDate>
  <CharactersWithSpaces>969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2019-04-11T14:02:00Z</dcterms:created>
  <dc:creator>xman</dc:creator>
  <cp:lastModifiedBy>西瓜爱上了夏天</cp:lastModifiedBy>
  <dcterms:modified xsi:type="dcterms:W3CDTF">2025-04-29T08:15:29Z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eyJoZGlkIjoiNDJjOTZlYWFiYjM0MTM1ZTMyNDQxZTM1ZmVhYjE1MzgiLCJ1c2VySWQiOiI0NDQ3ODA1MTUifQ==</vt:lpwstr>
  </property>
  <property fmtid="{D5CDD505-2E9C-101B-9397-08002B2CF9AE}" pid="3" name="KSOProductBuildVer">
    <vt:lpwstr>2052-12.1.0.20784</vt:lpwstr>
  </property>
  <property fmtid="{D5CDD505-2E9C-101B-9397-08002B2CF9AE}" pid="4" name="ICV">
    <vt:lpwstr>7F5EB156158F41A0BF5777ADE9743557_13</vt:lpwstr>
  </property>
</Properties>
</file>