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40" w:lineRule="exact"/>
        <w:ind w:firstLine="442" w:firstLineChars="100"/>
        <w:jc w:val="both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</w:p>
    <w:p>
      <w:pPr>
        <w:pStyle w:val="4"/>
        <w:spacing w:line="540" w:lineRule="exact"/>
        <w:ind w:left="0" w:leftChars="0" w:firstLine="0" w:firstLineChars="0"/>
        <w:jc w:val="center"/>
        <w:rPr>
          <w:rFonts w:hint="default" w:asciiTheme="majorEastAsia" w:hAnsiTheme="majorEastAsia" w:eastAsiaTheme="majorEastAsia" w:cstheme="majorEastAsia"/>
          <w:b/>
          <w:bCs/>
          <w:w w:val="90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w w:val="90"/>
          <w:sz w:val="44"/>
          <w:szCs w:val="44"/>
          <w:lang w:val="en-US" w:eastAsia="zh-CN"/>
        </w:rPr>
        <w:t>实施</w:t>
      </w:r>
      <w:r>
        <w:rPr>
          <w:rFonts w:hint="eastAsia" w:asciiTheme="majorEastAsia" w:hAnsiTheme="majorEastAsia" w:eastAsiaTheme="majorEastAsia" w:cstheme="majorEastAsia"/>
          <w:b/>
          <w:bCs/>
          <w:w w:val="90"/>
          <w:sz w:val="44"/>
          <w:szCs w:val="44"/>
        </w:rPr>
        <w:t>预算绩效</w:t>
      </w:r>
      <w:r>
        <w:rPr>
          <w:rFonts w:hint="eastAsia" w:asciiTheme="majorEastAsia" w:hAnsiTheme="majorEastAsia" w:eastAsiaTheme="majorEastAsia" w:cstheme="majorEastAsia"/>
          <w:b/>
          <w:bCs/>
          <w:w w:val="90"/>
          <w:sz w:val="44"/>
          <w:szCs w:val="44"/>
          <w:lang w:val="en-US" w:eastAsia="zh-CN"/>
        </w:rPr>
        <w:t>目标</w:t>
      </w:r>
      <w:r>
        <w:rPr>
          <w:rFonts w:hint="eastAsia" w:asciiTheme="majorEastAsia" w:hAnsiTheme="majorEastAsia" w:eastAsiaTheme="majorEastAsia" w:cstheme="majorEastAsia"/>
          <w:b/>
          <w:bCs/>
          <w:w w:val="90"/>
          <w:sz w:val="44"/>
          <w:szCs w:val="44"/>
        </w:rPr>
        <w:t>管理</w:t>
      </w:r>
      <w:r>
        <w:rPr>
          <w:rFonts w:hint="eastAsia" w:asciiTheme="majorEastAsia" w:hAnsiTheme="majorEastAsia" w:eastAsiaTheme="majorEastAsia" w:cstheme="majorEastAsia"/>
          <w:b/>
          <w:bCs/>
          <w:w w:val="90"/>
          <w:sz w:val="44"/>
          <w:szCs w:val="44"/>
          <w:lang w:val="en-US" w:eastAsia="zh-CN"/>
        </w:rPr>
        <w:t xml:space="preserve"> 推动财政资金聚力增效</w:t>
      </w:r>
    </w:p>
    <w:p>
      <w:pPr>
        <w:pStyle w:val="4"/>
        <w:spacing w:line="540" w:lineRule="exact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4"/>
        <w:spacing w:line="560" w:lineRule="exact"/>
        <w:ind w:firstLine="643"/>
        <w:rPr>
          <w:rFonts w:hint="eastAsia" w:ascii="仿宋_GB2312" w:hAnsi="黑体" w:eastAsia="仿宋_GB2312" w:cs="仿宋_GB2312"/>
          <w:color w:val="000000"/>
          <w:sz w:val="32"/>
          <w:szCs w:val="32"/>
        </w:rPr>
      </w:pPr>
      <w:r>
        <w:rPr>
          <w:rFonts w:hint="eastAsia" w:ascii="仿宋_GB2312" w:hAnsi="黑体" w:eastAsia="仿宋_GB2312" w:cs="仿宋_GB2312"/>
          <w:color w:val="000000"/>
          <w:sz w:val="32"/>
          <w:szCs w:val="32"/>
          <w:lang w:val="en-US" w:eastAsia="zh-CN"/>
        </w:rPr>
        <w:t>2020年盘锦市本级部门预算绩效目标编制和公开工作，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按照国家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省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val="en-US" w:eastAsia="zh-CN"/>
        </w:rPr>
        <w:t>市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关于全面实施预算绩效管理的有关要求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val="en-US" w:eastAsia="zh-CN"/>
        </w:rPr>
        <w:t>和部署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val="en-US" w:eastAsia="zh-CN"/>
        </w:rPr>
        <w:t>以实施全面预算绩效管理为主线，以财政资金绩效管理目标为导向，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牢固树立预算绩效管理理念，建立健全绩效管理体系，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推进预算和绩效管理一体化，做到“花钱必问效，无效必问责”，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val="en-US" w:eastAsia="zh-CN"/>
        </w:rPr>
        <w:t>确保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财政资金使用的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val="en-US" w:eastAsia="zh-CN"/>
        </w:rPr>
        <w:t>安全性、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有效性和合法性。</w:t>
      </w:r>
    </w:p>
    <w:p>
      <w:pPr>
        <w:pStyle w:val="4"/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扩大预算绩效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目标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管理的覆盖面</w:t>
      </w:r>
    </w:p>
    <w:p>
      <w:pPr>
        <w:pStyle w:val="4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年，对一般公共预算、政府性基金预算、国有资本经营预算实施绩效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目标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管理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。一般公共预算中，除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没有专项用途的一般性转移支付外，均纳入绩效管理范围。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市本级共有71个一级预算部门99个二级预算单位，共填报绩效目标1123项，涉及资金90038.43万元</w:t>
      </w:r>
      <w:r>
        <w:rPr>
          <w:rFonts w:hint="eastAsia" w:ascii="仿宋_GB2312" w:eastAsia="仿宋_GB2312" w:cs="仿宋_GB2312"/>
          <w:sz w:val="32"/>
          <w:szCs w:val="32"/>
        </w:rPr>
        <w:t>（涉密除外）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。</w:t>
      </w:r>
    </w:p>
    <w:p>
      <w:pPr>
        <w:pStyle w:val="4"/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二、实现绩效目标与部门预算编制同步运行</w:t>
      </w:r>
    </w:p>
    <w:p>
      <w:pPr>
        <w:pStyle w:val="4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对于履职保障类项目（部门经费项目），</w:t>
      </w:r>
      <w:r>
        <w:rPr>
          <w:rFonts w:hint="eastAsia" w:ascii="仿宋_GB2312" w:eastAsia="仿宋_GB2312" w:cs="仿宋_GB2312"/>
          <w:bCs/>
          <w:sz w:val="32"/>
          <w:szCs w:val="32"/>
        </w:rPr>
        <w:t>各部门各单位应编制整体绩效目标，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通过部门和单位整体绩效来评估实施效果；对公共政策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val="en-US" w:eastAsia="zh-CN"/>
        </w:rPr>
        <w:t>和项目（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事业发展类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，以部门和单位为主体，</w:t>
      </w:r>
      <w:r>
        <w:rPr>
          <w:rFonts w:hint="eastAsia" w:ascii="仿宋_GB2312" w:eastAsia="仿宋_GB2312" w:cs="仿宋_GB2312"/>
          <w:bCs/>
          <w:sz w:val="32"/>
          <w:szCs w:val="32"/>
        </w:rPr>
        <w:t>对所有申报预算的项目都要编制绩效目标，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对项目实施全过程绩效管理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达到与部门预算一同编报、一同审核、一同批复、一同公开。</w:t>
      </w:r>
    </w:p>
    <w:p>
      <w:pPr>
        <w:pStyle w:val="4"/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三、规范预算绩效目标操作流程</w:t>
      </w:r>
    </w:p>
    <w:p>
      <w:pPr>
        <w:pStyle w:val="4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绩效目标管理为核心，围绕部门和单位职责、产出和效果等合理设置部门和单位、政策和项目的绩效目标，并将绩效目标管理贯穿到预算管理全过程，绩效目标作为预算安排的前置条件和项目实施、跟踪监控、评价的重要依据。按照“谁申请资金，谁编制目标”的原则，预算单位要在六月末、十一月末两个时间节点提交绩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自评表、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监控表和分析报告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4"/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四、提升预算绩效目标编制质量</w:t>
      </w:r>
    </w:p>
    <w:p>
      <w:pPr>
        <w:pStyle w:val="4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绩效目标和指标的编制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做到</w:t>
      </w:r>
      <w:r>
        <w:rPr>
          <w:rFonts w:hint="eastAsia" w:ascii="仿宋_GB2312" w:eastAsia="仿宋_GB2312" w:cs="仿宋_GB2312"/>
          <w:sz w:val="32"/>
          <w:szCs w:val="32"/>
        </w:rPr>
        <w:t>细化、量化，以定量表述为主，不能以量化形式表述的，可采取定性表述，但应具有可衡量性。未按要求编制绩效目标或绩效目标编制审核不合格的预算项目，不得进入部门预算安排流程。</w:t>
      </w:r>
    </w:p>
    <w:p>
      <w:pPr>
        <w:pStyle w:val="4"/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五、强化绩效监控和绩效评价的结果应用</w:t>
      </w:r>
    </w:p>
    <w:p>
      <w:pPr>
        <w:pStyle w:val="4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eastAsia="仿宋_GB2312" w:cs="仿宋_GB2312"/>
          <w:sz w:val="32"/>
          <w:szCs w:val="32"/>
        </w:rPr>
        <w:t>0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 w:cs="仿宋_GB2312"/>
          <w:sz w:val="32"/>
          <w:szCs w:val="32"/>
        </w:rPr>
        <w:t>年项目支出预算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的编制，</w:t>
      </w:r>
      <w:r>
        <w:rPr>
          <w:rFonts w:hint="eastAsia" w:ascii="仿宋_GB2312" w:eastAsia="仿宋_GB2312" w:cs="仿宋_GB2312"/>
          <w:sz w:val="32"/>
          <w:szCs w:val="32"/>
        </w:rPr>
        <w:t>将</w:t>
      </w:r>
      <w:r>
        <w:rPr>
          <w:rFonts w:ascii="仿宋_GB2312" w:eastAsia="仿宋_GB2312" w:cs="仿宋_GB2312"/>
          <w:sz w:val="32"/>
          <w:szCs w:val="32"/>
        </w:rPr>
        <w:t>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年实施的绩效监控和绩效评价结果作为预算编制的重要依据。对于通过监控或评价发现达不到绩效目标、评价结果整体较差或未按要求实施整改的项目，原则上减少预算安排，直至取消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4"/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六、依法依规公开预算绩效目标</w:t>
      </w:r>
    </w:p>
    <w:p>
      <w:pPr>
        <w:pStyle w:val="4"/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 w:cs="仿宋_GB2312"/>
          <w:sz w:val="32"/>
          <w:szCs w:val="32"/>
          <w:lang w:eastAsia="zh-CN"/>
        </w:rPr>
        <w:t>市</w:t>
      </w:r>
      <w:r>
        <w:rPr>
          <w:rFonts w:hint="eastAsia" w:ascii="仿宋_GB2312" w:eastAsia="仿宋_GB2312" w:cs="仿宋_GB2312"/>
          <w:sz w:val="32"/>
          <w:szCs w:val="32"/>
        </w:rPr>
        <w:t>级预算项目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支出</w:t>
      </w:r>
      <w:r>
        <w:rPr>
          <w:rFonts w:hint="eastAsia" w:ascii="仿宋_GB2312" w:eastAsia="仿宋_GB2312" w:cs="仿宋_GB2312"/>
          <w:sz w:val="32"/>
          <w:szCs w:val="32"/>
        </w:rPr>
        <w:t>绩效目标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按</w:t>
      </w:r>
      <w:r>
        <w:rPr>
          <w:rFonts w:hint="eastAsia" w:ascii="仿宋_GB2312" w:eastAsia="仿宋_GB2312" w:cs="仿宋_GB2312"/>
          <w:sz w:val="32"/>
          <w:szCs w:val="32"/>
        </w:rPr>
        <w:t>程序批复下达，作为预算项目组成部分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，指导和督促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市直部门按照预算公开有关规定</w:t>
      </w:r>
      <w:r>
        <w:rPr>
          <w:rFonts w:hint="eastAsia" w:ascii="仿宋_GB2312" w:eastAsia="仿宋_GB2312" w:cs="仿宋_GB2312"/>
          <w:sz w:val="32"/>
          <w:szCs w:val="32"/>
        </w:rPr>
        <w:t>向社会公开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接受各方监督。</w:t>
      </w:r>
    </w:p>
    <w:p>
      <w:pPr>
        <w:pStyle w:val="4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pStyle w:val="4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</w:p>
    <w:p>
      <w:pPr>
        <w:pStyle w:val="4"/>
        <w:numPr>
          <w:ilvl w:val="0"/>
          <w:numId w:val="0"/>
        </w:numPr>
        <w:spacing w:line="560" w:lineRule="exact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9C4778"/>
    <w:rsid w:val="02974E39"/>
    <w:rsid w:val="043439BE"/>
    <w:rsid w:val="04BC5443"/>
    <w:rsid w:val="05411D1B"/>
    <w:rsid w:val="05C00289"/>
    <w:rsid w:val="07B35900"/>
    <w:rsid w:val="0A5945A6"/>
    <w:rsid w:val="0AE52477"/>
    <w:rsid w:val="0BB1785F"/>
    <w:rsid w:val="0EDA3408"/>
    <w:rsid w:val="10DB1C78"/>
    <w:rsid w:val="142B1442"/>
    <w:rsid w:val="14C22588"/>
    <w:rsid w:val="18E5475F"/>
    <w:rsid w:val="1D3C644A"/>
    <w:rsid w:val="1EB246A1"/>
    <w:rsid w:val="218B1DF0"/>
    <w:rsid w:val="25735A96"/>
    <w:rsid w:val="26C30C1D"/>
    <w:rsid w:val="2736231A"/>
    <w:rsid w:val="2C6B38A1"/>
    <w:rsid w:val="2DE87193"/>
    <w:rsid w:val="31D549A6"/>
    <w:rsid w:val="389C4778"/>
    <w:rsid w:val="3D190087"/>
    <w:rsid w:val="4BCB1381"/>
    <w:rsid w:val="4C0B4055"/>
    <w:rsid w:val="4C403272"/>
    <w:rsid w:val="4DD5469E"/>
    <w:rsid w:val="4E396AC9"/>
    <w:rsid w:val="4F8E6E4C"/>
    <w:rsid w:val="586315B2"/>
    <w:rsid w:val="5C282F7C"/>
    <w:rsid w:val="5D1974DA"/>
    <w:rsid w:val="66720D65"/>
    <w:rsid w:val="6D290CEC"/>
    <w:rsid w:val="6D535020"/>
    <w:rsid w:val="6DDA5D60"/>
    <w:rsid w:val="6EE53B29"/>
    <w:rsid w:val="734C1684"/>
    <w:rsid w:val="771C6E64"/>
    <w:rsid w:val="78A0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2018-09-17T07:48:00Z</dcterms:created>
  <dc:creator>詹姆斯  胖梨</dc:creator>
  <cp:lastModifiedBy>詹姆斯  胖梨</cp:lastModifiedBy>
  <cp:lastPrinted>2020-01-14T01:15:00Z</cp:lastPrinted>
  <dcterms:modified xsi:type="dcterms:W3CDTF">2020-01-17T08:37:33Z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