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6A1FE43">
      <w:pPr>
        <w:jc w:val="center"/>
        <w:rPr>
          <w:rFonts w:asciiTheme="majorEastAsia" w:hAnsiTheme="majorEastAsia" w:eastAsiaTheme="majorEastAsia"/>
          <w:b/>
          <w:sz w:val="44"/>
          <w:szCs w:val="44"/>
        </w:rPr>
      </w:pPr>
      <w:r>
        <w:rPr>
          <w:rFonts w:hint="eastAsia" w:asciiTheme="majorEastAsia" w:hAnsiTheme="majorEastAsia" w:eastAsiaTheme="majorEastAsia"/>
          <w:b/>
          <w:sz w:val="44"/>
          <w:szCs w:val="44"/>
        </w:rPr>
        <w:t>盘锦市</w:t>
      </w:r>
      <w:bookmarkStart w:id="0" w:name="_GoBack"/>
      <w:bookmarkEnd w:id="0"/>
      <w:r>
        <w:rPr>
          <w:rFonts w:hint="eastAsia" w:asciiTheme="majorEastAsia" w:hAnsiTheme="majorEastAsia" w:eastAsiaTheme="majorEastAsia"/>
          <w:b/>
          <w:sz w:val="44"/>
          <w:szCs w:val="44"/>
        </w:rPr>
        <w:t>市本级2</w:t>
      </w:r>
      <w:r>
        <w:rPr>
          <w:rFonts w:asciiTheme="majorEastAsia" w:hAnsiTheme="majorEastAsia" w:eastAsiaTheme="majorEastAsia"/>
          <w:b/>
          <w:sz w:val="44"/>
          <w:szCs w:val="44"/>
        </w:rPr>
        <w:t>01</w:t>
      </w:r>
      <w:r>
        <w:rPr>
          <w:rFonts w:hint="eastAsia" w:asciiTheme="majorEastAsia" w:hAnsiTheme="majorEastAsia" w:eastAsiaTheme="majorEastAsia"/>
          <w:b/>
          <w:sz w:val="44"/>
          <w:szCs w:val="44"/>
        </w:rPr>
        <w:t>8年度预算公开情况</w:t>
      </w:r>
    </w:p>
    <w:p w14:paraId="593F5F6A">
      <w:pPr>
        <w:jc w:val="center"/>
        <w:rPr>
          <w:rFonts w:asciiTheme="majorEastAsia" w:hAnsiTheme="majorEastAsia" w:eastAsiaTheme="majorEastAsia"/>
          <w:b/>
          <w:sz w:val="44"/>
          <w:szCs w:val="44"/>
        </w:rPr>
      </w:pPr>
      <w:r>
        <w:rPr>
          <w:rFonts w:hint="eastAsia" w:asciiTheme="majorEastAsia" w:hAnsiTheme="majorEastAsia" w:eastAsiaTheme="majorEastAsia"/>
          <w:b/>
          <w:sz w:val="44"/>
          <w:szCs w:val="44"/>
        </w:rPr>
        <w:t>汇总说明</w:t>
      </w:r>
    </w:p>
    <w:p w14:paraId="26C4A02A">
      <w:pPr>
        <w:spacing w:line="620" w:lineRule="exact"/>
        <w:jc w:val="center"/>
        <w:rPr>
          <w:rFonts w:ascii="仿宋" w:hAnsi="仿宋" w:eastAsia="仿宋" w:cs="仿宋"/>
          <w:sz w:val="32"/>
          <w:szCs w:val="32"/>
        </w:rPr>
      </w:pPr>
    </w:p>
    <w:p w14:paraId="577617AE">
      <w:pPr>
        <w:spacing w:line="620" w:lineRule="exact"/>
        <w:ind w:firstLine="640" w:firstLineChars="200"/>
        <w:rPr>
          <w:rFonts w:ascii="仿宋" w:hAnsi="仿宋" w:eastAsia="仿宋" w:cs="仿宋"/>
          <w:sz w:val="32"/>
          <w:szCs w:val="32"/>
        </w:rPr>
      </w:pPr>
      <w:r>
        <w:rPr>
          <w:rFonts w:hint="eastAsia" w:ascii="仿宋" w:hAnsi="仿宋" w:eastAsia="仿宋" w:cs="仿宋"/>
          <w:sz w:val="32"/>
          <w:szCs w:val="32"/>
        </w:rPr>
        <w:t>根据</w:t>
      </w:r>
      <w:r>
        <w:rPr>
          <w:rFonts w:hint="eastAsia" w:ascii="仿宋" w:hAnsi="仿宋" w:eastAsia="仿宋" w:cs="仿宋"/>
          <w:sz w:val="32"/>
          <w:szCs w:val="32"/>
          <w:lang w:eastAsia="zh-CN"/>
        </w:rPr>
        <w:t>《中华人民共和国预算法》</w:t>
      </w:r>
      <w:r>
        <w:rPr>
          <w:rFonts w:hint="eastAsia" w:ascii="仿宋" w:hAnsi="仿宋" w:eastAsia="仿宋" w:cs="仿宋"/>
          <w:sz w:val="32"/>
          <w:szCs w:val="32"/>
        </w:rPr>
        <w:t>等法律法规要求，盘锦市财政局不断</w:t>
      </w:r>
      <w:r>
        <w:rPr>
          <w:rFonts w:hint="eastAsia" w:ascii="仿宋" w:hAnsi="仿宋" w:eastAsia="仿宋"/>
          <w:sz w:val="32"/>
          <w:szCs w:val="32"/>
        </w:rPr>
        <w:t>推进政府预决算公开工作，指导和督促各预算部门及时、主动、全面公开预算信息，提高预算透明度，</w:t>
      </w:r>
      <w:r>
        <w:rPr>
          <w:rFonts w:hint="eastAsia" w:ascii="仿宋" w:hAnsi="仿宋" w:eastAsia="仿宋" w:cs="仿宋"/>
          <w:sz w:val="32"/>
          <w:szCs w:val="32"/>
        </w:rPr>
        <w:t>现将工作开展情况汇报如下：</w:t>
      </w:r>
    </w:p>
    <w:p w14:paraId="11C1DAB3">
      <w:pPr>
        <w:numPr>
          <w:ilvl w:val="0"/>
          <w:numId w:val="1"/>
        </w:numPr>
        <w:spacing w:line="620" w:lineRule="exact"/>
        <w:ind w:firstLine="640" w:firstLineChars="200"/>
        <w:rPr>
          <w:rFonts w:ascii="黑体" w:hAnsi="黑体" w:eastAsia="黑体" w:cs="黑体"/>
          <w:sz w:val="32"/>
          <w:szCs w:val="32"/>
        </w:rPr>
      </w:pPr>
      <w:r>
        <w:rPr>
          <w:rFonts w:ascii="黑体" w:hAnsi="黑体" w:eastAsia="黑体" w:cs="黑体"/>
          <w:sz w:val="32"/>
          <w:szCs w:val="32"/>
        </w:rPr>
        <w:t>2018</w:t>
      </w:r>
      <w:r>
        <w:rPr>
          <w:rFonts w:hint="eastAsia" w:ascii="黑体" w:hAnsi="黑体" w:eastAsia="黑体" w:cs="黑体"/>
          <w:sz w:val="32"/>
          <w:szCs w:val="32"/>
        </w:rPr>
        <w:t>年预算公开情况</w:t>
      </w:r>
    </w:p>
    <w:p w14:paraId="1914879E">
      <w:pPr>
        <w:rPr>
          <w:rFonts w:ascii="黑体" w:hAnsi="黑体" w:eastAsia="黑体" w:cs="黑体"/>
          <w:sz w:val="32"/>
          <w:szCs w:val="32"/>
        </w:rPr>
      </w:pPr>
      <w:r>
        <w:rPr>
          <w:rFonts w:ascii="黑体" w:hAnsi="黑体" w:eastAsia="黑体" w:cs="黑体"/>
          <w:sz w:val="32"/>
          <w:szCs w:val="32"/>
        </w:rPr>
        <w:t xml:space="preserve">   </w:t>
      </w:r>
      <w:r>
        <w:rPr>
          <w:rFonts w:ascii="仿宋" w:hAnsi="仿宋" w:eastAsia="仿宋" w:cs="仿宋"/>
          <w:sz w:val="32"/>
          <w:szCs w:val="32"/>
        </w:rPr>
        <w:t xml:space="preserve"> </w:t>
      </w:r>
      <w:r>
        <w:rPr>
          <w:rFonts w:hint="eastAsia" w:ascii="仿宋" w:hAnsi="仿宋" w:eastAsia="仿宋" w:cs="仿宋"/>
          <w:sz w:val="32"/>
          <w:szCs w:val="32"/>
        </w:rPr>
        <w:t>按照财政部下发的《地方预决算公开操作规程》要求</w:t>
      </w:r>
      <w:r>
        <w:rPr>
          <w:rFonts w:hint="eastAsia" w:ascii="仿宋" w:hAnsi="仿宋" w:eastAsia="仿宋"/>
          <w:sz w:val="32"/>
          <w:szCs w:val="32"/>
        </w:rPr>
        <w:t>，</w:t>
      </w:r>
      <w:r>
        <w:rPr>
          <w:rFonts w:hint="eastAsia" w:ascii="仿宋" w:hAnsi="仿宋" w:eastAsia="仿宋" w:cs="仿宋"/>
          <w:sz w:val="32"/>
          <w:szCs w:val="32"/>
        </w:rPr>
        <w:t>盘锦市政府和本级各部门预决算全部依法依规公开</w:t>
      </w:r>
      <w:r>
        <w:rPr>
          <w:rFonts w:hint="eastAsia" w:ascii="仿宋" w:hAnsi="仿宋" w:eastAsia="仿宋"/>
          <w:sz w:val="32"/>
          <w:szCs w:val="32"/>
        </w:rPr>
        <w:t>。</w:t>
      </w:r>
    </w:p>
    <w:p w14:paraId="4E5B074E">
      <w:pPr>
        <w:spacing w:line="620" w:lineRule="exact"/>
        <w:ind w:firstLine="643" w:firstLineChars="200"/>
        <w:rPr>
          <w:rFonts w:ascii="仿宋" w:hAnsi="仿宋" w:eastAsia="仿宋" w:cs="仿宋"/>
          <w:sz w:val="32"/>
          <w:szCs w:val="32"/>
        </w:rPr>
      </w:pPr>
      <w:r>
        <w:rPr>
          <w:rFonts w:hint="eastAsia" w:ascii="楷体" w:hAnsi="楷体" w:eastAsia="楷体" w:cs="楷体"/>
          <w:b/>
          <w:bCs/>
          <w:sz w:val="32"/>
          <w:szCs w:val="32"/>
        </w:rPr>
        <w:t>（一）及时性方面情况</w:t>
      </w:r>
    </w:p>
    <w:p w14:paraId="27C9EF24">
      <w:pPr>
        <w:tabs>
          <w:tab w:val="left" w:pos="750"/>
        </w:tabs>
        <w:ind w:firstLine="640" w:firstLineChars="200"/>
        <w:rPr>
          <w:rFonts w:ascii="仿宋" w:hAnsi="仿宋" w:eastAsia="仿宋" w:cs="仿宋"/>
          <w:sz w:val="32"/>
          <w:szCs w:val="32"/>
        </w:rPr>
      </w:pPr>
      <w:r>
        <w:rPr>
          <w:rFonts w:hint="eastAsia" w:ascii="仿宋" w:hAnsi="仿宋" w:eastAsia="仿宋"/>
          <w:sz w:val="32"/>
          <w:szCs w:val="32"/>
        </w:rPr>
        <w:t>按照政府预决算应当在本级人民代表大会或其常务委员会批准后</w:t>
      </w:r>
      <w:r>
        <w:rPr>
          <w:rFonts w:ascii="仿宋" w:hAnsi="仿宋" w:eastAsia="仿宋"/>
          <w:sz w:val="32"/>
          <w:szCs w:val="32"/>
        </w:rPr>
        <w:t>20</w:t>
      </w:r>
      <w:r>
        <w:rPr>
          <w:rFonts w:hint="eastAsia" w:ascii="仿宋" w:hAnsi="仿宋" w:eastAsia="仿宋"/>
          <w:sz w:val="32"/>
          <w:szCs w:val="32"/>
        </w:rPr>
        <w:t>日内向社会公开，以及部门预决算应当在本级政府财政部门批复后</w:t>
      </w:r>
      <w:r>
        <w:rPr>
          <w:rFonts w:ascii="仿宋" w:hAnsi="仿宋" w:eastAsia="仿宋"/>
          <w:sz w:val="32"/>
          <w:szCs w:val="32"/>
        </w:rPr>
        <w:t>20</w:t>
      </w:r>
      <w:r>
        <w:rPr>
          <w:rFonts w:hint="eastAsia" w:ascii="仿宋" w:hAnsi="仿宋" w:eastAsia="仿宋"/>
          <w:sz w:val="32"/>
          <w:szCs w:val="32"/>
        </w:rPr>
        <w:t>日内向社会公开的要求，</w:t>
      </w:r>
      <w:r>
        <w:rPr>
          <w:rFonts w:ascii="仿宋" w:hAnsi="仿宋" w:eastAsia="仿宋"/>
          <w:sz w:val="32"/>
          <w:szCs w:val="32"/>
        </w:rPr>
        <w:t>2018</w:t>
      </w:r>
      <w:r>
        <w:rPr>
          <w:rFonts w:hint="eastAsia" w:ascii="仿宋" w:hAnsi="仿宋" w:eastAsia="仿宋"/>
          <w:sz w:val="32"/>
          <w:szCs w:val="32"/>
        </w:rPr>
        <w:t>年</w:t>
      </w:r>
      <w:r>
        <w:rPr>
          <w:rFonts w:ascii="仿宋" w:hAnsi="仿宋" w:eastAsia="仿宋"/>
          <w:sz w:val="32"/>
          <w:szCs w:val="32"/>
        </w:rPr>
        <w:t>1</w:t>
      </w:r>
      <w:r>
        <w:rPr>
          <w:rFonts w:hint="eastAsia" w:ascii="仿宋" w:hAnsi="仿宋" w:eastAsia="仿宋"/>
          <w:sz w:val="32"/>
          <w:szCs w:val="32"/>
        </w:rPr>
        <w:t>月</w:t>
      </w:r>
      <w:r>
        <w:rPr>
          <w:rFonts w:ascii="仿宋" w:hAnsi="仿宋" w:eastAsia="仿宋"/>
          <w:sz w:val="32"/>
          <w:szCs w:val="32"/>
        </w:rPr>
        <w:t>1</w:t>
      </w:r>
      <w:r>
        <w:rPr>
          <w:rFonts w:hint="eastAsia" w:ascii="仿宋" w:hAnsi="仿宋" w:eastAsia="仿宋"/>
          <w:sz w:val="32"/>
          <w:szCs w:val="32"/>
        </w:rPr>
        <w:t>0日，盘锦市财政局于</w:t>
      </w:r>
      <w:r>
        <w:rPr>
          <w:rFonts w:hint="eastAsia" w:ascii="仿宋" w:hAnsi="仿宋" w:eastAsia="仿宋"/>
          <w:sz w:val="32"/>
          <w:szCs w:val="32"/>
          <w:shd w:val="clear" w:color="auto" w:fill="FFFFFF"/>
        </w:rPr>
        <w:t>盘锦市第八届人民代表大会第一次会议批准后第</w:t>
      </w:r>
      <w:r>
        <w:rPr>
          <w:rFonts w:hint="eastAsia" w:ascii="仿宋" w:hAnsi="仿宋" w:eastAsia="仿宋"/>
          <w:sz w:val="32"/>
          <w:szCs w:val="32"/>
        </w:rPr>
        <w:t>6日，公开了</w:t>
      </w:r>
      <w:r>
        <w:rPr>
          <w:rFonts w:ascii="仿宋" w:hAnsi="仿宋" w:eastAsia="仿宋"/>
          <w:sz w:val="32"/>
          <w:szCs w:val="32"/>
        </w:rPr>
        <w:t>2018</w:t>
      </w:r>
      <w:r>
        <w:rPr>
          <w:rFonts w:hint="eastAsia" w:ascii="仿宋" w:hAnsi="仿宋" w:eastAsia="仿宋"/>
          <w:sz w:val="32"/>
          <w:szCs w:val="32"/>
        </w:rPr>
        <w:t>年度政府预算；</w:t>
      </w:r>
      <w:r>
        <w:rPr>
          <w:rFonts w:ascii="仿宋" w:hAnsi="仿宋" w:eastAsia="仿宋"/>
          <w:sz w:val="32"/>
          <w:szCs w:val="32"/>
        </w:rPr>
        <w:t>2018</w:t>
      </w:r>
      <w:r>
        <w:rPr>
          <w:rFonts w:hint="eastAsia" w:ascii="仿宋" w:hAnsi="仿宋" w:eastAsia="仿宋"/>
          <w:sz w:val="32"/>
          <w:szCs w:val="32"/>
        </w:rPr>
        <w:t>年1月25日，</w:t>
      </w:r>
      <w:r>
        <w:rPr>
          <w:rFonts w:hint="eastAsia" w:ascii="仿宋" w:hAnsi="仿宋" w:eastAsia="仿宋" w:cs="仿宋"/>
          <w:sz w:val="32"/>
          <w:szCs w:val="32"/>
        </w:rPr>
        <w:t>市本级</w:t>
      </w:r>
      <w:r>
        <w:rPr>
          <w:rFonts w:ascii="仿宋" w:hAnsi="仿宋" w:eastAsia="仿宋" w:cs="仿宋"/>
          <w:sz w:val="32"/>
          <w:szCs w:val="32"/>
        </w:rPr>
        <w:t>74</w:t>
      </w:r>
      <w:r>
        <w:rPr>
          <w:rFonts w:hint="eastAsia" w:ascii="仿宋" w:hAnsi="仿宋" w:eastAsia="仿宋" w:cs="仿宋"/>
          <w:sz w:val="32"/>
          <w:szCs w:val="32"/>
        </w:rPr>
        <w:t>个一级预算部门于市财政局批复后第18日，</w:t>
      </w:r>
      <w:r>
        <w:rPr>
          <w:rFonts w:hint="eastAsia" w:ascii="仿宋" w:hAnsi="仿宋" w:eastAsia="仿宋"/>
          <w:sz w:val="32"/>
          <w:szCs w:val="32"/>
        </w:rPr>
        <w:t>公开了</w:t>
      </w:r>
      <w:r>
        <w:rPr>
          <w:rFonts w:ascii="仿宋" w:hAnsi="仿宋" w:eastAsia="仿宋"/>
          <w:sz w:val="32"/>
          <w:szCs w:val="32"/>
        </w:rPr>
        <w:t>2018</w:t>
      </w:r>
      <w:r>
        <w:rPr>
          <w:rFonts w:hint="eastAsia" w:ascii="仿宋" w:hAnsi="仿宋" w:eastAsia="仿宋"/>
          <w:sz w:val="32"/>
          <w:szCs w:val="32"/>
        </w:rPr>
        <w:t>年盘锦市本级</w:t>
      </w:r>
      <w:r>
        <w:rPr>
          <w:rFonts w:hint="eastAsia" w:ascii="仿宋" w:hAnsi="仿宋" w:eastAsia="仿宋" w:cs="仿宋"/>
          <w:sz w:val="32"/>
          <w:szCs w:val="32"/>
        </w:rPr>
        <w:t>部门预算</w:t>
      </w:r>
      <w:r>
        <w:rPr>
          <w:rFonts w:hint="eastAsia" w:ascii="仿宋" w:hAnsi="仿宋" w:eastAsia="仿宋"/>
          <w:sz w:val="32"/>
          <w:szCs w:val="32"/>
        </w:rPr>
        <w:t>。</w:t>
      </w:r>
    </w:p>
    <w:p w14:paraId="4F57BA51">
      <w:pPr>
        <w:ind w:left="420" w:leftChars="200" w:firstLine="321" w:firstLineChars="100"/>
        <w:rPr>
          <w:rFonts w:ascii="楷体" w:hAnsi="楷体" w:eastAsia="楷体" w:cs="楷体"/>
          <w:b/>
          <w:bCs/>
          <w:sz w:val="32"/>
          <w:szCs w:val="32"/>
        </w:rPr>
      </w:pPr>
      <w:r>
        <w:rPr>
          <w:rFonts w:hint="eastAsia" w:ascii="楷体" w:hAnsi="楷体" w:eastAsia="楷体" w:cs="楷体"/>
          <w:b/>
          <w:bCs/>
          <w:sz w:val="32"/>
          <w:szCs w:val="32"/>
        </w:rPr>
        <w:t>（二）完整性方面情况</w:t>
      </w:r>
    </w:p>
    <w:p w14:paraId="5F960A93">
      <w:pPr>
        <w:spacing w:line="540" w:lineRule="exact"/>
        <w:ind w:firstLine="640" w:firstLineChars="200"/>
        <w:rPr>
          <w:rFonts w:ascii="仿宋" w:hAnsi="仿宋" w:eastAsia="仿宋"/>
          <w:sz w:val="32"/>
          <w:szCs w:val="32"/>
        </w:rPr>
      </w:pPr>
      <w:r>
        <w:rPr>
          <w:rFonts w:hint="eastAsia" w:ascii="仿宋" w:hAnsi="仿宋" w:eastAsia="仿宋"/>
          <w:sz w:val="32"/>
          <w:szCs w:val="32"/>
        </w:rPr>
        <w:t>预决算公开的内容主要包括：</w:t>
      </w:r>
    </w:p>
    <w:p w14:paraId="2647BF5C">
      <w:pPr>
        <w:spacing w:line="540" w:lineRule="exact"/>
        <w:ind w:firstLine="640" w:firstLineChars="200"/>
        <w:rPr>
          <w:rFonts w:ascii="仿宋" w:hAnsi="仿宋" w:eastAsia="仿宋"/>
          <w:sz w:val="32"/>
          <w:szCs w:val="32"/>
        </w:rPr>
      </w:pPr>
      <w:r>
        <w:rPr>
          <w:rFonts w:ascii="仿宋" w:hAnsi="仿宋" w:eastAsia="仿宋"/>
          <w:sz w:val="32"/>
          <w:szCs w:val="32"/>
        </w:rPr>
        <w:t>1</w:t>
      </w:r>
      <w:r>
        <w:rPr>
          <w:rFonts w:hint="eastAsia" w:ascii="仿宋" w:hAnsi="仿宋" w:eastAsia="仿宋"/>
          <w:sz w:val="32"/>
          <w:szCs w:val="32"/>
        </w:rPr>
        <w:t>、政府预决算报告和报表，税收返还、一般性转移支付和专项转移支付执行情况，本地区债务限额、债务余额和债务发行、使用、偿还情况以及本级汇总的“三公”经费预算情况，并对涉及财税政策、规章制度的一些专业名词做出解释说明。</w:t>
      </w:r>
    </w:p>
    <w:p w14:paraId="1145FE4F">
      <w:pPr>
        <w:spacing w:line="540" w:lineRule="exact"/>
        <w:ind w:firstLine="640" w:firstLineChars="200"/>
        <w:rPr>
          <w:rFonts w:ascii="仿宋" w:hAnsi="仿宋" w:eastAsia="仿宋"/>
          <w:sz w:val="32"/>
          <w:szCs w:val="32"/>
        </w:rPr>
      </w:pPr>
      <w:r>
        <w:rPr>
          <w:rFonts w:ascii="仿宋" w:hAnsi="仿宋" w:eastAsia="仿宋"/>
          <w:sz w:val="32"/>
          <w:szCs w:val="32"/>
        </w:rPr>
        <w:t>2</w:t>
      </w:r>
      <w:r>
        <w:rPr>
          <w:rFonts w:hint="eastAsia" w:ascii="仿宋" w:hAnsi="仿宋" w:eastAsia="仿宋"/>
          <w:sz w:val="32"/>
          <w:szCs w:val="32"/>
        </w:rPr>
        <w:t>、政府一般公共预算、政府性基金预算、国有资本经营预算、社会保险基金预算四部预算，以及预算执行情况、预决算报告等相关材料。</w:t>
      </w:r>
    </w:p>
    <w:p w14:paraId="29CA8D13">
      <w:pPr>
        <w:spacing w:line="540" w:lineRule="exact"/>
        <w:ind w:firstLine="640" w:firstLineChars="200"/>
        <w:rPr>
          <w:rFonts w:ascii="仿宋" w:hAnsi="仿宋" w:eastAsia="仿宋"/>
          <w:sz w:val="32"/>
          <w:szCs w:val="32"/>
        </w:rPr>
      </w:pPr>
      <w:r>
        <w:rPr>
          <w:rFonts w:ascii="仿宋" w:hAnsi="仿宋" w:eastAsia="仿宋"/>
          <w:sz w:val="32"/>
          <w:szCs w:val="32"/>
        </w:rPr>
        <w:t>3</w:t>
      </w:r>
      <w:r>
        <w:rPr>
          <w:rFonts w:hint="eastAsia" w:ascii="仿宋" w:hAnsi="仿宋" w:eastAsia="仿宋"/>
          <w:sz w:val="32"/>
          <w:szCs w:val="32"/>
        </w:rPr>
        <w:t>、经市财政部门批复的部门和所属单位在内的预决算及报表，各部门的职责、机构设置情况，预决算收支增减变化情况，机关运行经费的安排及使用情况，政府采购情况、国有资产占有使用情况以及重点项目预算的绩效目标等预算绩效情况，并对专业性较强的名词做出解释说明。</w:t>
      </w:r>
    </w:p>
    <w:p w14:paraId="3BCA7BC2">
      <w:pPr>
        <w:ind w:firstLine="645"/>
        <w:rPr>
          <w:rFonts w:ascii="楷体" w:hAnsi="楷体" w:eastAsia="楷体" w:cs="楷体"/>
          <w:b/>
          <w:bCs/>
          <w:sz w:val="32"/>
          <w:szCs w:val="32"/>
        </w:rPr>
      </w:pPr>
      <w:r>
        <w:rPr>
          <w:rFonts w:hint="eastAsia" w:ascii="楷体" w:hAnsi="楷体" w:eastAsia="楷体" w:cs="楷体"/>
          <w:b/>
          <w:bCs/>
          <w:sz w:val="32"/>
          <w:szCs w:val="32"/>
        </w:rPr>
        <w:t>（三）细化程度方面情况</w:t>
      </w:r>
    </w:p>
    <w:p w14:paraId="1AD9024C">
      <w:pPr>
        <w:spacing w:line="540" w:lineRule="exact"/>
        <w:ind w:firstLine="640" w:firstLineChars="200"/>
        <w:rPr>
          <w:rFonts w:ascii="仿宋" w:hAnsi="仿宋" w:eastAsia="仿宋"/>
          <w:sz w:val="32"/>
          <w:szCs w:val="32"/>
        </w:rPr>
      </w:pPr>
      <w:r>
        <w:rPr>
          <w:rFonts w:hint="eastAsia" w:ascii="黑体" w:hAnsi="黑体" w:eastAsia="黑体" w:cs="黑体"/>
          <w:sz w:val="32"/>
          <w:szCs w:val="32"/>
        </w:rPr>
        <w:t>一是</w:t>
      </w:r>
      <w:r>
        <w:rPr>
          <w:rFonts w:hint="eastAsia" w:ascii="仿宋" w:hAnsi="仿宋" w:eastAsia="仿宋"/>
          <w:sz w:val="32"/>
          <w:szCs w:val="32"/>
        </w:rPr>
        <w:t>政府预决算本级支出公开到功能分类项级科目，一般公共预算基本支出公开到经济性质分类款级科目、专项转移支付分地区、分项目公开。</w:t>
      </w:r>
      <w:r>
        <w:rPr>
          <w:rFonts w:hint="eastAsia" w:ascii="黑体" w:hAnsi="黑体" w:eastAsia="黑体" w:cs="黑体"/>
          <w:sz w:val="32"/>
          <w:szCs w:val="32"/>
        </w:rPr>
        <w:t>二是</w:t>
      </w:r>
      <w:r>
        <w:rPr>
          <w:rFonts w:hint="eastAsia" w:ascii="仿宋" w:hAnsi="仿宋" w:eastAsia="仿宋" w:cs="黑体"/>
          <w:sz w:val="32"/>
          <w:szCs w:val="32"/>
        </w:rPr>
        <w:t>部门</w:t>
      </w:r>
      <w:r>
        <w:rPr>
          <w:rFonts w:hint="eastAsia" w:ascii="仿宋" w:hAnsi="仿宋" w:eastAsia="仿宋"/>
          <w:sz w:val="32"/>
          <w:szCs w:val="32"/>
        </w:rPr>
        <w:t>预决算一般公共预算支出表公开到功能分类项级科目，一般公共预算基本支出表公开的经济性质分类款级科目、“三公”经费增减变化原因进行说明。</w:t>
      </w:r>
      <w:r>
        <w:rPr>
          <w:rFonts w:hint="eastAsia" w:ascii="黑体" w:hAnsi="黑体" w:eastAsia="黑体"/>
          <w:sz w:val="32"/>
          <w:szCs w:val="32"/>
        </w:rPr>
        <w:t>三是</w:t>
      </w:r>
      <w:r>
        <w:rPr>
          <w:rFonts w:hint="eastAsia" w:ascii="仿宋" w:hAnsi="仿宋" w:eastAsia="仿宋"/>
          <w:sz w:val="32"/>
          <w:szCs w:val="32"/>
        </w:rPr>
        <w:t>一般公共预算“三公”经费预决算按照“因公出国（境）费”、“公务接待费”、“公务用车购置及运行费”分项公开，将“公务用车购置及运行费”细化公开到“公务用车购置”和“公务用车运行费”两部分。在“三公”经费决算信息中说明了因公出国（境）团组数及人数，公务用车购置数及保有量，国内公务接待的批次、人数等信息。</w:t>
      </w:r>
      <w:r>
        <w:rPr>
          <w:rFonts w:hint="eastAsia" w:ascii="黑体" w:hAnsi="黑体" w:eastAsia="黑体"/>
          <w:sz w:val="32"/>
          <w:szCs w:val="32"/>
        </w:rPr>
        <w:t>四是</w:t>
      </w:r>
      <w:r>
        <w:rPr>
          <w:rFonts w:hint="eastAsia" w:ascii="仿宋" w:hAnsi="仿宋" w:eastAsia="仿宋" w:cs="仿宋"/>
          <w:sz w:val="32"/>
          <w:szCs w:val="32"/>
        </w:rPr>
        <w:t>部门预决算对资产总额、流动资产、固定资产方面情况进行了说明。</w:t>
      </w:r>
      <w:r>
        <w:rPr>
          <w:rFonts w:hint="eastAsia" w:ascii="黑体" w:hAnsi="黑体" w:eastAsia="黑体" w:cs="黑体"/>
          <w:sz w:val="32"/>
          <w:szCs w:val="32"/>
        </w:rPr>
        <w:t>五是</w:t>
      </w:r>
      <w:r>
        <w:rPr>
          <w:rFonts w:hint="eastAsia" w:ascii="仿宋" w:hAnsi="仿宋" w:eastAsia="仿宋"/>
          <w:sz w:val="32"/>
          <w:szCs w:val="32"/>
        </w:rPr>
        <w:t>全市74个部门中，2个部门有2</w:t>
      </w:r>
      <w:r>
        <w:rPr>
          <w:rFonts w:ascii="仿宋" w:hAnsi="仿宋" w:eastAsia="仿宋"/>
          <w:sz w:val="32"/>
          <w:szCs w:val="32"/>
        </w:rPr>
        <w:t>01</w:t>
      </w:r>
      <w:r>
        <w:rPr>
          <w:rFonts w:hint="eastAsia" w:ascii="仿宋" w:hAnsi="仿宋" w:eastAsia="仿宋"/>
          <w:sz w:val="32"/>
          <w:szCs w:val="32"/>
        </w:rPr>
        <w:t>8年度有政府性基金决算收支，分别是盘锦市体育局、盘锦市民政局，其余72个部门2</w:t>
      </w:r>
      <w:r>
        <w:rPr>
          <w:rFonts w:ascii="仿宋" w:hAnsi="仿宋" w:eastAsia="仿宋"/>
          <w:sz w:val="32"/>
          <w:szCs w:val="32"/>
        </w:rPr>
        <w:t>01</w:t>
      </w:r>
      <w:r>
        <w:rPr>
          <w:rFonts w:hint="eastAsia" w:ascii="仿宋" w:hAnsi="仿宋" w:eastAsia="仿宋"/>
          <w:sz w:val="32"/>
          <w:szCs w:val="32"/>
        </w:rPr>
        <w:t>8年度无政府性基金收支预算。</w:t>
      </w:r>
    </w:p>
    <w:p w14:paraId="17529399">
      <w:pPr>
        <w:spacing w:line="620" w:lineRule="exact"/>
        <w:ind w:firstLine="643" w:firstLineChars="200"/>
        <w:rPr>
          <w:rFonts w:ascii="仿宋" w:hAnsi="仿宋" w:eastAsia="仿宋" w:cs="仿宋"/>
          <w:b/>
          <w:bCs/>
          <w:sz w:val="32"/>
          <w:szCs w:val="32"/>
        </w:rPr>
      </w:pPr>
      <w:r>
        <w:rPr>
          <w:rFonts w:hint="eastAsia" w:ascii="楷体" w:hAnsi="楷体" w:eastAsia="楷体" w:cs="楷体"/>
          <w:b/>
          <w:bCs/>
          <w:sz w:val="32"/>
          <w:szCs w:val="32"/>
        </w:rPr>
        <w:t>（四）公开方式方面情况</w:t>
      </w:r>
    </w:p>
    <w:p w14:paraId="19437304">
      <w:pPr>
        <w:ind w:firstLine="640"/>
        <w:jc w:val="left"/>
        <w:rPr>
          <w:rFonts w:ascii="仿宋" w:hAnsi="仿宋" w:eastAsia="仿宋" w:cs="仿宋"/>
          <w:sz w:val="32"/>
          <w:szCs w:val="32"/>
        </w:rPr>
      </w:pPr>
      <w:r>
        <w:rPr>
          <w:rFonts w:hint="eastAsia" w:ascii="仿宋" w:hAnsi="仿宋" w:eastAsia="仿宋" w:cs="仿宋"/>
          <w:sz w:val="32"/>
          <w:szCs w:val="32"/>
        </w:rPr>
        <w:t>盘锦市财政局门户网站设置了“财政预决算信息公开”栏目，将政府预决算、市本级部门预决算等信息统一集中到一个平台公开，方便社会各界集中查询。此外，要求和督促各预算部门，在财政局网站上公开部门预决算的同时，在各自门户网站上重新公开，实行部门预决算“双公开”。</w:t>
      </w:r>
    </w:p>
    <w:p w14:paraId="58D58CA6">
      <w:pPr>
        <w:ind w:firstLine="640" w:firstLineChars="200"/>
        <w:rPr>
          <w:rFonts w:ascii="仿宋" w:hAnsi="仿宋" w:eastAsia="仿宋" w:cs="仿宋"/>
          <w:sz w:val="32"/>
          <w:szCs w:val="32"/>
        </w:rPr>
      </w:pPr>
    </w:p>
    <w:p w14:paraId="414FF103">
      <w:pPr>
        <w:ind w:firstLine="640" w:firstLineChars="200"/>
        <w:rPr>
          <w:rFonts w:ascii="仿宋" w:hAnsi="仿宋" w:eastAsia="仿宋" w:cs="仿宋"/>
          <w:sz w:val="32"/>
          <w:szCs w:val="32"/>
        </w:rPr>
      </w:pPr>
    </w:p>
    <w:p w14:paraId="6E245ED2">
      <w:pPr>
        <w:ind w:firstLine="640" w:firstLineChars="200"/>
        <w:rPr>
          <w:rFonts w:ascii="仿宋" w:hAnsi="仿宋" w:eastAsia="仿宋" w:cs="仿宋"/>
          <w:sz w:val="32"/>
          <w:szCs w:val="32"/>
        </w:rPr>
      </w:pPr>
    </w:p>
    <w:p w14:paraId="54492CB8">
      <w:pPr>
        <w:ind w:firstLine="640" w:firstLineChars="200"/>
        <w:rPr>
          <w:rFonts w:ascii="仿宋" w:hAnsi="仿宋" w:eastAsia="仿宋" w:cs="仿宋"/>
          <w:sz w:val="32"/>
          <w:szCs w:val="32"/>
        </w:rPr>
      </w:pPr>
      <w:r>
        <w:rPr>
          <w:rFonts w:hint="eastAsia" w:ascii="仿宋" w:hAnsi="仿宋" w:eastAsia="仿宋" w:cs="仿宋"/>
          <w:sz w:val="32"/>
          <w:szCs w:val="32"/>
        </w:rPr>
        <w:t xml:space="preserve">                            盘锦市财政局</w:t>
      </w:r>
    </w:p>
    <w:p w14:paraId="1B98ECBD">
      <w:pPr>
        <w:ind w:firstLine="640" w:firstLineChars="200"/>
        <w:rPr>
          <w:rFonts w:ascii="仿宋" w:hAnsi="仿宋" w:eastAsia="仿宋" w:cs="仿宋"/>
          <w:sz w:val="32"/>
          <w:szCs w:val="32"/>
        </w:rPr>
      </w:pPr>
      <w:r>
        <w:rPr>
          <w:rFonts w:ascii="仿宋" w:hAnsi="仿宋" w:eastAsia="仿宋" w:cs="仿宋"/>
          <w:sz w:val="32"/>
          <w:szCs w:val="32"/>
        </w:rPr>
        <w:t xml:space="preserve">                           2019</w:t>
      </w:r>
      <w:r>
        <w:rPr>
          <w:rFonts w:hint="eastAsia" w:ascii="仿宋" w:hAnsi="仿宋" w:eastAsia="仿宋" w:cs="仿宋"/>
          <w:sz w:val="32"/>
          <w:szCs w:val="32"/>
        </w:rPr>
        <w:t>年2月10日</w:t>
      </w: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24AB5C">
    <w:pPr>
      <w:pStyle w:val="2"/>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0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36CE8FEE">
                          <w:pPr>
                            <w:pStyle w:val="2"/>
                          </w:pPr>
                          <w:r>
                            <w:fldChar w:fldCharType="begin"/>
                          </w:r>
                          <w:r>
                            <w:instrText xml:space="preserve"> PAGE  \* MERGEFORMAT </w:instrText>
                          </w:r>
                          <w:r>
                            <w:fldChar w:fldCharType="separate"/>
                          </w:r>
                          <w:r>
                            <w:t>1</w:t>
                          </w:r>
                          <w:r>
                            <w:fldChar w:fldCharType="end"/>
                          </w:r>
                        </w:p>
                      </w:txbxContent>
                    </wps:txbx>
                    <wps:bodyPr wrap="none" lIns="0" tIns="0" rIns="0" bIns="0" upright="1">
                      <a:spAutoFit/>
                    </wps:bodyPr>
                  </wps:wsp>
                </a:graphicData>
              </a:graphic>
            </wp:anchor>
          </w:drawing>
        </mc:Choice>
        <mc:Fallback>
          <w:pict>
            <v:shape id="文本框 1025"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">
              <v:fill on="f" focussize="0,0"/>
              <v:stroke on="f" weight="0.5pt"/>
              <v:imagedata o:title=""/>
              <o:lock v:ext="edit" aspectratio="f"/>
              <v:textbox inset="0mm,0mm,0mm,0mm" style="mso-fit-shape-to-text:t;">
                <w:txbxContent>
                  <w:p w14:paraId="36CE8FEE">
                    <w:pPr>
                      <w:pStyle w:val="2"/>
                    </w:pPr>
                    <w:r>
                      <w:fldChar w:fldCharType="begin"/>
                    </w:r>
                    <w:r>
                      <w:instrText xml:space="preserve"> PAGE  \* MERGEFORMAT </w:instrText>
                    </w:r>
                    <w:r>
                      <w:fldChar w:fldCharType="separate"/>
                    </w:r>
                    <w:r>
                      <w:t>1</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75981C8"/>
    <w:multiLevelType w:val="singleLevel"/>
    <w:tmpl w:val="D75981C8"/>
    <w:lvl w:ilvl="0" w:tentative="0">
      <w:start w:val="1"/>
      <w:numFmt w:val="chineseCounting"/>
      <w:suff w:val="nothing"/>
      <w:lvlText w:val="%1、"/>
      <w:lvlJc w:val="left"/>
      <w:rPr>
        <w:rFonts w:hint="eastAsia"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documentProtection w:enforcement="0"/>
  <w:defaultTabStop w:val="420"/>
  <w:drawingGridVerticalSpacing w:val="156"/>
  <w:noPunctuationKerning w:val="1"/>
  <w:characterSpacingControl w:val="compressPunctuation"/>
  <w:noLineBreaksAfter w:lang="zh-CN" w:val="$([{£¥·‘“〈《「『【〔〖〝﹙﹛﹝＄（．［｛￡￥"/>
  <w:noLineBreaksBefore w:lang="zh-CN" w:val="!%),.:;&gt;?]}¢¨°·ˇˉ―‖’”…‰′″›℃∶、。〃〉》」』】〕〗〞︶︺︾﹀﹄﹚﹜﹞！＂％＇），．：；？］｀｜｝～￠"/>
  <w:hdrShapeDefaults>
    <o:shapelayout v:ext="edit">
      <o:idmap v:ext="edit" data="1"/>
    </o:shapelayout>
  </w:hdrShapeDefaults>
  <w:compat>
    <w:spaceForUL/>
    <w:balanceSingleByteDoubleByteWidth/>
    <w:doNotLeaveBackslashAlone/>
    <w:ulTrailSpace/>
    <w:doNotExpandShiftReturn/>
    <w:adjustLineHeightInTable/>
    <w:useFELayout/>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B1F28"/>
    <w:rsid w:val="000376B7"/>
    <w:rsid w:val="000C297F"/>
    <w:rsid w:val="001B0A95"/>
    <w:rsid w:val="00346A26"/>
    <w:rsid w:val="00361AF0"/>
    <w:rsid w:val="003D56AA"/>
    <w:rsid w:val="00487FA3"/>
    <w:rsid w:val="004B1F28"/>
    <w:rsid w:val="004C2A6C"/>
    <w:rsid w:val="004D691A"/>
    <w:rsid w:val="00545171"/>
    <w:rsid w:val="006020D9"/>
    <w:rsid w:val="0061673F"/>
    <w:rsid w:val="006350B8"/>
    <w:rsid w:val="006E33D4"/>
    <w:rsid w:val="00702444"/>
    <w:rsid w:val="0071637D"/>
    <w:rsid w:val="00756C90"/>
    <w:rsid w:val="0084799A"/>
    <w:rsid w:val="00873673"/>
    <w:rsid w:val="00B0505B"/>
    <w:rsid w:val="00B618AF"/>
    <w:rsid w:val="00B66606"/>
    <w:rsid w:val="00B85AB0"/>
    <w:rsid w:val="00BC199D"/>
    <w:rsid w:val="00BF3B23"/>
    <w:rsid w:val="00C15E87"/>
    <w:rsid w:val="00C63905"/>
    <w:rsid w:val="00D11347"/>
    <w:rsid w:val="00DC1CF1"/>
    <w:rsid w:val="00E103AE"/>
    <w:rsid w:val="00E95323"/>
    <w:rsid w:val="00F43CAF"/>
    <w:rsid w:val="00F7301B"/>
    <w:rsid w:val="00F96B75"/>
    <w:rsid w:val="00FD0BE7"/>
    <w:rsid w:val="058505C9"/>
    <w:rsid w:val="0905682C"/>
    <w:rsid w:val="177C35B0"/>
    <w:rsid w:val="18267443"/>
    <w:rsid w:val="1CEC3463"/>
    <w:rsid w:val="20DE0051"/>
    <w:rsid w:val="375F5768"/>
    <w:rsid w:val="3E910726"/>
    <w:rsid w:val="480A577F"/>
    <w:rsid w:val="562B60F2"/>
    <w:rsid w:val="619B0944"/>
    <w:rsid w:val="677E43BF"/>
    <w:rsid w:val="6BE10616"/>
    <w:rsid w:val="6E0D2878"/>
    <w:rsid w:val="737E000B"/>
    <w:rsid w:val="7C026D6F"/>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uiPriority="99" w:name="annotation text"/>
    <w:lsdException w:qFormat="1" w:unhideWhenUsed="0" w:uiPriority="99" w:name="header"/>
    <w:lsdException w:qFormat="1" w:unhideWhenUsed="0" w:uiPriority="99"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nhideWhenUsed="0" w:uiPriority="99" w:name="Hyperlink"/>
    <w:lsdException w:qFormat="1" w:unhideWhenUsed="0" w:uiPriority="99" w:name="FollowedHyperlink"/>
    <w:lsdException w:qFormat="1" w:unhideWhenUsed="0" w:uiPriority="99" w:semiHidden="0" w:name="Strong"/>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0" w:semiHidden="0" w:name="Table Grid" w:locked="1"/>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6">
    <w:name w:val="Default Paragraph Font"/>
    <w:semiHidden/>
    <w:unhideWhenUsed/>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10"/>
    <w:semiHidden/>
    <w:qFormat/>
    <w:uiPriority w:val="99"/>
    <w:pPr>
      <w:tabs>
        <w:tab w:val="center" w:pos="4153"/>
        <w:tab w:val="right" w:pos="8306"/>
      </w:tabs>
      <w:snapToGrid w:val="0"/>
      <w:jc w:val="left"/>
    </w:pPr>
    <w:rPr>
      <w:sz w:val="18"/>
      <w:szCs w:val="18"/>
    </w:rPr>
  </w:style>
  <w:style w:type="paragraph" w:styleId="3">
    <w:name w:val="header"/>
    <w:basedOn w:val="1"/>
    <w:link w:val="11"/>
    <w:semiHidden/>
    <w:qFormat/>
    <w:uiPriority w:val="99"/>
    <w:pPr>
      <w:pBdr>
        <w:bottom w:val="single" w:color="auto" w:sz="6" w:space="1"/>
      </w:pBdr>
      <w:tabs>
        <w:tab w:val="center" w:pos="4153"/>
        <w:tab w:val="right" w:pos="8306"/>
      </w:tabs>
      <w:snapToGrid w:val="0"/>
      <w:jc w:val="center"/>
    </w:pPr>
    <w:rPr>
      <w:sz w:val="18"/>
      <w:szCs w:val="18"/>
    </w:rPr>
  </w:style>
  <w:style w:type="paragraph" w:styleId="4">
    <w:name w:val="Normal (Web)"/>
    <w:basedOn w:val="1"/>
    <w:qFormat/>
    <w:uiPriority w:val="99"/>
    <w:pPr>
      <w:spacing w:beforeAutospacing="1" w:afterAutospacing="1"/>
      <w:jc w:val="left"/>
    </w:pPr>
    <w:rPr>
      <w:kern w:val="0"/>
      <w:sz w:val="24"/>
    </w:rPr>
  </w:style>
  <w:style w:type="character" w:styleId="7">
    <w:name w:val="Strong"/>
    <w:basedOn w:val="6"/>
    <w:qFormat/>
    <w:uiPriority w:val="99"/>
    <w:rPr>
      <w:rFonts w:cs="Times New Roman"/>
      <w:b/>
    </w:rPr>
  </w:style>
  <w:style w:type="character" w:styleId="8">
    <w:name w:val="FollowedHyperlink"/>
    <w:basedOn w:val="6"/>
    <w:semiHidden/>
    <w:qFormat/>
    <w:uiPriority w:val="99"/>
    <w:rPr>
      <w:rFonts w:cs="Times New Roman"/>
      <w:color w:val="000000"/>
      <w:sz w:val="18"/>
      <w:szCs w:val="18"/>
      <w:u w:val="none"/>
    </w:rPr>
  </w:style>
  <w:style w:type="character" w:styleId="9">
    <w:name w:val="Hyperlink"/>
    <w:basedOn w:val="6"/>
    <w:semiHidden/>
    <w:uiPriority w:val="99"/>
    <w:rPr>
      <w:rFonts w:cs="Times New Roman"/>
      <w:color w:val="000000"/>
      <w:sz w:val="18"/>
      <w:szCs w:val="18"/>
      <w:u w:val="none"/>
    </w:rPr>
  </w:style>
  <w:style w:type="character" w:customStyle="1" w:styleId="10">
    <w:name w:val="页脚 Char"/>
    <w:basedOn w:val="6"/>
    <w:link w:val="2"/>
    <w:semiHidden/>
    <w:qFormat/>
    <w:locked/>
    <w:uiPriority w:val="99"/>
    <w:rPr>
      <w:rFonts w:cs="Times New Roman"/>
      <w:sz w:val="18"/>
      <w:szCs w:val="18"/>
    </w:rPr>
  </w:style>
  <w:style w:type="character" w:customStyle="1" w:styleId="11">
    <w:name w:val="页眉 Char"/>
    <w:basedOn w:val="6"/>
    <w:link w:val="3"/>
    <w:semiHidden/>
    <w:qFormat/>
    <w:locked/>
    <w:uiPriority w:val="99"/>
    <w:rPr>
      <w:rFonts w:cs="Times New Roman"/>
      <w:sz w:val="18"/>
      <w:szCs w:val="18"/>
    </w:rPr>
  </w:style>
  <w:style w:type="paragraph" w:customStyle="1" w:styleId="12">
    <w:name w:val="custom_unionstyle"/>
    <w:basedOn w:val="1"/>
    <w:qFormat/>
    <w:uiPriority w:val="99"/>
    <w:pPr>
      <w:widowControl/>
      <w:spacing w:before="100" w:beforeAutospacing="1" w:after="100" w:afterAutospacing="1"/>
      <w:jc w:val="left"/>
    </w:pPr>
    <w:rPr>
      <w:rFonts w:ascii="宋体" w:hAnsi="宋体" w:cs="宋体"/>
      <w:kern w:val="0"/>
      <w:sz w:val="24"/>
      <w:szCs w:val="24"/>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3</Pages>
  <Words>1187</Words>
  <Characters>1223</Characters>
  <Lines>9</Lines>
  <Paragraphs>2</Paragraphs>
  <TotalTime>4</TotalTime>
  <ScaleCrop>false</ScaleCrop>
  <LinksUpToDate>false</LinksUpToDate>
  <CharactersWithSpaces>1282</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2019-01-26T03:46:00Z</dcterms:created>
  <dc:creator>ADMIN</dc:creator>
  <cp:lastModifiedBy>西瓜爱上了夏天</cp:lastModifiedBy>
  <cp:lastPrinted>2019-02-20T06:46:00Z</cp:lastPrinted>
  <dcterms:modified xsi:type="dcterms:W3CDTF">2025-04-29T08:17:53Z</dcterms:modified>
  <dc:title>关于财政预算公开情况的汇报</dc:title>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KSOTemplateDocerSaveRecord">
    <vt:lpwstr>eyJoZGlkIjoiNDJjOTZlYWFiYjM0MTM1ZTMyNDQxZTM1ZmVhYjE1MzgiLCJ1c2VySWQiOiI0NDQ3ODA1MTUifQ==</vt:lpwstr>
  </property>
  <property fmtid="{D5CDD505-2E9C-101B-9397-08002B2CF9AE}" pid="4" name="ICV">
    <vt:lpwstr>32AC65C2B0BC4DD7998245EF1742F301_13</vt:lpwstr>
  </property>
</Properties>
</file>