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jc w:val="center"/>
        <w:rPr>
          <w:rFonts w:ascii="楷体_GB2312" w:hAnsi="Calibri" w:eastAsia="楷体_GB2312" w:cs="Times New Roman"/>
          <w:sz w:val="44"/>
          <w:szCs w:val="44"/>
        </w:rPr>
      </w:pPr>
      <w:r>
        <w:rPr>
          <w:rFonts w:hint="eastAsia" w:ascii="楷体_GB2312" w:hAnsi="Calibri" w:eastAsia="楷体_GB2312" w:cs="Times New Roman"/>
          <w:sz w:val="44"/>
          <w:szCs w:val="44"/>
        </w:rPr>
        <w:t>201</w:t>
      </w:r>
      <w:r>
        <w:rPr>
          <w:rFonts w:hint="eastAsia" w:ascii="楷体_GB2312" w:eastAsia="楷体_GB2312"/>
          <w:sz w:val="44"/>
          <w:szCs w:val="44"/>
        </w:rPr>
        <w:t>5</w:t>
      </w:r>
      <w:r>
        <w:rPr>
          <w:rFonts w:hint="eastAsia" w:ascii="楷体_GB2312" w:hAnsi="Calibri" w:eastAsia="楷体_GB2312" w:cs="Times New Roman"/>
          <w:sz w:val="44"/>
          <w:szCs w:val="44"/>
        </w:rPr>
        <w:t>年度（</w:t>
      </w:r>
      <w:r>
        <w:rPr>
          <w:rFonts w:hint="eastAsia" w:ascii="楷体_GB2312" w:eastAsia="楷体_GB2312"/>
          <w:sz w:val="44"/>
          <w:szCs w:val="44"/>
        </w:rPr>
        <w:t>盘锦市双台子区人民法院</w:t>
      </w:r>
      <w:r>
        <w:rPr>
          <w:rFonts w:hint="eastAsia" w:ascii="楷体_GB2312" w:hAnsi="Calibri" w:eastAsia="楷体_GB2312" w:cs="Times New Roman"/>
          <w:sz w:val="44"/>
          <w:szCs w:val="44"/>
        </w:rPr>
        <w:t>）部门</w:t>
      </w:r>
      <w:r>
        <w:rPr>
          <w:rFonts w:hint="eastAsia" w:ascii="楷体_GB2312" w:hAnsi="Calibri" w:eastAsia="楷体_GB2312" w:cs="Times New Roman"/>
          <w:sz w:val="44"/>
          <w:szCs w:val="44"/>
          <w:lang w:eastAsia="zh-CN"/>
        </w:rPr>
        <w:t>预</w:t>
      </w:r>
      <w:r>
        <w:rPr>
          <w:rFonts w:hint="eastAsia" w:ascii="楷体_GB2312" w:hAnsi="Calibri" w:eastAsia="楷体_GB2312" w:cs="Times New Roman"/>
          <w:sz w:val="44"/>
          <w:szCs w:val="44"/>
        </w:rPr>
        <w:t>算信息公开情况说明</w:t>
      </w:r>
    </w:p>
    <w:p>
      <w:pPr>
        <w:numPr>
          <w:ilvl w:val="0"/>
          <w:numId w:val="1"/>
        </w:num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 xml:space="preserve">主要职能 </w:t>
      </w:r>
    </w:p>
    <w:p>
      <w:pPr>
        <w:numPr>
          <w:ilvl w:val="0"/>
          <w:numId w:val="0"/>
        </w:numPr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  <w:lang w:val="en-US" w:eastAsia="zh-CN"/>
        </w:rPr>
        <w:t xml:space="preserve">    </w:t>
      </w:r>
      <w:r>
        <w:rPr>
          <w:rFonts w:ascii="楷体" w:hAnsi="楷体" w:eastAsia="楷体"/>
          <w:sz w:val="30"/>
          <w:szCs w:val="30"/>
        </w:rPr>
        <w:t>人民法院是中华人民共和国的国家审判机关，中华人民共和国设立最高人民法院、地方各级人民法院和军事法院等专门人民法院。其审理案件，除法律规定的特别情况外，一律公开进行。被告人有权获得辩护。</w:t>
      </w:r>
    </w:p>
    <w:p>
      <w:pPr>
        <w:ind w:firstLine="600" w:firstLineChars="2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Times New Roman"/>
          <w:sz w:val="30"/>
          <w:szCs w:val="30"/>
        </w:rPr>
        <w:t>二、机构编制情况</w:t>
      </w:r>
    </w:p>
    <w:p>
      <w:pPr>
        <w:ind w:firstLine="600" w:firstLineChars="200"/>
        <w:rPr>
          <w:rFonts w:ascii="楷体" w:hAnsi="楷体" w:eastAsia="楷体" w:cs="Times New Roman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行政编制56人 ，事业4人(其中人才储备中心编制3人，环卫处编制1人)，临时聘用人员25人。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00" w:firstLineChars="200"/>
        <w:jc w:val="both"/>
        <w:rPr>
          <w:rFonts w:hint="eastAsia" w:ascii="楷体_GB2312" w:eastAsia="楷体_GB2312" w:cs="楷体_GB2312"/>
          <w:sz w:val="30"/>
          <w:szCs w:val="30"/>
          <w:lang w:val="en-US"/>
        </w:rPr>
      </w:pPr>
      <w:r>
        <w:rPr>
          <w:rFonts w:hint="eastAsia" w:ascii="楷体_GB2312" w:hAnsi="Times New Roman" w:eastAsia="楷体_GB2312" w:cs="楷体_GB2312"/>
          <w:bCs/>
          <w:kern w:val="2"/>
          <w:sz w:val="30"/>
          <w:szCs w:val="30"/>
          <w:lang w:val="en-US" w:eastAsia="zh-CN" w:bidi="ar"/>
        </w:rPr>
        <w:t>三、部门预算安排情况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 2015年，共收到财政拨款591.6万元，无上年结余结转资金。其中：公共安全支出479.5万元，社会保障和就业支出87.9万元，住房保障支出24.27万元。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eastAsia="楷体_GB2312" w:cs="楷体_GB2312"/>
          <w:sz w:val="30"/>
          <w:szCs w:val="3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三、项目资金安排情况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 无。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楷体_GB2312" w:eastAsia="楷体_GB2312" w:cs="楷体_GB2312"/>
          <w:sz w:val="30"/>
          <w:szCs w:val="30"/>
          <w:lang w:val="en-US"/>
        </w:rPr>
      </w:pP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四、单位三公经费预算情况说明    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  安排三公经费34万元。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（一）因公出国（境）预</w:t>
      </w:r>
      <w:bookmarkStart w:id="0" w:name="_GoBack"/>
      <w:bookmarkEnd w:id="0"/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>算。我单位不存在因公出国（境）的情况，此项预算无。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（二）公务用车购置及运行费。“公务用车运行费”33万元。</w:t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br w:type="textWrapping"/>
      </w:r>
      <w:r>
        <w:rPr>
          <w:rFonts w:hint="eastAsia" w:ascii="楷体_GB2312" w:hAnsi="Times New Roman" w:eastAsia="楷体_GB2312" w:cs="楷体_GB2312"/>
          <w:kern w:val="2"/>
          <w:sz w:val="30"/>
          <w:szCs w:val="30"/>
          <w:lang w:val="en-US" w:eastAsia="zh-CN" w:bidi="ar"/>
        </w:rPr>
        <w:t xml:space="preserve">    （三）公务招待费用：1万元。</w:t>
      </w:r>
    </w:p>
    <w:p>
      <w:pPr>
        <w:ind w:firstLine="600"/>
        <w:rPr>
          <w:rFonts w:ascii="楷体" w:hAnsi="楷体" w:eastAsia="楷体"/>
          <w:sz w:val="30"/>
          <w:szCs w:val="30"/>
        </w:rPr>
      </w:pPr>
    </w:p>
    <w:p>
      <w:pPr>
        <w:rPr>
          <w:rFonts w:ascii="楷体_GB2312" w:eastAsia="楷体_GB2312"/>
          <w:sz w:val="30"/>
          <w:szCs w:val="30"/>
        </w:rPr>
      </w:pP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roman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modern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楷体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4510133">
    <w:nsid w:val="574AA6B5"/>
    <w:multiLevelType w:val="singleLevel"/>
    <w:tmpl w:val="574AA6B5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4645101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rsids>
    <w:rsidRoot w:val="00924AE2"/>
    <w:rsid w:val="003A2359"/>
    <w:rsid w:val="00760AEE"/>
    <w:rsid w:val="00924AE2"/>
    <w:rsid w:val="00D1114F"/>
    <w:rsid w:val="00E217AC"/>
    <w:rsid w:val="18402DB5"/>
    <w:rsid w:val="5088666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411</Characters>
  <Lines>3</Lines>
  <Paragraphs>1</Paragraphs>
  <ScaleCrop>false</ScaleCrop>
  <LinksUpToDate>false</LinksUpToDate>
  <CharactersWithSpaces>481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2016-05-26T07:38:00Z</dcterms:created>
  <dc:creator>user</dc:creator>
  <cp:lastModifiedBy>Administrator</cp:lastModifiedBy>
  <dcterms:modified xsi:type="dcterms:W3CDTF">2016-05-29T12:00:59Z</dcterms:modified>
  <dc:title>2015年度（盘锦市双台子区人民法院）部门决算信息公开情况说明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