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486B7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双台子区信访局</w:t>
      </w:r>
      <w:r w:rsidR="002833B3"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 w:rsidR="002833B3">
        <w:rPr>
          <w:rFonts w:ascii="宋体" w:eastAsia="宋体" w:hAnsi="Times New Roman" w:cs="宋体"/>
          <w:b/>
          <w:bCs/>
          <w:sz w:val="52"/>
          <w:szCs w:val="52"/>
        </w:rPr>
        <w:t>2017</w:t>
      </w:r>
      <w:r w:rsidR="002833B3"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lastRenderedPageBreak/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（一）贯彻落实党的群众路线，负责研究部署和指导全区的信访稳定工作；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（二）贯彻落实上级主管部门和区委、区政府关于信访稳定工作</w:t>
      </w:r>
      <w:r>
        <w:rPr>
          <w:rFonts w:ascii="楷体_GB2312" w:eastAsia="楷体_GB2312" w:hAnsi="楷体_GB2312" w:cs="楷体_GB2312" w:hint="eastAsia"/>
          <w:sz w:val="30"/>
          <w:szCs w:val="30"/>
        </w:rPr>
        <w:lastRenderedPageBreak/>
        <w:t>的决策部署，定期分析形势，通报工作情况，提出改进工作意见，组织协调、督促检查全区的信访稳定工作；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（三）代表区委、区政府接待人民来访，受理人民来信和电话、网络投诉，交办和转送信访人提出的信访事项；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（四）承办上级机关和区委、区政府领导交办的信访事项，督促检查领导同志批示件的落实情况；向有关街镇和部门转办、交办信访事项，对落实情况进行审理和督查督办，并反馈有关情况；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（五）协调处理跨地区、跨部门的重要信访案件；协调处理群众集体进京、去省、到市、来区上访和突发事件；直接查处重大疑难信访案件；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（六）征集群众意见，反映社情民意，及时向区委、区政府提供信访信息，并对涉及群众利益的政策性问题提出意见和建议；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（七）监督检查涉及群众利益政策的贯彻落实；对涉及群众利益的改革性政策和重大项目进行稳定风险评估；对重要信访案件实施监督和责任查究，对损害群众利益的行为提出责任追究的意见和建议；</w:t>
      </w:r>
      <w:r>
        <w:rPr>
          <w:rFonts w:ascii="楷体_GB2312" w:eastAsia="楷体_GB2312" w:hAnsi="楷体_GB2312" w:cs="楷体_GB2312" w:hint="eastAsia"/>
          <w:sz w:val="30"/>
          <w:szCs w:val="30"/>
        </w:rPr>
        <w:br/>
        <w:t>（八）负责区信访工作联席会议办公室日常工作；负责信访复查事项的调查取证，监督复查决定的执行；</w:t>
      </w:r>
      <w:r>
        <w:rPr>
          <w:rFonts w:ascii="楷体_GB2312" w:eastAsia="楷体_GB2312" w:hAnsi="楷体_GB2312" w:cs="楷体_GB2312" w:hint="eastAsia"/>
          <w:sz w:val="30"/>
          <w:szCs w:val="30"/>
        </w:rPr>
        <w:br/>
        <w:t>（九）负责本部门、本系统信访突发事件的应急管理工作，贯彻落实突发事件应急预案，预防和处置本部门、本系统的突发事件；</w:t>
      </w:r>
      <w:r>
        <w:rPr>
          <w:rFonts w:ascii="楷体_GB2312" w:eastAsia="楷体_GB2312" w:hAnsi="楷体_GB2312" w:cs="楷体_GB2312" w:hint="eastAsia"/>
          <w:sz w:val="30"/>
          <w:szCs w:val="30"/>
        </w:rPr>
        <w:br/>
        <w:t>（十）协调指导对困难群体的帮扶救助和对重要特殊上访群体的稳定，协调对信访人员中违法行为的依法处理；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lastRenderedPageBreak/>
        <w:t>（十一）宣传党的政策，对来访群众进行思想教育和疏导；为来访群众提供有关法律、法规和政策咨询服务；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（十二）加强信访工作队伍建设，负责全区专兼职信访干部的业务培训；</w:t>
      </w:r>
    </w:p>
    <w:p w:rsidR="001251B9" w:rsidRDefault="001251B9" w:rsidP="001251B9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（十三）承办区委、区政府交办的其他事项。</w:t>
      </w:r>
    </w:p>
    <w:p w:rsidR="00486B7C" w:rsidRPr="001251B9" w:rsidRDefault="00486B7C" w:rsidP="00486B7C">
      <w:pPr>
        <w:pStyle w:val="a5"/>
        <w:widowControl/>
        <w:spacing w:line="420" w:lineRule="atLeast"/>
        <w:ind w:firstLine="420"/>
        <w:rPr>
          <w:rFonts w:ascii="宋体" w:hAnsi="宋体" w:cs="宋体"/>
          <w:color w:val="000000"/>
          <w:sz w:val="32"/>
          <w:szCs w:val="32"/>
        </w:rPr>
      </w:pPr>
    </w:p>
    <w:p w:rsidR="00486B7C" w:rsidRPr="00486B7C" w:rsidRDefault="00486B7C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财政拨款收入万元，其中：一般公共预算财政拨款收入万元，政府性基金预算财政拨款收入万元。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基本支出万元，主要是为保障机构正常运转、完成日常工作任务而发生的各项支出，其中：工资福利支出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="00486B7C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信访局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486B7C" w:rsidRPr="00486B7C">
        <w:rPr>
          <w:rFonts w:ascii="仿宋_GB2312" w:eastAsia="仿宋_GB2312" w:hAnsi="Times New Roman" w:cs="仿宋_GB2312"/>
          <w:sz w:val="32"/>
          <w:szCs w:val="32"/>
        </w:rPr>
        <w:t>163.52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 w:rsidR="00486B7C" w:rsidRPr="00486B7C">
        <w:rPr>
          <w:rFonts w:ascii="仿宋_GB2312" w:eastAsia="仿宋_GB2312" w:hAnsi="Times New Roman" w:cs="仿宋_GB2312"/>
          <w:sz w:val="32"/>
          <w:szCs w:val="32"/>
        </w:rPr>
        <w:t>97.27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486B7C" w:rsidRPr="00486B7C">
        <w:rPr>
          <w:rFonts w:ascii="仿宋_GB2312" w:eastAsia="仿宋_GB2312" w:hAnsi="Times New Roman" w:cs="仿宋_GB2312"/>
          <w:sz w:val="32"/>
          <w:szCs w:val="32"/>
        </w:rPr>
        <w:t>66.25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AC200B" w:rsidRDefault="002833B3" w:rsidP="00AC200B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AC200B" w:rsidRPr="00486B7C">
        <w:rPr>
          <w:rFonts w:ascii="仿宋_GB2312" w:eastAsia="仿宋_GB2312" w:hAnsi="Times New Roman" w:cs="仿宋_GB2312"/>
          <w:sz w:val="32"/>
          <w:szCs w:val="32"/>
        </w:rPr>
        <w:t>163.52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</w:t>
      </w:r>
      <w:r w:rsidR="00AC200B">
        <w:rPr>
          <w:rFonts w:ascii="仿宋_GB2312" w:eastAsia="仿宋_GB2312" w:hAnsi="宋体" w:hint="eastAsia"/>
          <w:sz w:val="32"/>
          <w:szCs w:val="32"/>
        </w:rPr>
        <w:t>包括一般公共服务支出141.27万元，社会保障和就业支出16.64万元。住房保障支出5.6万元。</w:t>
      </w:r>
    </w:p>
    <w:p w:rsidR="00AC200B" w:rsidRDefault="00AC200B" w:rsidP="00AC200B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1.一般公共服务支出141.27万元，包括：</w:t>
      </w:r>
    </w:p>
    <w:p w:rsidR="00AC200B" w:rsidRDefault="00AC200B" w:rsidP="00AC200B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（1）行政运行64.77万元</w:t>
      </w:r>
    </w:p>
    <w:p w:rsidR="00AC200B" w:rsidRDefault="00AC200B" w:rsidP="00AC200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（2）一般行政管理事务0.11万元</w:t>
      </w:r>
    </w:p>
    <w:p w:rsidR="00AC200B" w:rsidRDefault="00AC200B" w:rsidP="00AC200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（3）事业运行10.25万元</w:t>
      </w:r>
    </w:p>
    <w:p w:rsidR="00AC200B" w:rsidRDefault="00AC200B" w:rsidP="00AC200B">
      <w:pPr>
        <w:numPr>
          <w:ilvl w:val="0"/>
          <w:numId w:val="2"/>
        </w:num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社会保障和就业支出16.64万元，包括：</w:t>
      </w:r>
    </w:p>
    <w:p w:rsidR="00AC200B" w:rsidRDefault="00AC200B" w:rsidP="00AC200B">
      <w:pPr>
        <w:spacing w:line="5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归口管理的行政单位离退休16.64万元。</w:t>
      </w:r>
    </w:p>
    <w:p w:rsidR="00AC200B" w:rsidRDefault="00AC200B" w:rsidP="00AC200B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3.住房保障支出5.6万元，包括：</w:t>
      </w:r>
    </w:p>
    <w:p w:rsidR="00AC200B" w:rsidRDefault="00AC200B" w:rsidP="00AC200B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住房公积金支出5.6万元。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 w:rsidR="00C45F66">
        <w:rPr>
          <w:rFonts w:ascii="仿宋_GB2312" w:eastAsia="仿宋_GB2312" w:hAnsi="Times New Roman" w:cs="仿宋_GB2312" w:hint="eastAsia"/>
          <w:sz w:val="32"/>
          <w:szCs w:val="32"/>
        </w:rPr>
        <w:t>2.58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万元，其中：因公出国（境）费万元，公务接待费万元，公务用车购置及运行维护费</w:t>
      </w:r>
      <w:r w:rsidR="00C45F66">
        <w:rPr>
          <w:rFonts w:ascii="仿宋_GB2312" w:eastAsia="仿宋_GB2312" w:hAnsi="Times New Roman" w:cs="仿宋_GB2312" w:hint="eastAsia"/>
          <w:sz w:val="32"/>
          <w:szCs w:val="32"/>
        </w:rPr>
        <w:t>2.58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年减少（增加）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万元，下降（增长）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="00C45F66">
        <w:rPr>
          <w:rFonts w:ascii="仿宋_GB2312" w:eastAsia="仿宋_GB2312" w:hAnsi="Times New Roman" w:cs="仿宋_GB2312" w:hint="eastAsia"/>
          <w:sz w:val="32"/>
          <w:szCs w:val="32"/>
        </w:rPr>
        <w:t>2.58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万元，其中：公务用车购置费万元，公务用车运行维护费</w:t>
      </w:r>
      <w:r w:rsidR="00C45F66">
        <w:rPr>
          <w:rFonts w:ascii="仿宋_GB2312" w:eastAsia="仿宋_GB2312" w:hAnsi="Times New Roman" w:cs="仿宋_GB2312" w:hint="eastAsia"/>
          <w:sz w:val="32"/>
          <w:szCs w:val="32"/>
        </w:rPr>
        <w:t>2.58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 w:rsidR="00C45F66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C45F66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信访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 w:rsidR="00C45F66">
        <w:rPr>
          <w:rFonts w:ascii="仿宋_GB2312" w:eastAsia="仿宋_GB2312" w:hAnsi="Times New Roman" w:cs="仿宋_GB2312" w:hint="eastAsia"/>
          <w:sz w:val="32"/>
          <w:szCs w:val="32"/>
        </w:rPr>
        <w:t>16.3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C45F66">
        <w:rPr>
          <w:rFonts w:ascii="仿宋_GB2312" w:eastAsia="仿宋_GB2312" w:hAnsi="Times New Roman" w:cs="仿宋_GB2312" w:hint="eastAsia"/>
          <w:sz w:val="32"/>
          <w:szCs w:val="32"/>
        </w:rPr>
        <w:t>减少2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C45F66">
        <w:rPr>
          <w:rFonts w:ascii="仿宋_GB2312" w:eastAsia="仿宋_GB2312" w:hAnsi="Times New Roman" w:cs="仿宋_GB2312" w:hint="eastAsia"/>
          <w:sz w:val="32"/>
          <w:szCs w:val="32"/>
        </w:rPr>
        <w:t>降低</w:t>
      </w:r>
      <w:r w:rsidR="00547AD4">
        <w:rPr>
          <w:rFonts w:ascii="仿宋_GB2312" w:eastAsia="仿宋_GB2312" w:hAnsi="Times New Roman" w:cs="仿宋_GB2312" w:hint="eastAsia"/>
          <w:sz w:val="32"/>
          <w:szCs w:val="32"/>
        </w:rPr>
        <w:t>10.9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lastRenderedPageBreak/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="0045392E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信访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45392E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 w:rsidR="0045392E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2833B3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9E4B14" w:rsidRPr="009E4B14" w:rsidRDefault="009E4B14" w:rsidP="002833B3"/>
    <w:sectPr w:rsidR="009E4B14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AE6" w:rsidRDefault="00AE4AE6" w:rsidP="009E4B14">
      <w:r>
        <w:separator/>
      </w:r>
    </w:p>
  </w:endnote>
  <w:endnote w:type="continuationSeparator" w:id="1">
    <w:p w:rsidR="00AE4AE6" w:rsidRDefault="00AE4AE6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AE6" w:rsidRDefault="00AE4AE6" w:rsidP="009E4B14">
      <w:r>
        <w:separator/>
      </w:r>
    </w:p>
  </w:footnote>
  <w:footnote w:type="continuationSeparator" w:id="1">
    <w:p w:rsidR="00AE4AE6" w:rsidRDefault="00AE4AE6" w:rsidP="009E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D821"/>
    <w:multiLevelType w:val="singleLevel"/>
    <w:tmpl w:val="57C8D821"/>
    <w:lvl w:ilvl="0">
      <w:start w:val="2"/>
      <w:numFmt w:val="decimal"/>
      <w:suff w:val="nothing"/>
      <w:lvlText w:val="%1."/>
      <w:lvlJc w:val="left"/>
    </w:lvl>
  </w:abstractNum>
  <w:abstractNum w:abstractNumId="1">
    <w:nsid w:val="598A6737"/>
    <w:multiLevelType w:val="singleLevel"/>
    <w:tmpl w:val="598A6737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104978"/>
    <w:rsid w:val="001251B9"/>
    <w:rsid w:val="001B6E3C"/>
    <w:rsid w:val="00226A78"/>
    <w:rsid w:val="002833B3"/>
    <w:rsid w:val="002A3E4A"/>
    <w:rsid w:val="002A6FC8"/>
    <w:rsid w:val="00324FA6"/>
    <w:rsid w:val="0045392E"/>
    <w:rsid w:val="00486B7C"/>
    <w:rsid w:val="00547AD4"/>
    <w:rsid w:val="006C7F9A"/>
    <w:rsid w:val="007962FC"/>
    <w:rsid w:val="00883EFE"/>
    <w:rsid w:val="009E4B14"/>
    <w:rsid w:val="00AB6BEC"/>
    <w:rsid w:val="00AC200B"/>
    <w:rsid w:val="00AE4AE6"/>
    <w:rsid w:val="00AE67D1"/>
    <w:rsid w:val="00C4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  <w:style w:type="paragraph" w:styleId="a5">
    <w:name w:val="Normal (Web)"/>
    <w:basedOn w:val="a"/>
    <w:rsid w:val="00486B7C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微软用户</cp:lastModifiedBy>
  <cp:revision>11</cp:revision>
  <dcterms:created xsi:type="dcterms:W3CDTF">2018-08-13T02:09:00Z</dcterms:created>
  <dcterms:modified xsi:type="dcterms:W3CDTF">2019-01-31T02:27:00Z</dcterms:modified>
</cp:coreProperties>
</file>