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>
        <w:rPr>
          <w:rFonts w:ascii="宋体" w:eastAsia="宋体" w:cs="宋体" w:hint="eastAsia"/>
          <w:b/>
          <w:bCs/>
          <w:sz w:val="44"/>
          <w:szCs w:val="44"/>
        </w:rPr>
        <w:t>部门决算公开参考文本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5D50DA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老干部局</w:t>
      </w:r>
      <w:r w:rsidR="002833B3">
        <w:rPr>
          <w:rFonts w:ascii="楷体_GB2312" w:eastAsia="楷体_GB2312" w:hAnsi="Times New Roman" w:cs="楷体_GB2312" w:hint="eastAsia"/>
          <w:b/>
          <w:bCs/>
          <w:i/>
          <w:iCs/>
          <w:sz w:val="52"/>
          <w:szCs w:val="52"/>
        </w:rPr>
        <w:t>部门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Pr="005D50DA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lastRenderedPageBreak/>
        <w:t>第二部分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>
        <w:rPr>
          <w:rFonts w:ascii="楷体_GB2312" w:eastAsia="楷体_GB2312" w:hAnsi="Times New Roman" w:cs="楷体_GB2312"/>
          <w:i/>
          <w:iCs/>
          <w:sz w:val="32"/>
          <w:szCs w:val="32"/>
        </w:rPr>
        <w:t>XX</w:t>
      </w:r>
      <w:r>
        <w:rPr>
          <w:rFonts w:ascii="楷体_GB2312" w:eastAsia="楷体_GB2312" w:hAnsi="Times New Roman" w:cs="楷体_GB2312" w:hint="eastAsia"/>
          <w:i/>
          <w:iCs/>
          <w:sz w:val="32"/>
          <w:szCs w:val="32"/>
        </w:rPr>
        <w:t>部门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5D50DA" w:rsidRDefault="005D50DA" w:rsidP="005D50DA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1、服务管理全区离退休干部，全面落实老干部政治待遇和生活待遇。</w:t>
      </w:r>
    </w:p>
    <w:p w:rsidR="005D50DA" w:rsidRDefault="005D50DA" w:rsidP="005D50DA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2、负责管理老干部活动中心和老年大学，加强思想建设、政治建设和组织建设，教育引导广大离退休老同志为党</w:t>
      </w:r>
      <w:r>
        <w:rPr>
          <w:rFonts w:ascii="仿宋_GB2312" w:eastAsia="仿宋_GB2312" w:hint="eastAsia"/>
          <w:sz w:val="32"/>
          <w:szCs w:val="32"/>
        </w:rPr>
        <w:lastRenderedPageBreak/>
        <w:t>和人民事业增添正能量。</w:t>
      </w:r>
    </w:p>
    <w:p w:rsidR="005D50DA" w:rsidRPr="005D50DA" w:rsidRDefault="005D50DA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纳入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</w:rPr>
        <w:t>年部门决算编制范围的二级预算单位包括：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</w:t>
      </w:r>
      <w:r w:rsidR="005D50DA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158.41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5D50DA">
        <w:rPr>
          <w:rFonts w:ascii="仿宋_GB2312" w:eastAsia="仿宋_GB2312" w:hAnsi="Times New Roman" w:cs="仿宋_GB2312" w:hint="eastAsia"/>
          <w:sz w:val="32"/>
          <w:szCs w:val="32"/>
        </w:rPr>
        <w:t>158.41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5D50DA">
        <w:rPr>
          <w:rFonts w:ascii="仿宋_GB2312" w:eastAsia="仿宋_GB2312" w:hAnsi="Times New Roman" w:cs="仿宋_GB2312" w:hint="eastAsia"/>
          <w:sz w:val="32"/>
          <w:szCs w:val="32"/>
        </w:rPr>
        <w:t>158.41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等收入。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5D50DA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158.41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5D50DA">
        <w:rPr>
          <w:rFonts w:ascii="仿宋_GB2312" w:eastAsia="仿宋_GB2312" w:hAnsi="Times New Roman" w:cs="仿宋_GB2312" w:hint="eastAsia"/>
          <w:sz w:val="32"/>
          <w:szCs w:val="32"/>
        </w:rPr>
        <w:t>158.41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5D50DA" w:rsidRPr="005D50DA">
        <w:rPr>
          <w:rFonts w:ascii="仿宋_GB2312" w:eastAsia="仿宋_GB2312" w:hAnsi="Times New Roman" w:cs="仿宋_GB2312"/>
          <w:sz w:val="32"/>
          <w:szCs w:val="32"/>
        </w:rPr>
        <w:lastRenderedPageBreak/>
        <w:t>18.14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5D50DA" w:rsidRPr="005D50DA">
        <w:rPr>
          <w:rFonts w:ascii="仿宋_GB2312" w:eastAsia="仿宋_GB2312" w:hAnsi="Times New Roman" w:cs="仿宋_GB2312"/>
          <w:sz w:val="32"/>
          <w:szCs w:val="32"/>
        </w:rPr>
        <w:t>91.89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5D50DA" w:rsidRPr="005D50DA">
        <w:rPr>
          <w:rFonts w:ascii="仿宋_GB2312" w:eastAsia="仿宋_GB2312" w:hAnsi="Times New Roman" w:cs="仿宋_GB2312"/>
          <w:sz w:val="32"/>
          <w:szCs w:val="32"/>
        </w:rPr>
        <w:t>16.31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等业务支出。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（三）年末结转和结余万元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等原因形成的结余。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5D50DA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老干部局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年度财政拨款支出万元，其中：基本支出</w:t>
      </w:r>
      <w:r w:rsidR="005D50DA">
        <w:rPr>
          <w:rFonts w:ascii="仿宋_GB2312" w:eastAsia="仿宋_GB2312" w:hAnsi="Times New Roman" w:cs="仿宋_GB2312" w:hint="eastAsia"/>
          <w:sz w:val="32"/>
          <w:szCs w:val="32"/>
        </w:rPr>
        <w:t>158.41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5D50DA">
        <w:rPr>
          <w:rFonts w:ascii="仿宋_GB2312" w:eastAsia="仿宋_GB2312" w:hAnsi="Times New Roman" w:cs="仿宋_GB2312" w:hint="eastAsia"/>
          <w:sz w:val="32"/>
          <w:szCs w:val="32"/>
        </w:rPr>
        <w:t>158.41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 w:rsidR="005D50DA" w:rsidRPr="005D50DA">
        <w:rPr>
          <w:rFonts w:ascii="仿宋_GB2312" w:eastAsia="仿宋_GB2312" w:hAnsi="Times New Roman" w:cs="仿宋_GB2312"/>
          <w:sz w:val="32"/>
          <w:szCs w:val="32"/>
        </w:rPr>
        <w:t>104.29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5D50DA">
        <w:rPr>
          <w:rFonts w:ascii="仿宋_GB2312" w:eastAsia="仿宋_GB2312" w:hAnsi="Times New Roman" w:cs="仿宋_GB2312" w:hint="eastAsia"/>
          <w:sz w:val="32"/>
          <w:szCs w:val="32"/>
        </w:rPr>
        <w:t>住房保障</w:t>
      </w:r>
      <w:r>
        <w:rPr>
          <w:rFonts w:ascii="仿宋_GB2312" w:eastAsia="仿宋_GB2312" w:hAnsi="Times New Roman" w:cs="仿宋_GB2312" w:hint="eastAsia"/>
          <w:sz w:val="32"/>
          <w:szCs w:val="32"/>
        </w:rPr>
        <w:t>支出</w:t>
      </w:r>
      <w:r w:rsidR="005D50DA" w:rsidRPr="005D50DA">
        <w:rPr>
          <w:rFonts w:ascii="仿宋_GB2312" w:eastAsia="仿宋_GB2312" w:hAnsi="Times New Roman" w:cs="仿宋_GB2312"/>
          <w:sz w:val="32"/>
          <w:szCs w:val="32"/>
        </w:rPr>
        <w:t>2.04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 w:rsidR="005D50DA" w:rsidRPr="005D50DA">
        <w:rPr>
          <w:rFonts w:ascii="仿宋_GB2312" w:eastAsia="仿宋_GB2312" w:hAnsi="Times New Roman" w:cs="仿宋_GB2312"/>
          <w:sz w:val="32"/>
          <w:szCs w:val="32"/>
        </w:rPr>
        <w:t>52.07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 w:rsidR="005D50DA" w:rsidRPr="005D50DA">
        <w:rPr>
          <w:rFonts w:ascii="仿宋_GB2312" w:eastAsia="仿宋_GB2312" w:hAnsi="Times New Roman" w:cs="仿宋_GB2312"/>
          <w:sz w:val="32"/>
          <w:szCs w:val="32"/>
        </w:rPr>
        <w:t>104.29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）行政运行</w:t>
      </w:r>
      <w:r w:rsidR="005D50DA" w:rsidRPr="005D50DA">
        <w:rPr>
          <w:rFonts w:ascii="仿宋_GB2312" w:eastAsia="仿宋_GB2312" w:hAnsi="Times New Roman" w:cs="仿宋_GB2312"/>
          <w:sz w:val="32"/>
          <w:szCs w:val="32"/>
        </w:rPr>
        <w:t>72.23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等支出。</w:t>
      </w:r>
    </w:p>
    <w:p w:rsidR="005D50DA" w:rsidRDefault="005D50DA" w:rsidP="002833B3">
      <w:pPr>
        <w:autoSpaceDE w:val="0"/>
        <w:autoSpaceDN w:val="0"/>
        <w:adjustRightInd w:val="0"/>
        <w:spacing w:line="540" w:lineRule="exact"/>
        <w:ind w:firstLine="66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（2）</w:t>
      </w:r>
      <w:r w:rsidRPr="005D50DA">
        <w:rPr>
          <w:rFonts w:ascii="仿宋_GB2312" w:eastAsia="仿宋_GB2312" w:hAnsi="Times New Roman" w:cs="仿宋_GB2312" w:hint="eastAsia"/>
          <w:sz w:val="32"/>
          <w:szCs w:val="32"/>
        </w:rPr>
        <w:t>一般行政管理事务</w:t>
      </w:r>
      <w:r w:rsidR="000A5950" w:rsidRPr="000A5950">
        <w:rPr>
          <w:rFonts w:ascii="仿宋_GB2312" w:eastAsia="仿宋_GB2312" w:hAnsi="Times New Roman" w:cs="仿宋_GB2312"/>
          <w:sz w:val="32"/>
          <w:szCs w:val="32"/>
        </w:rPr>
        <w:t>32.06</w:t>
      </w:r>
      <w:r w:rsidR="000A5950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 w:rsidR="000A5950" w:rsidRPr="000A5950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 w:rsidR="000A5950">
        <w:rPr>
          <w:rFonts w:ascii="仿宋_GB2312" w:eastAsia="仿宋_GB2312" w:hAnsi="Times New Roman" w:cs="仿宋_GB2312" w:hint="eastAsia"/>
          <w:sz w:val="32"/>
          <w:szCs w:val="32"/>
        </w:rPr>
        <w:t>住房保障支出</w:t>
      </w:r>
      <w:r w:rsidR="000A5950" w:rsidRPr="005D50DA">
        <w:rPr>
          <w:rFonts w:ascii="仿宋_GB2312" w:eastAsia="仿宋_GB2312" w:hAnsi="Times New Roman" w:cs="仿宋_GB2312"/>
          <w:sz w:val="32"/>
          <w:szCs w:val="32"/>
        </w:rPr>
        <w:t>2.04</w:t>
      </w:r>
      <w:r w:rsidR="000A5950">
        <w:rPr>
          <w:rFonts w:ascii="仿宋_GB2312" w:eastAsia="仿宋_GB2312" w:hAnsi="Times New Roman" w:cs="仿宋_GB2312" w:hint="eastAsia"/>
          <w:sz w:val="32"/>
          <w:szCs w:val="32"/>
        </w:rPr>
        <w:t>万元为住房公积金支出。</w:t>
      </w:r>
    </w:p>
    <w:p w:rsidR="002833B3" w:rsidRDefault="000A5950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3.</w:t>
      </w:r>
      <w:r w:rsidRPr="000A5950"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</w:rPr>
        <w:t>社会保障和就业支出</w:t>
      </w:r>
      <w:r w:rsidRPr="005D50DA">
        <w:rPr>
          <w:rFonts w:ascii="仿宋_GB2312" w:eastAsia="仿宋_GB2312" w:hAnsi="Times New Roman" w:cs="仿宋_GB2312"/>
          <w:sz w:val="32"/>
          <w:szCs w:val="32"/>
        </w:rPr>
        <w:t>52.07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万元，为行政事业单位离退休支出。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lastRenderedPageBreak/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2833B3" w:rsidRDefault="002833B3" w:rsidP="00AE67D1">
      <w:pPr>
        <w:autoSpaceDE w:val="0"/>
        <w:autoSpaceDN w:val="0"/>
        <w:adjustRightInd w:val="0"/>
        <w:spacing w:line="540" w:lineRule="exact"/>
        <w:ind w:leftChars="100" w:left="530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经费支出万元，其中：因公出国（境）费万元，公务接待费万元，公务用车购置及运行维护费万元。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年减少（增加）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万元，下降（增长）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年参加出国（境）团组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人次。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公务接待费万元，主要用于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等，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年国内公务接待累计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批次，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人，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公务用车购置及运行维护费万元，其中：公务用车购置费万元，公务用车运行维护费万元。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0A5950"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老干部局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="000A5950">
        <w:rPr>
          <w:rFonts w:ascii="仿宋_GB2312" w:eastAsia="仿宋_GB2312" w:hAnsi="Times New Roman" w:cs="仿宋_GB2312" w:hint="eastAsia"/>
          <w:sz w:val="32"/>
          <w:szCs w:val="32"/>
        </w:rPr>
        <w:t>16.3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0A5950">
        <w:rPr>
          <w:rFonts w:ascii="仿宋_GB2312" w:eastAsia="仿宋_GB2312" w:hAnsi="Times New Roman" w:cs="仿宋_GB2312" w:hint="eastAsia"/>
          <w:sz w:val="32"/>
          <w:szCs w:val="32"/>
        </w:rPr>
        <w:t>减少20.9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</w:t>
      </w:r>
      <w:r w:rsidR="000A5950">
        <w:rPr>
          <w:rFonts w:ascii="仿宋_GB2312" w:eastAsia="仿宋_GB2312" w:hAnsi="Times New Roman" w:cs="仿宋_GB2312" w:hint="eastAsia"/>
          <w:sz w:val="32"/>
          <w:szCs w:val="32"/>
        </w:rPr>
        <w:t>降低56.22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 w:rsidR="000A5950">
        <w:rPr>
          <w:rFonts w:ascii="仿宋_GB2312" w:eastAsia="仿宋_GB2312" w:hAnsi="Times New Roman" w:cs="仿宋_GB2312" w:hint="eastAsia"/>
          <w:sz w:val="32"/>
          <w:szCs w:val="32"/>
        </w:rPr>
        <w:t>压缩机关运行支出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>
        <w:rPr>
          <w:rFonts w:ascii="楷体_GB2312" w:eastAsia="楷体_GB2312" w:hAnsi="Times New Roman" w:cs="楷体_GB2312"/>
          <w:b/>
          <w:bCs/>
          <w:i/>
          <w:iCs/>
          <w:sz w:val="36"/>
          <w:szCs w:val="36"/>
        </w:rPr>
        <w:t>XX</w:t>
      </w:r>
      <w:r>
        <w:rPr>
          <w:rFonts w:ascii="楷体_GB2312" w:eastAsia="楷体_GB2312" w:hAnsi="Times New Roman" w:cs="楷体_GB2312" w:hint="eastAsia"/>
          <w:b/>
          <w:bCs/>
          <w:i/>
          <w:iCs/>
          <w:sz w:val="36"/>
          <w:szCs w:val="36"/>
        </w:rPr>
        <w:t>部门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2833B3" w:rsidRDefault="002833B3" w:rsidP="002833B3">
      <w:pPr>
        <w:autoSpaceDE w:val="0"/>
        <w:autoSpaceDN w:val="0"/>
        <w:adjustRightInd w:val="0"/>
        <w:ind w:firstLine="64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根据财政预算管理要求，我厅（委、局）组织对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年度预算项目支出全面开展绩效自评，共涉及预算支出项目</w:t>
      </w:r>
    </w:p>
    <w:p w:rsidR="002833B3" w:rsidRDefault="002833B3" w:rsidP="002833B3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个，涉及资金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Times New Roman" w:cs="仿宋_GB2312"/>
          <w:sz w:val="32"/>
          <w:szCs w:val="32"/>
        </w:rPr>
        <w:t>XX%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Times New Roman" w:cs="仿宋_GB2312"/>
          <w:sz w:val="32"/>
          <w:szCs w:val="32"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</w:rPr>
        <w:t>开展绩效自评的项目数）</w:t>
      </w:r>
      <w:r>
        <w:rPr>
          <w:rFonts w:ascii="仿宋_GB2312" w:eastAsia="仿宋_GB2312" w:hAnsi="Times New Roman" w:cs="仿宋_GB2312"/>
          <w:sz w:val="32"/>
          <w:szCs w:val="32"/>
        </w:rPr>
        <w:t>XX</w:t>
      </w:r>
      <w:r>
        <w:rPr>
          <w:rFonts w:ascii="仿宋_GB2312" w:eastAsia="仿宋_GB2312" w:hAnsi="Times New Roman" w:cs="仿宋_GB2312" w:hint="eastAsia"/>
          <w:sz w:val="32"/>
          <w:szCs w:val="32"/>
        </w:rPr>
        <w:t>分。</w:t>
      </w:r>
    </w:p>
    <w:p w:rsidR="002A6FC8" w:rsidRDefault="002833B3" w:rsidP="002833B3">
      <w:pPr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……。下一步将采取以下措施加以改进：</w:t>
      </w:r>
      <w:r>
        <w:rPr>
          <w:rFonts w:ascii="黑体" w:eastAsia="黑体" w:hAnsi="Times New Roman" w:cs="黑体" w:hint="eastAsia"/>
          <w:sz w:val="32"/>
          <w:szCs w:val="32"/>
        </w:rPr>
        <w:t>一是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二是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三是</w:t>
      </w:r>
      <w:r>
        <w:rPr>
          <w:rFonts w:ascii="仿宋_GB2312" w:eastAsia="仿宋_GB2312" w:hAnsi="Times New Roman" w:cs="仿宋_GB2312"/>
          <w:sz w:val="32"/>
          <w:szCs w:val="32"/>
        </w:rPr>
        <w:t>XX;</w:t>
      </w:r>
      <w:r>
        <w:rPr>
          <w:rFonts w:ascii="黑体" w:eastAsia="黑体" w:hAnsi="Times New Roman" w:cs="黑体" w:hint="eastAsia"/>
          <w:sz w:val="32"/>
          <w:szCs w:val="32"/>
        </w:rPr>
        <w:t>四是</w:t>
      </w:r>
      <w:r>
        <w:rPr>
          <w:rFonts w:ascii="仿宋_GB2312" w:eastAsia="仿宋_GB2312" w:hAnsi="Times New Roman" w:cs="仿宋_GB2312" w:hint="eastAsia"/>
          <w:sz w:val="32"/>
          <w:szCs w:val="32"/>
        </w:rPr>
        <w:t>……。</w:t>
      </w:r>
    </w:p>
    <w:p w:rsidR="009E4B14" w:rsidRPr="009E4B14" w:rsidRDefault="009E4B14" w:rsidP="002833B3"/>
    <w:sectPr w:rsidR="009E4B1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2D" w:rsidRDefault="001E4D2D" w:rsidP="009E4B14">
      <w:r>
        <w:separator/>
      </w:r>
    </w:p>
  </w:endnote>
  <w:endnote w:type="continuationSeparator" w:id="1">
    <w:p w:rsidR="001E4D2D" w:rsidRDefault="001E4D2D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2D" w:rsidRDefault="001E4D2D" w:rsidP="009E4B14">
      <w:r>
        <w:separator/>
      </w:r>
    </w:p>
  </w:footnote>
  <w:footnote w:type="continuationSeparator" w:id="1">
    <w:p w:rsidR="001E4D2D" w:rsidRDefault="001E4D2D" w:rsidP="009E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A5950"/>
    <w:rsid w:val="00104978"/>
    <w:rsid w:val="001B6E3C"/>
    <w:rsid w:val="001E4D2D"/>
    <w:rsid w:val="00226A78"/>
    <w:rsid w:val="002833B3"/>
    <w:rsid w:val="002A3E4A"/>
    <w:rsid w:val="002A6FC8"/>
    <w:rsid w:val="003F6CF1"/>
    <w:rsid w:val="005D50DA"/>
    <w:rsid w:val="006C4137"/>
    <w:rsid w:val="006C7F9A"/>
    <w:rsid w:val="007962FC"/>
    <w:rsid w:val="009E4B14"/>
    <w:rsid w:val="00AE67D1"/>
    <w:rsid w:val="00F5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微软用户</cp:lastModifiedBy>
  <cp:revision>8</cp:revision>
  <dcterms:created xsi:type="dcterms:W3CDTF">2018-08-13T02:09:00Z</dcterms:created>
  <dcterms:modified xsi:type="dcterms:W3CDTF">2019-01-30T08:24:00Z</dcterms:modified>
</cp:coreProperties>
</file>