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楷体_GB2312" w:hAnsi="Calibri" w:eastAsia="楷体_GB2312" w:cs="Times New Roman"/>
          <w:sz w:val="44"/>
          <w:szCs w:val="44"/>
        </w:rPr>
      </w:pPr>
      <w:r>
        <w:rPr>
          <w:rFonts w:hint="eastAsia" w:ascii="楷体_GB2312" w:hAnsi="Calibri" w:eastAsia="楷体_GB2312" w:cs="Times New Roman"/>
          <w:sz w:val="44"/>
          <w:szCs w:val="44"/>
        </w:rPr>
        <w:t>201</w:t>
      </w:r>
      <w:r>
        <w:rPr>
          <w:rFonts w:hint="eastAsia" w:ascii="楷体_GB2312" w:eastAsia="楷体_GB2312"/>
          <w:sz w:val="44"/>
          <w:szCs w:val="44"/>
        </w:rPr>
        <w:t>5</w:t>
      </w:r>
      <w:r>
        <w:rPr>
          <w:rFonts w:hint="eastAsia" w:ascii="楷体_GB2312" w:hAnsi="Calibri" w:eastAsia="楷体_GB2312" w:cs="Times New Roman"/>
          <w:sz w:val="44"/>
          <w:szCs w:val="44"/>
        </w:rPr>
        <w:t>年度（</w:t>
      </w:r>
      <w:r>
        <w:rPr>
          <w:rFonts w:hint="eastAsia" w:ascii="楷体_GB2312" w:eastAsia="楷体_GB2312"/>
          <w:sz w:val="44"/>
          <w:szCs w:val="44"/>
        </w:rPr>
        <w:t>双台子区人民法院</w:t>
      </w:r>
      <w:r>
        <w:rPr>
          <w:rFonts w:hint="eastAsia" w:ascii="楷体_GB2312" w:hAnsi="Calibri" w:eastAsia="楷体_GB2312" w:cs="Times New Roman"/>
          <w:sz w:val="44"/>
          <w:szCs w:val="44"/>
        </w:rPr>
        <w:t>）部门决算信息公开情况说明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一、主要职能 </w:t>
      </w:r>
      <w:r>
        <w:rPr>
          <w:rFonts w:ascii="楷体" w:hAnsi="楷体" w:eastAsia="楷体"/>
          <w:sz w:val="30"/>
          <w:szCs w:val="30"/>
        </w:rPr>
        <w:t>人民法院</w:t>
      </w:r>
      <w:r>
        <w:rPr>
          <w:rFonts w:hint="eastAsia" w:ascii="楷体" w:hAnsi="楷体" w:eastAsia="楷体"/>
          <w:sz w:val="30"/>
          <w:szCs w:val="30"/>
        </w:rPr>
        <w:t>负责审理案件，解决基本民事、行政、刑事案件纠纷并拥有和行使调解的职能。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（一）依法在职权范围内受理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的自诉和公诉的刑事、民事、行政等第一审案件。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（二）依法行使司法执行权和司法决定权。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（三）行使审判监督职能。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（四）依法行使司法执行权和司法决定权，执行本院已经发生法律效力的判决、裁定以及国家行政机关申请执行的案件和外地法院委托执行的案件。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（五）调查研究审判工作中的法律、法规、法章、政策及疑难问题，针对案件审理中发现的问题提出司法建议。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（六）对人民法院的法官和其他工作人员进行思想政治教育、组织专业培训：按照权限管理法官和其他工作人员。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（七）参与社会治安综合治理工作，在审判工作中宣传法制，教育公民自觉遵守宪法、法律、法规和社会公德。</w:t>
      </w:r>
    </w:p>
    <w:p>
      <w:pPr>
        <w:ind w:firstLine="750" w:firstLineChars="2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(八)承办其他应由区人民法院负责的工作。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二、机构编制情况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行政编制56人 ，事业4人(其中人才储备中心编制3人，环卫处编制1人)，临时聘用人员25人。退休人员20人，经费拨款形式为全额财政拨款。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三、部门预算单位构成 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盘锦市双台子区人民法院。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四、2015年度公共预算收入支出决算总体情况说明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2015年度收入总计</w:t>
      </w:r>
      <w:r>
        <w:rPr>
          <w:rFonts w:hint="eastAsia" w:ascii="楷体" w:hAnsi="楷体" w:eastAsia="楷体"/>
          <w:sz w:val="30"/>
          <w:szCs w:val="30"/>
        </w:rPr>
        <w:t>627.09</w:t>
      </w:r>
      <w:r>
        <w:rPr>
          <w:rFonts w:hint="eastAsia" w:ascii="楷体" w:hAnsi="楷体" w:eastAsia="楷体" w:cs="Times New Roman"/>
          <w:sz w:val="30"/>
          <w:szCs w:val="30"/>
        </w:rPr>
        <w:t>万元，支出总计</w:t>
      </w:r>
      <w:r>
        <w:rPr>
          <w:rFonts w:hint="eastAsia" w:ascii="楷体" w:hAnsi="楷体" w:eastAsia="楷体"/>
          <w:sz w:val="30"/>
          <w:szCs w:val="30"/>
        </w:rPr>
        <w:t>627.09</w:t>
      </w:r>
      <w:r>
        <w:rPr>
          <w:rFonts w:hint="eastAsia" w:ascii="楷体" w:hAnsi="楷体" w:eastAsia="楷体" w:cs="Times New Roman"/>
          <w:sz w:val="30"/>
          <w:szCs w:val="30"/>
        </w:rPr>
        <w:t>万元。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五、2015年度公共预算收入决算情况说明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本年收入合计</w:t>
      </w:r>
      <w:r>
        <w:rPr>
          <w:rFonts w:hint="eastAsia" w:ascii="楷体" w:hAnsi="楷体" w:eastAsia="楷体"/>
          <w:sz w:val="30"/>
          <w:szCs w:val="30"/>
        </w:rPr>
        <w:t>627.09</w:t>
      </w:r>
      <w:r>
        <w:rPr>
          <w:rFonts w:hint="eastAsia" w:ascii="楷体" w:hAnsi="楷体" w:eastAsia="楷体" w:cs="Times New Roman"/>
          <w:sz w:val="30"/>
          <w:szCs w:val="30"/>
        </w:rPr>
        <w:t>万元，全是财政拨款收入。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六、2015年度公共预算支出决算情况说明</w:t>
      </w:r>
    </w:p>
    <w:p>
      <w:pPr>
        <w:ind w:firstLine="600" w:firstLineChars="2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本年支出合计</w:t>
      </w:r>
      <w:r>
        <w:rPr>
          <w:rFonts w:hint="eastAsia" w:ascii="楷体" w:hAnsi="楷体" w:eastAsia="楷体"/>
          <w:sz w:val="30"/>
          <w:szCs w:val="30"/>
        </w:rPr>
        <w:t>627.09</w:t>
      </w:r>
      <w:r>
        <w:rPr>
          <w:rFonts w:hint="eastAsia" w:ascii="楷体" w:hAnsi="楷体" w:eastAsia="楷体" w:cs="Times New Roman"/>
          <w:sz w:val="30"/>
          <w:szCs w:val="30"/>
        </w:rPr>
        <w:t>万元，具体支出情况如下：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（一）工资福利支出。2015年工资福利支出决算数367.87万元，其中基本工资153.1万元，津贴补贴158.1万元及社会保障缴费18.73万元，奖金及其他15.5万元。 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商品和服务支出。2015年商品和服务支出决算数129.44万元。其中，水电费6.5万元，办公费8万元，取暖费34.39万元（包括我院办公大楼、在职人员及退休人员取暖费支出），被装购置费14.88万元（用于购买全院干警服装），其他支出65万元。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（三）对家庭和个人的补助。2015年对个人和家庭的补助支出决算数128.19万元。其中，退休费92.37万元（退休人员工资），住房公积金26.52万元及其他9.3万元。</w:t>
      </w:r>
    </w:p>
    <w:p>
      <w:pPr>
        <w:ind w:firstLine="750" w:firstLineChars="2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七、单位三公经费决算情况说明</w:t>
      </w:r>
    </w:p>
    <w:p>
      <w:pPr>
        <w:ind w:firstLine="750" w:firstLineChars="2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2015年我院三公经费决算数34.34万元。  </w:t>
      </w:r>
    </w:p>
    <w:p>
      <w:pPr>
        <w:ind w:firstLine="750" w:firstLineChars="2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(一) 因公出国（境）预算。我单位不存在因公出国（境）的情况，无此项支出。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（二）公务用车购置及运行费。我院现有公务用车14辆。其中，包括警务用车10辆，普通公务用车4辆。2015年车辆运行费决算数34.34万元，全部用于以上车辆运行保险及维护支出。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（三）公务招待费用。2015年我院无公务招待费用。</w:t>
      </w:r>
    </w:p>
    <w:p>
      <w:pPr>
        <w:rPr>
          <w:rFonts w:ascii="楷体_GB2312" w:eastAsia="楷体_GB2312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AE2"/>
    <w:rsid w:val="00061D70"/>
    <w:rsid w:val="001B3BFD"/>
    <w:rsid w:val="003A2359"/>
    <w:rsid w:val="003B01CD"/>
    <w:rsid w:val="004E2C23"/>
    <w:rsid w:val="005028A8"/>
    <w:rsid w:val="00520DD5"/>
    <w:rsid w:val="005E6D4F"/>
    <w:rsid w:val="00646A39"/>
    <w:rsid w:val="006811A7"/>
    <w:rsid w:val="007016E5"/>
    <w:rsid w:val="00760AEE"/>
    <w:rsid w:val="007C4653"/>
    <w:rsid w:val="00924AE2"/>
    <w:rsid w:val="00AF67B0"/>
    <w:rsid w:val="00BF1F0B"/>
    <w:rsid w:val="00C94FBB"/>
    <w:rsid w:val="00D1114F"/>
    <w:rsid w:val="00E217AC"/>
    <w:rsid w:val="00F80E15"/>
    <w:rsid w:val="35676F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2016-08-10T08:38:00Z</dcterms:created>
  <dc:creator>user</dc:creator>
  <cp:lastModifiedBy>Administrator</cp:lastModifiedBy>
  <cp:lastPrinted>2016-08-10T08:36:00Z</cp:lastPrinted>
  <dcterms:modified xsi:type="dcterms:W3CDTF">2016-08-10T08:43:17Z</dcterms:modified>
  <dc:title>2015年度（双台子区人民法院）部门决算信息公开情况说明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