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  <w:r>
        <w:rPr>
          <w:rFonts w:hint="eastAsia" w:ascii="楷体_GB2312" w:hAnsi="Times New Roman" w:eastAsia="楷体_GB2312" w:cs="楷体_GB2312"/>
          <w:b/>
          <w:bCs/>
          <w:i/>
          <w:iCs/>
          <w:sz w:val="52"/>
          <w:szCs w:val="52"/>
          <w:lang w:eastAsia="zh-CN"/>
        </w:rPr>
        <w:t>双台子区红十字会</w:t>
      </w:r>
      <w:r>
        <w:rPr>
          <w:rFonts w:hint="eastAsia" w:ascii="楷体_GB2312" w:hAnsi="Times New Roman" w:eastAsia="楷体_GB2312" w:cs="楷体_GB2312"/>
          <w:b/>
          <w:bCs/>
          <w:i/>
          <w:iCs/>
          <w:sz w:val="52"/>
          <w:szCs w:val="52"/>
        </w:rPr>
        <w:t>部门</w:t>
      </w:r>
      <w:r>
        <w:rPr>
          <w:rFonts w:ascii="宋体" w:hAnsi="Times New Roman" w:eastAsia="宋体" w:cs="宋体"/>
          <w:b/>
          <w:bCs/>
          <w:sz w:val="52"/>
          <w:szCs w:val="52"/>
        </w:rPr>
        <w:t>2017</w:t>
      </w:r>
      <w:r>
        <w:rPr>
          <w:rFonts w:hint="eastAsia" w:ascii="宋体" w:hAnsi="Times New Roman" w:eastAsia="宋体" w:cs="宋体"/>
          <w:b/>
          <w:bCs/>
          <w:sz w:val="52"/>
          <w:szCs w:val="52"/>
        </w:rPr>
        <w:t>年度部门决算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both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both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宋体" w:hAnsi="Times New Roman" w:eastAsia="宋体" w:cs="宋体"/>
          <w:b/>
          <w:bCs/>
          <w:sz w:val="44"/>
          <w:szCs w:val="44"/>
        </w:rPr>
        <w:t>目录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第一部分</w:t>
      </w:r>
      <w:r>
        <w:rPr>
          <w:rFonts w:hint="eastAsia" w:ascii="楷体_GB2312" w:hAnsi="Times New Roman" w:eastAsia="楷体_GB2312" w:cs="楷体_GB2312"/>
          <w:i/>
          <w:iCs/>
          <w:sz w:val="32"/>
          <w:szCs w:val="32"/>
          <w:lang w:eastAsia="zh-CN"/>
        </w:rPr>
        <w:t>双台子区红十字会</w:t>
      </w:r>
      <w:r>
        <w:rPr>
          <w:rFonts w:hint="eastAsia" w:ascii="楷体_GB2312" w:hAnsi="Times New Roman" w:eastAsia="楷体_GB2312" w:cs="楷体_GB2312"/>
          <w:i/>
          <w:iCs/>
          <w:sz w:val="32"/>
          <w:szCs w:val="32"/>
        </w:rPr>
        <w:t>部门</w:t>
      </w:r>
      <w:r>
        <w:rPr>
          <w:rFonts w:hint="eastAsia" w:ascii="黑体" w:hAnsi="Times New Roman" w:eastAsia="黑体" w:cs="黑体"/>
          <w:sz w:val="32"/>
          <w:szCs w:val="32"/>
        </w:rPr>
        <w:t>概况</w:t>
      </w:r>
    </w:p>
    <w:p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Times New Roman" w:eastAsia="宋体" w:cs="宋体"/>
          <w:szCs w:val="21"/>
        </w:rPr>
        <w:t>一、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仿宋_GB2312" w:hAnsi="Times New Roman" w:eastAsia="仿宋_GB2312" w:cs="仿宋_GB2312"/>
          <w:sz w:val="32"/>
          <w:szCs w:val="32"/>
        </w:rPr>
        <w:t>主要职责</w:t>
      </w:r>
    </w:p>
    <w:p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Times New Roman" w:eastAsia="宋体" w:cs="宋体"/>
          <w:szCs w:val="21"/>
        </w:rPr>
        <w:t>二、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仿宋_GB2312" w:hAnsi="Times New Roman" w:eastAsia="仿宋_GB2312" w:cs="仿宋_GB2312"/>
          <w:sz w:val="32"/>
          <w:szCs w:val="32"/>
        </w:rPr>
        <w:t>部门决算单位构成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</w:t>
      </w:r>
      <w:r>
        <w:rPr>
          <w:rFonts w:hint="eastAsia" w:ascii="楷体_GB2312" w:hAnsi="Times New Roman" w:eastAsia="楷体_GB2312" w:cs="楷体_GB2312"/>
          <w:i/>
          <w:iCs/>
          <w:sz w:val="32"/>
          <w:szCs w:val="32"/>
          <w:lang w:eastAsia="zh-CN"/>
        </w:rPr>
        <w:t>双台子区红十字会</w:t>
      </w:r>
      <w:r>
        <w:rPr>
          <w:rFonts w:hint="eastAsia" w:ascii="楷体_GB2312" w:hAnsi="Times New Roman" w:eastAsia="楷体_GB2312" w:cs="楷体_GB2312"/>
          <w:i/>
          <w:iCs/>
          <w:sz w:val="32"/>
          <w:szCs w:val="32"/>
        </w:rPr>
        <w:t>部门</w:t>
      </w:r>
      <w:r>
        <w:rPr>
          <w:rFonts w:ascii="黑体" w:hAnsi="Times New Roman" w:eastAsia="黑体" w:cs="黑体"/>
          <w:sz w:val="32"/>
          <w:szCs w:val="32"/>
        </w:rPr>
        <w:t>2017</w:t>
      </w:r>
      <w:r>
        <w:rPr>
          <w:rFonts w:hint="eastAsia" w:ascii="黑体" w:hAnsi="Times New Roman" w:eastAsia="黑体" w:cs="黑体"/>
          <w:sz w:val="32"/>
          <w:szCs w:val="32"/>
        </w:rPr>
        <w:t>年度部门决算报表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年度收入支出决算总表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年度收入决算表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六、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年度一般公共预算财政拨款基本支出决算表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七、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年度政府性基金预算财政拨款收入支出决算表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八、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年度财政专户管理资金收入支出决算表</w:t>
      </w:r>
    </w:p>
    <w:p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九、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经费支出决算表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第三部分</w:t>
      </w:r>
      <w:r>
        <w:rPr>
          <w:rFonts w:hint="eastAsia" w:ascii="楷体_GB2312" w:hAnsi="Times New Roman" w:eastAsia="楷体_GB2312" w:cs="楷体_GB2312"/>
          <w:i/>
          <w:iCs/>
          <w:sz w:val="32"/>
          <w:szCs w:val="32"/>
          <w:lang w:eastAsia="zh-CN"/>
        </w:rPr>
        <w:t>双台子区红十字会</w:t>
      </w:r>
      <w:r>
        <w:rPr>
          <w:rFonts w:hint="eastAsia" w:ascii="楷体_GB2312" w:hAnsi="Times New Roman" w:eastAsia="楷体_GB2312" w:cs="楷体_GB2312"/>
          <w:i/>
          <w:iCs/>
          <w:sz w:val="32"/>
          <w:szCs w:val="32"/>
        </w:rPr>
        <w:t>部门</w:t>
      </w:r>
      <w:r>
        <w:rPr>
          <w:rFonts w:ascii="黑体" w:hAnsi="Times New Roman" w:eastAsia="黑体" w:cs="黑体"/>
          <w:sz w:val="32"/>
          <w:szCs w:val="32"/>
        </w:rPr>
        <w:t>2017</w:t>
      </w:r>
      <w:r>
        <w:rPr>
          <w:rFonts w:hint="eastAsia" w:ascii="黑体" w:hAnsi="Times New Roman" w:eastAsia="黑体" w:cs="黑体"/>
          <w:sz w:val="32"/>
          <w:szCs w:val="32"/>
        </w:rPr>
        <w:t>年度部门决算情况说明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第四部分名词解释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</w:rPr>
        <w:t>第一部分</w:t>
      </w:r>
      <w:r>
        <w:rPr>
          <w:rFonts w:hint="eastAsia" w:ascii="宋体" w:hAnsi="Times New Roman" w:eastAsia="宋体" w:cs="宋体"/>
          <w:b/>
          <w:bCs/>
          <w:sz w:val="36"/>
          <w:szCs w:val="36"/>
          <w:lang w:eastAsia="zh-CN"/>
        </w:rPr>
        <w:t>双台子区红十字会</w:t>
      </w:r>
      <w:r>
        <w:rPr>
          <w:rFonts w:hint="eastAsia" w:ascii="楷体_GB2312" w:hAnsi="Times New Roman" w:eastAsia="楷体_GB2312" w:cs="楷体_GB2312"/>
          <w:b/>
          <w:bCs/>
          <w:i w:val="0"/>
          <w:iCs w:val="0"/>
          <w:sz w:val="36"/>
          <w:szCs w:val="36"/>
        </w:rPr>
        <w:t>部门</w:t>
      </w:r>
      <w:r>
        <w:rPr>
          <w:rFonts w:hint="eastAsia" w:ascii="宋体" w:hAnsi="Times New Roman" w:eastAsia="宋体" w:cs="宋体"/>
          <w:b/>
          <w:bCs/>
          <w:sz w:val="36"/>
          <w:szCs w:val="36"/>
        </w:rPr>
        <w:t>概况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/>
        <w:jc w:val="left"/>
        <w:rPr>
          <w:rFonts w:hint="eastAsia" w:ascii="黑体" w:hAnsi="Times New Roman" w:eastAsia="黑体" w:cs="黑体"/>
          <w:sz w:val="32"/>
          <w:szCs w:val="32"/>
          <w:highlight w:val="none"/>
        </w:rPr>
      </w:pPr>
      <w:bookmarkStart w:id="0" w:name="_GoBack"/>
      <w:r>
        <w:rPr>
          <w:rFonts w:hint="eastAsia" w:ascii="黑体" w:hAnsi="Times New Roman" w:eastAsia="黑体" w:cs="黑体"/>
          <w:sz w:val="32"/>
          <w:szCs w:val="32"/>
          <w:highlight w:val="none"/>
        </w:rPr>
        <w:t>主要职责</w:t>
      </w:r>
    </w:p>
    <w:bookmarkEnd w:id="0"/>
    <w:p>
      <w:pPr>
        <w:spacing w:line="540" w:lineRule="exact"/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（一）传播国际红十字运动知识和国际人道主义法，宣传、执行《中华人民共和国红十字会法》和《中华人民共和国红十字标志使用办法》等法律、法规，遵循《中国红十字会章程》，依法建会、治会、兴会。</w:t>
      </w:r>
    </w:p>
    <w:p>
      <w:pPr>
        <w:spacing w:line="540" w:lineRule="exact"/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（二）开展备灾救灾工作。依法组织社会捐助，接受国际援助并监督其使用；管理备灾救灾款物及设施；在自然灾害和突发事件中，参与组织对伤病人员和其他受害者进行救助工作。</w:t>
      </w:r>
    </w:p>
    <w:p>
      <w:pPr>
        <w:spacing w:line="540" w:lineRule="exact"/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开展人道领域的社会公益服务活动和卫生救护、防病常识的宣传普及，进行初级卫生救护培训，组织群众参加现场救护；推动无偿献血和非血缘关系骨髓移植工作及推动遗体（器官）捐献工作；开展预防控制艾滋病宣传，关心爱护艾滋病病毒感染者、患者及其他救助工作；开展其他人道救助工作。</w:t>
      </w:r>
    </w:p>
    <w:p>
      <w:pPr>
        <w:spacing w:line="540" w:lineRule="exact"/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（四）开展对公民特别是青少年的人道主义和社会主义精神文明教育活动。</w:t>
      </w:r>
    </w:p>
    <w:p>
      <w:pPr>
        <w:spacing w:line="540" w:lineRule="exact"/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（五）组织会员、志愿工作者开展社会服务活动。</w:t>
      </w:r>
    </w:p>
    <w:p>
      <w:pPr>
        <w:spacing w:line="360" w:lineRule="auto"/>
        <w:ind w:firstLine="624" w:firstLineChars="195"/>
        <w:rPr>
          <w:rFonts w:hint="eastAsia" w:ascii="仿宋" w:hAnsi="仿宋" w:eastAsia="仿宋" w:cs="仿宋"/>
          <w:sz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（六）协助政府开展人道主义救助工作，完成同级人民政府交办的工作。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二、部门决算单位构成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纳入</w:t>
      </w:r>
      <w:r>
        <w:rPr>
          <w:rFonts w:ascii="楷体_GB2312" w:hAnsi="Times New Roman" w:eastAsia="楷体_GB2312" w:cs="楷体_GB2312"/>
          <w:b/>
          <w:bCs/>
          <w:i/>
          <w:iCs/>
          <w:sz w:val="36"/>
          <w:szCs w:val="36"/>
        </w:rPr>
        <w:t>XX</w:t>
      </w:r>
      <w:r>
        <w:rPr>
          <w:rFonts w:hint="eastAsia" w:ascii="楷体_GB2312" w:hAnsi="Times New Roman" w:eastAsia="楷体_GB2312" w:cs="楷体_GB2312"/>
          <w:b/>
          <w:bCs/>
          <w:i/>
          <w:iCs/>
          <w:sz w:val="36"/>
          <w:szCs w:val="36"/>
        </w:rPr>
        <w:t>部门</w:t>
      </w:r>
      <w:r>
        <w:rPr>
          <w:rFonts w:ascii="仿宋_GB2312" w:hAnsi="Times New Roman" w:eastAsia="仿宋_GB2312" w:cs="仿宋_GB2312"/>
          <w:b/>
          <w:bCs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年部门决算编制范围的二级预算单位包括：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</w:rPr>
        <w:t>第二部分</w:t>
      </w:r>
      <w:r>
        <w:rPr>
          <w:rFonts w:ascii="楷体_GB2312" w:hAnsi="Times New Roman" w:eastAsia="楷体_GB2312" w:cs="楷体_GB2312"/>
          <w:b/>
          <w:bCs/>
          <w:i/>
          <w:iCs/>
          <w:sz w:val="36"/>
          <w:szCs w:val="36"/>
        </w:rPr>
        <w:t>XX</w:t>
      </w:r>
      <w:r>
        <w:rPr>
          <w:rFonts w:hint="eastAsia" w:ascii="楷体_GB2312" w:hAnsi="Times New Roman" w:eastAsia="楷体_GB2312" w:cs="楷体_GB2312"/>
          <w:b/>
          <w:bCs/>
          <w:i/>
          <w:iCs/>
          <w:sz w:val="36"/>
          <w:szCs w:val="36"/>
        </w:rPr>
        <w:t>部门</w:t>
      </w:r>
      <w:r>
        <w:rPr>
          <w:rFonts w:ascii="宋体" w:hAnsi="Times New Roman" w:eastAsia="宋体" w:cs="宋体"/>
          <w:b/>
          <w:bCs/>
          <w:sz w:val="36"/>
          <w:szCs w:val="36"/>
        </w:rPr>
        <w:t>2017</w:t>
      </w:r>
      <w:r>
        <w:rPr>
          <w:rFonts w:hint="eastAsia" w:ascii="宋体" w:hAnsi="Times New Roman" w:eastAsia="宋体" w:cs="宋体"/>
          <w:b/>
          <w:bCs/>
          <w:sz w:val="36"/>
          <w:szCs w:val="36"/>
        </w:rPr>
        <w:t>年度部门决算公开报表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</w:rPr>
        <w:t>第三部分</w:t>
      </w:r>
      <w:r>
        <w:rPr>
          <w:rFonts w:hint="eastAsia" w:ascii="楷体_GB2312" w:hAnsi="Times New Roman" w:eastAsia="楷体_GB2312" w:cs="楷体_GB2312"/>
          <w:b/>
          <w:bCs/>
          <w:i/>
          <w:iCs/>
          <w:sz w:val="36"/>
          <w:szCs w:val="36"/>
          <w:lang w:eastAsia="zh-CN"/>
        </w:rPr>
        <w:t>双台子区红十字会</w:t>
      </w:r>
      <w:r>
        <w:rPr>
          <w:rFonts w:hint="eastAsia" w:ascii="楷体_GB2312" w:hAnsi="Times New Roman" w:eastAsia="楷体_GB2312" w:cs="楷体_GB2312"/>
          <w:b/>
          <w:bCs/>
          <w:i/>
          <w:iCs/>
          <w:sz w:val="36"/>
          <w:szCs w:val="36"/>
        </w:rPr>
        <w:t>部门</w:t>
      </w:r>
      <w:r>
        <w:rPr>
          <w:rFonts w:ascii="宋体" w:hAnsi="Times New Roman" w:eastAsia="宋体" w:cs="宋体"/>
          <w:b/>
          <w:bCs/>
          <w:sz w:val="36"/>
          <w:szCs w:val="36"/>
        </w:rPr>
        <w:t>2017</w:t>
      </w:r>
      <w:r>
        <w:rPr>
          <w:rFonts w:hint="eastAsia" w:ascii="宋体" w:hAnsi="Times New Roman" w:eastAsia="宋体" w:cs="宋体"/>
          <w:b/>
          <w:bCs/>
          <w:sz w:val="36"/>
          <w:szCs w:val="36"/>
        </w:rPr>
        <w:t>年度部门决算情况说明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宋体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ind w:firstLine="627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一、收入支出决算总体情况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（一）收入总计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16.63</w:t>
      </w: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财政拨款收入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16.63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万元，其中：一般公共预算财政拨款收入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16.63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万元，政府性基金预算财政拨款收入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上级补助收入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事业收入万元，主要是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4.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经营收入万元，主要是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5.</w:t>
      </w:r>
      <w:r>
        <w:rPr>
          <w:rFonts w:hint="eastAsia" w:ascii="仿宋_GB2312" w:hAnsi="Times New Roman" w:eastAsia="仿宋_GB2312" w:cs="仿宋_GB2312"/>
          <w:sz w:val="32"/>
          <w:szCs w:val="32"/>
        </w:rPr>
        <w:t>附属单位上缴收入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6.</w:t>
      </w:r>
      <w:r>
        <w:rPr>
          <w:rFonts w:hint="eastAsia" w:ascii="仿宋_GB2312" w:hAnsi="Times New Roman" w:eastAsia="仿宋_GB2312" w:cs="仿宋_GB2312"/>
          <w:sz w:val="32"/>
          <w:szCs w:val="32"/>
        </w:rPr>
        <w:t>其他收入万元，主要是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7.</w:t>
      </w:r>
      <w:r>
        <w:rPr>
          <w:rFonts w:hint="eastAsia" w:ascii="仿宋_GB2312" w:hAnsi="Times New Roman" w:eastAsia="仿宋_GB2312" w:cs="仿宋_GB2312"/>
          <w:sz w:val="32"/>
          <w:szCs w:val="32"/>
        </w:rPr>
        <w:t>用事业基金弥补收支差额万元，主要是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8.</w:t>
      </w:r>
      <w:r>
        <w:rPr>
          <w:rFonts w:hint="eastAsia" w:ascii="仿宋_GB2312" w:hAnsi="Times New Roman" w:eastAsia="仿宋_GB2312" w:cs="仿宋_GB2312"/>
          <w:sz w:val="32"/>
          <w:szCs w:val="32"/>
        </w:rPr>
        <w:t>上年结转和结余万元，主要是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（二）支出总计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16.63</w:t>
      </w: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基本支出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16.63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万元，主要是为保障机构正常运转、完成日常工作任务而发生的各项支出，其中：工资福利支出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12.51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万元，对个人和家庭的补助支出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1.62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万元，商品和服务支出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1.96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项目支出万元，主要包括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上缴上级支出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万元，主要包括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4.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经营支出万元，主要包括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5.</w:t>
      </w:r>
      <w:r>
        <w:rPr>
          <w:rFonts w:hint="eastAsia" w:ascii="仿宋_GB2312" w:hAnsi="Times New Roman" w:eastAsia="仿宋_GB2312" w:cs="仿宋_GB2312"/>
          <w:sz w:val="32"/>
          <w:szCs w:val="32"/>
        </w:rPr>
        <w:t>对附属单位补助支出</w:t>
      </w:r>
      <w:r>
        <w:rPr>
          <w:rFonts w:ascii="仿宋_GB2312" w:hAnsi="Times New Roman" w:eastAsia="仿宋_GB2312" w:cs="仿宋_GB2312"/>
          <w:sz w:val="32"/>
          <w:szCs w:val="32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万元，主要包括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（三）年末结转和结余万元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等原因形成的结余。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二、财政拨款支出决算情况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（一）总体情况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财政拨款支出决算反映</w:t>
      </w:r>
      <w:r>
        <w:rPr>
          <w:rFonts w:hint="eastAsia" w:ascii="楷体_GB2312" w:hAnsi="Times New Roman" w:eastAsia="楷体_GB2312" w:cs="楷体_GB2312"/>
          <w:b/>
          <w:bCs/>
          <w:i/>
          <w:iCs/>
          <w:sz w:val="36"/>
          <w:szCs w:val="36"/>
          <w:lang w:eastAsia="zh-CN"/>
        </w:rPr>
        <w:t>双台子区红十字会</w:t>
      </w:r>
      <w:r>
        <w:rPr>
          <w:rFonts w:hint="eastAsia" w:ascii="楷体_GB2312" w:hAnsi="Times New Roman" w:eastAsia="楷体_GB2312" w:cs="楷体_GB2312"/>
          <w:b/>
          <w:bCs/>
          <w:i/>
          <w:iCs/>
          <w:sz w:val="36"/>
          <w:szCs w:val="36"/>
        </w:rPr>
        <w:t>部门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年度财政拨款支出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16.63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万元，其中：基本支出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16.63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万元，项目支出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（二）具体情况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年度财政拨款支出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16.63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万元，按支出功能分类科目分，包括社会保障和就业支出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15.51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住房保障支出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1.12万元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社会保障和就业支出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15.51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</w:t>
      </w:r>
      <w:r>
        <w:rPr>
          <w:rFonts w:ascii="仿宋_GB2312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）行政运行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14.97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（2）一般行政管理事务0.54万元。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住房保障支出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1.12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ascii="仿宋_GB2312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）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住房公积金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1.12万元。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三、一般公共预算财政拨款</w:t>
      </w:r>
      <w:r>
        <w:rPr>
          <w:rFonts w:ascii="Times New Roman" w:hAnsi="Times New Roman" w:eastAsia="黑体" w:cs="Times New Roman"/>
          <w:sz w:val="32"/>
          <w:szCs w:val="32"/>
        </w:rPr>
        <w:t>“</w:t>
      </w:r>
      <w:r>
        <w:rPr>
          <w:rFonts w:hint="eastAsia" w:ascii="黑体" w:hAnsi="Times New Roman" w:eastAsia="黑体" w:cs="黑体"/>
          <w:sz w:val="32"/>
          <w:szCs w:val="32"/>
        </w:rPr>
        <w:t>三公</w:t>
      </w:r>
      <w:r>
        <w:rPr>
          <w:rFonts w:ascii="Times New Roman" w:hAnsi="Times New Roman" w:eastAsia="黑体" w:cs="Times New Roman"/>
          <w:sz w:val="32"/>
          <w:szCs w:val="32"/>
        </w:rPr>
        <w:t>”</w:t>
      </w:r>
      <w:r>
        <w:rPr>
          <w:rFonts w:hint="eastAsia" w:ascii="黑体" w:hAnsi="Times New Roman" w:eastAsia="黑体" w:cs="黑体"/>
          <w:sz w:val="32"/>
          <w:szCs w:val="32"/>
        </w:rPr>
        <w:t>经费支出决算情况</w:t>
      </w:r>
    </w:p>
    <w:p>
      <w:pPr>
        <w:autoSpaceDE w:val="0"/>
        <w:autoSpaceDN w:val="0"/>
        <w:adjustRightInd w:val="0"/>
        <w:spacing w:line="540" w:lineRule="exact"/>
        <w:ind w:left="530" w:leftChars="100" w:hanging="320" w:hanging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年度一般公共预算财政拨款安排的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经费支出万元，其中：因公出国（境）费万元，公务接待费万元，公务用车购置及运行维护费万元。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经费支出比</w:t>
      </w:r>
      <w:r>
        <w:rPr>
          <w:rFonts w:ascii="仿宋_GB2312" w:hAnsi="Times New Roman" w:eastAsia="仿宋_GB2312" w:cs="仿宋_GB2312"/>
          <w:sz w:val="32"/>
          <w:szCs w:val="32"/>
        </w:rPr>
        <w:t>2016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年减少（增加）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万元，下降（增长）</w:t>
      </w:r>
      <w:r>
        <w:rPr>
          <w:rFonts w:ascii="仿宋_GB2312" w:hAnsi="Times New Roman" w:eastAsia="仿宋_GB2312" w:cs="仿宋_GB2312"/>
          <w:sz w:val="32"/>
          <w:szCs w:val="32"/>
        </w:rPr>
        <w:t>XX%</w:t>
      </w:r>
      <w:r>
        <w:rPr>
          <w:rFonts w:hint="eastAsia" w:ascii="仿宋_GB2312" w:hAnsi="Times New Roman" w:eastAsia="仿宋_GB2312" w:cs="仿宋_GB2312"/>
          <w:sz w:val="32"/>
          <w:szCs w:val="32"/>
        </w:rPr>
        <w:t>，主要是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等原因。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因公出国（境）费万元，主要用于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等，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年参加出国（境）团组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个，累计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人次。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公务接待费万元，主要用于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等，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年国内公务接待累计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批次，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人，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公务用车购置及运行维护费万元，其中：公务用车购置费万元，公务用车运行维护费万元。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年购置公务用车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辆，年末公务用车保有量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辆。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五、其他重要事项的情况说明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（一）机关运行经费支出情况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楷体_GB2312" w:hAnsi="Times New Roman" w:eastAsia="楷体_GB2312" w:cs="楷体_GB2312"/>
          <w:b/>
          <w:bCs/>
          <w:i/>
          <w:iCs/>
          <w:sz w:val="36"/>
          <w:szCs w:val="36"/>
          <w:lang w:eastAsia="zh-CN"/>
        </w:rPr>
        <w:t>双台子区红十字会</w:t>
      </w:r>
      <w:r>
        <w:rPr>
          <w:rFonts w:hint="eastAsia" w:ascii="楷体_GB2312" w:hAnsi="Times New Roman" w:eastAsia="楷体_GB2312" w:cs="楷体_GB2312"/>
          <w:b/>
          <w:bCs/>
          <w:i/>
          <w:iCs/>
          <w:sz w:val="36"/>
          <w:szCs w:val="36"/>
        </w:rPr>
        <w:t>部门</w:t>
      </w:r>
      <w:r>
        <w:rPr>
          <w:rFonts w:hint="eastAsia" w:ascii="仿宋_GB2312" w:hAnsi="Times New Roman" w:eastAsia="仿宋_GB2312" w:cs="仿宋_GB2312"/>
          <w:sz w:val="32"/>
          <w:szCs w:val="32"/>
        </w:rPr>
        <w:t>机关运行经费支出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1.96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万元，比</w:t>
      </w:r>
      <w:r>
        <w:rPr>
          <w:rFonts w:ascii="仿宋_GB2312" w:hAnsi="Times New Roman" w:eastAsia="仿宋_GB2312" w:cs="仿宋_GB2312"/>
          <w:sz w:val="32"/>
          <w:szCs w:val="32"/>
        </w:rPr>
        <w:t>2016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年增加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0.04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万元，增长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Times New Roman" w:eastAsia="仿宋_GB2312" w:cs="仿宋_GB2312"/>
          <w:sz w:val="32"/>
          <w:szCs w:val="32"/>
        </w:rPr>
        <w:t>%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（二）政府采购支出情况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ascii="楷体_GB2312" w:hAnsi="Times New Roman" w:eastAsia="楷体_GB2312" w:cs="楷体_GB2312"/>
          <w:b/>
          <w:bCs/>
          <w:i/>
          <w:iCs/>
          <w:sz w:val="36"/>
          <w:szCs w:val="36"/>
        </w:rPr>
        <w:t>XX</w:t>
      </w:r>
      <w:r>
        <w:rPr>
          <w:rFonts w:hint="eastAsia" w:ascii="楷体_GB2312" w:hAnsi="Times New Roman" w:eastAsia="楷体_GB2312" w:cs="楷体_GB2312"/>
          <w:b/>
          <w:bCs/>
          <w:i/>
          <w:iCs/>
          <w:sz w:val="36"/>
          <w:szCs w:val="36"/>
        </w:rPr>
        <w:t>部门</w:t>
      </w:r>
      <w:r>
        <w:rPr>
          <w:rFonts w:hint="eastAsia" w:ascii="仿宋_GB2312" w:hAnsi="Times New Roman" w:eastAsia="仿宋_GB2312" w:cs="仿宋_GB2312"/>
          <w:sz w:val="32"/>
          <w:szCs w:val="32"/>
        </w:rPr>
        <w:t>政府采购支出总额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万元，其中：政府采购货物支出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万元，政府采购工程支出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万元，政府采购服务支出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万元。授予中小企业合同金额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万元，占政府采购支出总额的</w:t>
      </w:r>
      <w:r>
        <w:rPr>
          <w:rFonts w:ascii="仿宋_GB2312" w:hAnsi="Times New Roman" w:eastAsia="仿宋_GB2312" w:cs="仿宋_GB2312"/>
          <w:sz w:val="32"/>
          <w:szCs w:val="32"/>
        </w:rPr>
        <w:t>XX%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，其中：授予小微企业合同金额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万元，占政府采购支出总额的</w:t>
      </w:r>
      <w:r>
        <w:rPr>
          <w:rFonts w:ascii="仿宋_GB2312" w:hAnsi="Times New Roman" w:eastAsia="仿宋_GB2312" w:cs="仿宋_GB2312"/>
          <w:sz w:val="32"/>
          <w:szCs w:val="32"/>
        </w:rPr>
        <w:t>XX%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（三）国有资产占用情况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截至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ascii="仿宋_GB2312" w:hAnsi="Times New Roman" w:eastAsia="仿宋_GB2312" w:cs="仿宋_GB2312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ascii="仿宋_GB2312" w:hAnsi="Times New Roman" w:eastAsia="仿宋_GB2312" w:cs="仿宋_GB2312"/>
          <w:sz w:val="32"/>
          <w:szCs w:val="32"/>
        </w:rPr>
        <w:t>31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</w:t>
      </w:r>
      <w:r>
        <w:rPr>
          <w:rFonts w:ascii="楷体_GB2312" w:hAnsi="Times New Roman" w:eastAsia="楷体_GB2312" w:cs="楷体_GB2312"/>
          <w:b/>
          <w:bCs/>
          <w:i/>
          <w:iCs/>
          <w:sz w:val="36"/>
          <w:szCs w:val="36"/>
        </w:rPr>
        <w:t>XX</w:t>
      </w:r>
      <w:r>
        <w:rPr>
          <w:rFonts w:hint="eastAsia" w:ascii="楷体_GB2312" w:hAnsi="Times New Roman" w:eastAsia="楷体_GB2312" w:cs="楷体_GB2312"/>
          <w:b/>
          <w:bCs/>
          <w:i/>
          <w:iCs/>
          <w:sz w:val="36"/>
          <w:szCs w:val="36"/>
        </w:rPr>
        <w:t>部门</w:t>
      </w:r>
      <w:r>
        <w:rPr>
          <w:rFonts w:hint="eastAsia" w:ascii="仿宋_GB2312" w:hAnsi="Times New Roman" w:eastAsia="仿宋_GB2312" w:cs="仿宋_GB2312"/>
          <w:sz w:val="32"/>
          <w:szCs w:val="32"/>
        </w:rPr>
        <w:t>共有车辆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辆，其中：副省级以上领导干部用车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辆，一般公务用车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辆，一般执法执勤用车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辆，特种专业技术用车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辆，其他用车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辆；单位价值万元以上大型设备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台（套）。</w:t>
      </w:r>
    </w:p>
    <w:p>
      <w:pPr>
        <w:autoSpaceDE w:val="0"/>
        <w:autoSpaceDN w:val="0"/>
        <w:adjustRightInd w:val="0"/>
        <w:spacing w:line="540" w:lineRule="exact"/>
        <w:ind w:firstLine="72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（四）预算绩效管理工作开展情况</w:t>
      </w:r>
    </w:p>
    <w:p>
      <w:pPr>
        <w:autoSpaceDE w:val="0"/>
        <w:autoSpaceDN w:val="0"/>
        <w:adjustRightInd w:val="0"/>
        <w:ind w:firstLine="640"/>
        <w:rPr>
          <w:rFonts w:ascii="仿宋_GB2312" w:hAnsi="Times New Roman" w:eastAsia="仿宋_GB2312" w:cs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根据财政预算管理要求，我厅（委、局）组织对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年度预算项目支出全面开展绩效自评，共涉及预算支出项目</w:t>
      </w:r>
    </w:p>
    <w:p>
      <w:pPr>
        <w:autoSpaceDE w:val="0"/>
        <w:autoSpaceDN w:val="0"/>
        <w:adjustRightInd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个，涉及资金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万元，自评覆盖率（开展绩效自评的项目数</w:t>
      </w:r>
      <w:r>
        <w:rPr>
          <w:rFonts w:ascii="仿宋_GB2312" w:hAnsi="Times New Roman" w:eastAsia="仿宋_GB2312" w:cs="仿宋_GB2312"/>
          <w:sz w:val="32"/>
          <w:szCs w:val="32"/>
        </w:rPr>
        <w:t>/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年初批复绩效目标的项目数）达到</w:t>
      </w:r>
      <w:r>
        <w:rPr>
          <w:rFonts w:ascii="仿宋_GB2312" w:hAnsi="Times New Roman" w:eastAsia="仿宋_GB2312" w:cs="仿宋_GB2312"/>
          <w:sz w:val="32"/>
          <w:szCs w:val="32"/>
        </w:rPr>
        <w:t>XX%</w:t>
      </w:r>
      <w:r>
        <w:rPr>
          <w:rFonts w:hint="eastAsia" w:ascii="仿宋_GB2312" w:hAnsi="Times New Roman" w:eastAsia="仿宋_GB2312" w:cs="仿宋_GB2312"/>
          <w:sz w:val="32"/>
          <w:szCs w:val="32"/>
        </w:rPr>
        <w:t>，自评平均分（开展绩效自评的项目分数总和</w:t>
      </w:r>
      <w:r>
        <w:rPr>
          <w:rFonts w:ascii="仿宋_GB2312" w:hAnsi="Times New Roman" w:eastAsia="仿宋_GB2312" w:cs="仿宋_GB2312"/>
          <w:sz w:val="32"/>
          <w:szCs w:val="32"/>
        </w:rPr>
        <w:t>/</w:t>
      </w:r>
      <w:r>
        <w:rPr>
          <w:rFonts w:hint="eastAsia" w:ascii="仿宋_GB2312" w:hAnsi="Times New Roman" w:eastAsia="仿宋_GB2312" w:cs="仿宋_GB2312"/>
          <w:sz w:val="32"/>
          <w:szCs w:val="32"/>
        </w:rPr>
        <w:t>开展绩效自评的项目数）</w:t>
      </w:r>
      <w:r>
        <w:rPr>
          <w:rFonts w:ascii="仿宋_GB2312" w:hAnsi="Times New Roman" w:eastAsia="仿宋_GB2312" w:cs="仿宋_GB2312"/>
          <w:sz w:val="32"/>
          <w:szCs w:val="32"/>
        </w:rPr>
        <w:t>XX</w:t>
      </w:r>
      <w:r>
        <w:rPr>
          <w:rFonts w:hint="eastAsia" w:ascii="仿宋_GB2312" w:hAnsi="Times New Roman" w:eastAsia="仿宋_GB2312" w:cs="仿宋_GB2312"/>
          <w:sz w:val="32"/>
          <w:szCs w:val="32"/>
        </w:rPr>
        <w:t>分。</w:t>
      </w:r>
    </w:p>
    <w:p>
      <w:pPr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通过绩效自评发现预算项目管理主要存在以下问题：</w:t>
      </w:r>
      <w:r>
        <w:rPr>
          <w:rFonts w:hint="eastAsia" w:ascii="黑体" w:hAnsi="Times New Roman" w:eastAsia="黑体" w:cs="黑体"/>
          <w:sz w:val="32"/>
          <w:szCs w:val="32"/>
        </w:rPr>
        <w:t>一是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二是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三是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四是</w:t>
      </w:r>
      <w:r>
        <w:rPr>
          <w:rFonts w:hint="eastAsia" w:ascii="仿宋_GB2312" w:hAnsi="Times New Roman" w:eastAsia="仿宋_GB2312" w:cs="仿宋_GB2312"/>
          <w:sz w:val="32"/>
          <w:szCs w:val="32"/>
        </w:rPr>
        <w:t>……。下一步将采取以下措施加以改进：</w:t>
      </w:r>
      <w:r>
        <w:rPr>
          <w:rFonts w:hint="eastAsia" w:ascii="黑体" w:hAnsi="Times New Roman" w:eastAsia="黑体" w:cs="黑体"/>
          <w:sz w:val="32"/>
          <w:szCs w:val="32"/>
        </w:rPr>
        <w:t>一是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二是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三是</w:t>
      </w:r>
      <w:r>
        <w:rPr>
          <w:rFonts w:ascii="仿宋_GB2312" w:hAnsi="Times New Roman" w:eastAsia="仿宋_GB2312" w:cs="仿宋_GB2312"/>
          <w:sz w:val="32"/>
          <w:szCs w:val="32"/>
        </w:rPr>
        <w:t>XX;</w:t>
      </w:r>
      <w:r>
        <w:rPr>
          <w:rFonts w:hint="eastAsia" w:ascii="黑体" w:hAnsi="Times New Roman" w:eastAsia="黑体" w:cs="黑体"/>
          <w:sz w:val="32"/>
          <w:szCs w:val="32"/>
        </w:rPr>
        <w:t>四是</w:t>
      </w:r>
      <w:r>
        <w:rPr>
          <w:rFonts w:hint="eastAsia" w:ascii="仿宋_GB2312" w:hAnsi="Times New Roman" w:eastAsia="仿宋_GB2312" w:cs="仿宋_GB2312"/>
          <w:sz w:val="32"/>
          <w:szCs w:val="32"/>
        </w:rPr>
        <w:t>……。</w:t>
      </w:r>
    </w:p>
    <w:p>
      <w:pPr>
        <w:rPr>
          <w:rFonts w:ascii="仿宋_GB2312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</w:rPr>
        <w:t>没有列入重点绩效项目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0C2F"/>
    <w:multiLevelType w:val="singleLevel"/>
    <w:tmpl w:val="64DF0C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3B3"/>
    <w:rsid w:val="00104978"/>
    <w:rsid w:val="001B6E3C"/>
    <w:rsid w:val="00226A78"/>
    <w:rsid w:val="002833B3"/>
    <w:rsid w:val="002A3E4A"/>
    <w:rsid w:val="002A6FC8"/>
    <w:rsid w:val="006C7F9A"/>
    <w:rsid w:val="007962FC"/>
    <w:rsid w:val="009E4B14"/>
    <w:rsid w:val="00AE67D1"/>
    <w:rsid w:val="0E0D3DD1"/>
    <w:rsid w:val="2455473B"/>
    <w:rsid w:val="24F7556E"/>
    <w:rsid w:val="4CCC2972"/>
    <w:rsid w:val="501527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1795</Characters>
  <Lines>14</Lines>
  <Paragraphs>4</Paragraphs>
  <TotalTime>8</TotalTime>
  <ScaleCrop>false</ScaleCrop>
  <LinksUpToDate>false</LinksUpToDate>
  <CharactersWithSpaces>2105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2018-08-13T02:09:00Z</dcterms:created>
  <dc:creator>dw</dc:creator>
  <cp:lastModifiedBy>一只慢悠悠的蜗牛</cp:lastModifiedBy>
  <cp:lastPrinted>2019-01-29T09:28:00Z</cp:lastPrinted>
  <dcterms:modified xsi:type="dcterms:W3CDTF">2019-01-29T09:40:41Z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