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70" w:rsidRDefault="00B1371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  <w:r>
        <w:rPr>
          <w:rFonts w:ascii="宋体" w:eastAsia="宋体" w:cs="宋体"/>
          <w:b/>
          <w:bCs/>
          <w:sz w:val="44"/>
          <w:szCs w:val="44"/>
        </w:rPr>
        <w:t>2017</w:t>
      </w:r>
      <w:r>
        <w:rPr>
          <w:rFonts w:ascii="宋体" w:eastAsia="宋体" w:cs="宋体" w:hint="eastAsia"/>
          <w:b/>
          <w:bCs/>
          <w:sz w:val="44"/>
          <w:szCs w:val="44"/>
        </w:rPr>
        <w:t>年部门决算公开参考文本</w:t>
      </w: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B1371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双台子区残疾人联合会部门</w:t>
      </w:r>
      <w:r>
        <w:rPr>
          <w:rFonts w:ascii="宋体" w:eastAsia="宋体" w:hAnsi="Times New Roman" w:cs="宋体"/>
          <w:b/>
          <w:bCs/>
          <w:sz w:val="52"/>
          <w:szCs w:val="52"/>
        </w:rPr>
        <w:t>2017</w:t>
      </w:r>
      <w:r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C43070" w:rsidRDefault="00B1371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t>目录</w:t>
      </w:r>
    </w:p>
    <w:p w:rsidR="00C43070" w:rsidRDefault="00C43070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C43070" w:rsidRDefault="00B1371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第一部分双台子区残疾人联合会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C43070" w:rsidRDefault="00B1371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一、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C43070" w:rsidRDefault="00B1371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lastRenderedPageBreak/>
        <w:t>二、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C43070" w:rsidRDefault="00B1371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第二部分双台子区残疾人联合会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C43070" w:rsidRDefault="00B1371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C43070" w:rsidRDefault="00B1371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C43070" w:rsidRDefault="00B1371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C43070" w:rsidRDefault="00B1371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C43070" w:rsidRDefault="00B1371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C43070" w:rsidRDefault="00B1371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C43070" w:rsidRDefault="00B1371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C43070" w:rsidRDefault="00B1371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C43070" w:rsidRDefault="00B13713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C43070" w:rsidRDefault="00B1371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第三部分双台子区残疾人联合会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C43070" w:rsidRDefault="00B1371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C43070" w:rsidRDefault="00B1371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第一部分双台子区残疾人联合会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C43070" w:rsidRDefault="00C43070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C43070" w:rsidRDefault="00B13713">
      <w:pPr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主要职责</w:t>
      </w:r>
    </w:p>
    <w:p w:rsidR="00C43070" w:rsidRDefault="00B13713" w:rsidP="000026EE">
      <w:pPr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1、履行代表、服务、管理职能，为残疾人开展服务。</w:t>
      </w:r>
    </w:p>
    <w:p w:rsidR="00C43070" w:rsidRDefault="00B13713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lastRenderedPageBreak/>
        <w:t xml:space="preserve">    2、辅助器具发放、安置残疾人就业、培训残疾人、收缴残疾人就业保障金。</w:t>
      </w:r>
    </w:p>
    <w:p w:rsidR="00C43070" w:rsidRDefault="00C43070">
      <w:pPr>
        <w:autoSpaceDE w:val="0"/>
        <w:autoSpaceDN w:val="0"/>
        <w:adjustRightInd w:val="0"/>
        <w:spacing w:line="540" w:lineRule="exact"/>
        <w:jc w:val="left"/>
        <w:rPr>
          <w:rFonts w:ascii="黑体" w:eastAsia="黑体" w:hAnsi="Times New Roman" w:cs="黑体"/>
          <w:sz w:val="32"/>
          <w:szCs w:val="32"/>
        </w:rPr>
      </w:pPr>
    </w:p>
    <w:p w:rsidR="00C43070" w:rsidRDefault="00B13713">
      <w:pPr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部门决算单位构成</w:t>
      </w:r>
    </w:p>
    <w:p w:rsidR="00C43070" w:rsidRDefault="00B13713">
      <w:pPr>
        <w:autoSpaceDE w:val="0"/>
        <w:autoSpaceDN w:val="0"/>
        <w:adjustRightInd w:val="0"/>
        <w:spacing w:line="540" w:lineRule="exact"/>
        <w:ind w:left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楷体_GB2312" w:eastAsia="楷体_GB2312" w:hint="eastAsia"/>
          <w:sz w:val="30"/>
          <w:szCs w:val="30"/>
        </w:rPr>
        <w:t xml:space="preserve">    我单位为行政单位，实行行政单位会计制度。内设2个办和1个中心，为残联办公室、业务股、和辅助器具服务中心。2017年实有在职编制19人，其中：行政编制6人，事业编制9人，退休人员4人。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仿宋_GB2312" w:eastAsia="仿宋_GB2312" w:hAnsi="Times New Roman" w:cs="仿宋_GB2312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纳入双台子区残疾人联合会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双台子区残疾人辅助器具服务中心</w:t>
      </w:r>
    </w:p>
    <w:p w:rsidR="00C43070" w:rsidRDefault="00C43070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43070" w:rsidRDefault="00B1371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第二部分双台子区残疾人联合会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年度部门决算公开报表</w:t>
      </w: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C43070" w:rsidRDefault="00C4307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C43070" w:rsidRDefault="00B1371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第三部分双台子区残疾人联合会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C43070" w:rsidRDefault="00C43070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C43070" w:rsidRDefault="00B13713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（一）收入总计127.99万元，包括：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财政拨款收入127.99万元，其中：一般公共预算财政拨款收入</w:t>
      </w:r>
      <w:r w:rsidR="002736F1">
        <w:rPr>
          <w:rFonts w:ascii="仿宋_GB2312" w:eastAsia="仿宋_GB2312" w:hAnsi="Times New Roman" w:cs="仿宋_GB2312" w:hint="eastAsia"/>
          <w:sz w:val="32"/>
          <w:szCs w:val="32"/>
        </w:rPr>
        <w:t>127.99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万元，政府性基金预算财政拨款收入万元。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lastRenderedPageBreak/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（二）支出总计127.99万元，包括：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基本支出1</w:t>
      </w:r>
      <w:r w:rsidR="00390D13">
        <w:rPr>
          <w:rFonts w:ascii="仿宋_GB2312" w:eastAsia="仿宋_GB2312" w:hAnsi="Times New Roman" w:cs="仿宋_GB2312" w:hint="eastAsia"/>
          <w:sz w:val="32"/>
          <w:szCs w:val="32"/>
        </w:rPr>
        <w:t>19.7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万元，主要是为保障机构正常运转、完成日常工作任务而发生的各项支出，其中：工资福利支出74.82万元，对个人和家庭的补助支出30.82万元，商品和服务支出</w:t>
      </w:r>
      <w:r w:rsidR="002736F1">
        <w:rPr>
          <w:rFonts w:ascii="仿宋_GB2312" w:eastAsia="仿宋_GB2312" w:hAnsi="Times New Roman" w:cs="仿宋_GB2312" w:hint="eastAsia"/>
          <w:sz w:val="32"/>
          <w:szCs w:val="32"/>
        </w:rPr>
        <w:t>14.06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 w:rsidR="00390D13">
        <w:rPr>
          <w:rFonts w:ascii="仿宋_GB2312" w:eastAsia="仿宋_GB2312" w:hAnsi="Times New Roman" w:cs="仿宋_GB2312" w:hint="eastAsia"/>
          <w:sz w:val="32"/>
          <w:szCs w:val="32"/>
        </w:rPr>
        <w:t>8.29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 w:rsidR="00390D13">
        <w:rPr>
          <w:rFonts w:ascii="仿宋_GB2312" w:eastAsia="仿宋_GB2312" w:hAnsi="Times New Roman" w:cs="仿宋_GB2312" w:hint="eastAsia"/>
          <w:sz w:val="32"/>
          <w:szCs w:val="32"/>
        </w:rPr>
        <w:t>残疾人事业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（三）年末结转和结余万元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等原因形成的结余。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财政拨款支出决算反映双台子区残疾人联合会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390D13">
        <w:rPr>
          <w:rFonts w:ascii="仿宋_GB2312" w:eastAsia="仿宋_GB2312" w:hAnsi="Times New Roman" w:cs="仿宋_GB2312" w:hint="eastAsia"/>
          <w:sz w:val="32"/>
          <w:szCs w:val="32"/>
        </w:rPr>
        <w:t>127.99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万元，其中：基本支出</w:t>
      </w:r>
      <w:r w:rsidR="00390D13">
        <w:rPr>
          <w:rFonts w:ascii="仿宋_GB2312" w:eastAsia="仿宋_GB2312" w:hAnsi="Times New Roman" w:cs="仿宋_GB2312" w:hint="eastAsia"/>
          <w:sz w:val="32"/>
          <w:szCs w:val="32"/>
        </w:rPr>
        <w:t>119.7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 w:rsidR="00390D13">
        <w:rPr>
          <w:rFonts w:ascii="仿宋_GB2312" w:eastAsia="仿宋_GB2312" w:hAnsi="Times New Roman" w:cs="仿宋_GB2312" w:hint="eastAsia"/>
          <w:sz w:val="32"/>
          <w:szCs w:val="32"/>
        </w:rPr>
        <w:t>8.29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年度财政拨款支出127.99万元，按支出功能分类科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目分，包括社会保障和就业支出119.37万元，包括：行政运行105.98，行政事业单位退休13.38万元。其它支出8.62万元，包括：住房补助资金8.62万元。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 w:rsidR="00BC73F1" w:rsidRPr="00BC73F1"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 w:rsidR="00BC73F1">
        <w:rPr>
          <w:rFonts w:ascii="仿宋_GB2312" w:eastAsia="仿宋_GB2312" w:hAnsi="Times New Roman" w:cs="仿宋_GB2312" w:hint="eastAsia"/>
          <w:sz w:val="32"/>
          <w:szCs w:val="32"/>
        </w:rPr>
        <w:t>社会保障和就业支出119.37万元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，包括：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）行政运行</w:t>
      </w:r>
      <w:r w:rsidR="00BC73F1">
        <w:rPr>
          <w:rFonts w:ascii="仿宋_GB2312" w:eastAsia="仿宋_GB2312" w:hAnsi="Times New Roman" w:cs="仿宋_GB2312" w:hint="eastAsia"/>
          <w:sz w:val="32"/>
          <w:szCs w:val="32"/>
        </w:rPr>
        <w:t>105.98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 w:rsidR="00BC73F1">
        <w:rPr>
          <w:rFonts w:ascii="仿宋_GB2312" w:eastAsia="仿宋_GB2312" w:hAnsi="Times New Roman" w:cs="仿宋_GB2312" w:hint="eastAsia"/>
          <w:sz w:val="32"/>
          <w:szCs w:val="32"/>
        </w:rPr>
        <w:t>工资福利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等支出。</w:t>
      </w:r>
    </w:p>
    <w:p w:rsidR="00C43070" w:rsidRDefault="00BC73F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（2）行政事业单位退休13.38万元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 w:rsidR="00BC73F1" w:rsidRPr="00BC73F1"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 w:rsidR="00BC73F1">
        <w:rPr>
          <w:rFonts w:ascii="仿宋_GB2312" w:eastAsia="仿宋_GB2312" w:hAnsi="Times New Roman" w:cs="仿宋_GB2312" w:hint="eastAsia"/>
          <w:sz w:val="32"/>
          <w:szCs w:val="32"/>
        </w:rPr>
        <w:t>其它支出8.62万元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，包括：</w:t>
      </w:r>
      <w:r w:rsidR="00BC73F1">
        <w:rPr>
          <w:rFonts w:ascii="仿宋_GB2312" w:eastAsia="仿宋_GB2312" w:hAnsi="Times New Roman" w:cs="仿宋_GB2312" w:hint="eastAsia"/>
          <w:sz w:val="32"/>
          <w:szCs w:val="32"/>
        </w:rPr>
        <w:t>住房补助资金8.62万元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……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C43070" w:rsidRDefault="00B13713">
      <w:pPr>
        <w:autoSpaceDE w:val="0"/>
        <w:autoSpaceDN w:val="0"/>
        <w:adjustRightInd w:val="0"/>
        <w:spacing w:line="540" w:lineRule="exact"/>
        <w:ind w:leftChars="100" w:left="530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经费支出万元，其中：因公出国（境）费万元，公务接待费万元，公务用车购置及运行维护费万元。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年减少（增加）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万元，下降（增长）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年参加出国（境）团组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人次。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年国内公务接待累计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批次，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公务用车购置及运行维护费万元，其中：公务用车购置费万元，公务用车运行维护费万元。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年双台子区残疾人联合会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机关运行经费支出127.99万元，比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年减少29.27万元，降低18.6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因是压缩经费开支。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万元，政府采购工程支出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万元。授予中小企业合同金额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，其中：授予小微企业合同金额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日，双台子区残疾人联合会下属残疾人辅助器具服务中心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共有车辆1辆，其中：副省级以上领导干部用车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辆，一般公务用车1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辆；单位价值万元以上大型设备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C43070" w:rsidRDefault="00B13713">
      <w:pPr>
        <w:autoSpaceDE w:val="0"/>
        <w:autoSpaceDN w:val="0"/>
        <w:adjustRightInd w:val="0"/>
        <w:spacing w:line="540" w:lineRule="exact"/>
        <w:ind w:firstLine="720"/>
        <w:rPr>
          <w:rFonts w:ascii="楷体_GB2312" w:eastAsia="楷体_GB2312" w:hAnsi="Times New Roman" w:cs="楷体_GB2312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0026EE" w:rsidRDefault="000026EE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0026EE">
        <w:rPr>
          <w:rFonts w:ascii="仿宋_GB2312" w:eastAsia="仿宋_GB2312" w:hAnsi="Times New Roman" w:cs="仿宋_GB2312" w:hint="eastAsia"/>
          <w:sz w:val="32"/>
          <w:szCs w:val="32"/>
        </w:rPr>
        <w:t>经选择没有列入重点绩效项目</w:t>
      </w:r>
    </w:p>
    <w:p w:rsidR="00C43070" w:rsidRDefault="00B13713">
      <w:pPr>
        <w:autoSpaceDE w:val="0"/>
        <w:autoSpaceDN w:val="0"/>
        <w:adjustRightInd w:val="0"/>
        <w:ind w:firstLine="640"/>
        <w:rPr>
          <w:rFonts w:ascii="仿宋_GB2312" w:eastAsia="仿宋_GB2312" w:hAnsi="Times New Roman" w:cs="仿宋_GB2312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根据财政预算管理要求，我厅（委、局）组织对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年度预算项目支出全面开展绩效自评，共涉及预算支出项目</w:t>
      </w:r>
    </w:p>
    <w:p w:rsidR="00C43070" w:rsidRDefault="00B13713">
      <w:pPr>
        <w:autoSpaceDE w:val="0"/>
        <w:autoSpaceDN w:val="0"/>
        <w:adjustRightInd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个，涉及资金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万元，自评覆盖率（开展绩效自评的项目数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年初批复绩效目标的项目数）达到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，自评平均分（开展绩效自评的项目分数总和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开展绩效自评的项目数）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分。</w:t>
      </w:r>
    </w:p>
    <w:p w:rsidR="00C43070" w:rsidRDefault="00B13713">
      <w:pPr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……。下一步将采取以下措施加以改进：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</w:t>
      </w:r>
    </w:p>
    <w:p w:rsidR="00C43070" w:rsidRDefault="00C43070"/>
    <w:sectPr w:rsidR="00C43070" w:rsidSect="00C43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E51" w:rsidRDefault="00B93E51" w:rsidP="000026EE">
      <w:r>
        <w:separator/>
      </w:r>
    </w:p>
  </w:endnote>
  <w:endnote w:type="continuationSeparator" w:id="1">
    <w:p w:rsidR="00B93E51" w:rsidRDefault="00B93E51" w:rsidP="0000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E51" w:rsidRDefault="00B93E51" w:rsidP="000026EE">
      <w:r>
        <w:separator/>
      </w:r>
    </w:p>
  </w:footnote>
  <w:footnote w:type="continuationSeparator" w:id="1">
    <w:p w:rsidR="00B93E51" w:rsidRDefault="00B93E51" w:rsidP="00002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8FBE"/>
    <w:multiLevelType w:val="singleLevel"/>
    <w:tmpl w:val="03478F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B3"/>
    <w:rsid w:val="000026EE"/>
    <w:rsid w:val="00104978"/>
    <w:rsid w:val="001B6E3C"/>
    <w:rsid w:val="00226A78"/>
    <w:rsid w:val="002736F1"/>
    <w:rsid w:val="002833B3"/>
    <w:rsid w:val="002A3E4A"/>
    <w:rsid w:val="002A6FC8"/>
    <w:rsid w:val="00390D13"/>
    <w:rsid w:val="006C7F9A"/>
    <w:rsid w:val="007962FC"/>
    <w:rsid w:val="008827B4"/>
    <w:rsid w:val="009E4B14"/>
    <w:rsid w:val="00AE67D1"/>
    <w:rsid w:val="00B13713"/>
    <w:rsid w:val="00B93E51"/>
    <w:rsid w:val="00BC73F1"/>
    <w:rsid w:val="00C43070"/>
    <w:rsid w:val="09F8431E"/>
    <w:rsid w:val="0DCD5ECF"/>
    <w:rsid w:val="163800DD"/>
    <w:rsid w:val="1BAF31B1"/>
    <w:rsid w:val="29923F56"/>
    <w:rsid w:val="30FE650A"/>
    <w:rsid w:val="3A091067"/>
    <w:rsid w:val="59CF0B1A"/>
    <w:rsid w:val="5F1B36AB"/>
    <w:rsid w:val="6C7A2F36"/>
    <w:rsid w:val="7F5F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43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43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430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430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373</Words>
  <Characters>2127</Characters>
  <Application>Microsoft Office Word</Application>
  <DocSecurity>0</DocSecurity>
  <Lines>17</Lines>
  <Paragraphs>4</Paragraphs>
  <ScaleCrop>false</ScaleCrop>
  <Company>微软中国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微软用户</cp:lastModifiedBy>
  <cp:revision>9</cp:revision>
  <dcterms:created xsi:type="dcterms:W3CDTF">2018-08-13T02:09:00Z</dcterms:created>
  <dcterms:modified xsi:type="dcterms:W3CDTF">2019-03-21T01:02:00Z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