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ascii="Times New Roman" w:hAnsi="Times New Roman" w:eastAsia="宋体" w:cs="Times New Roman"/>
          <w:b/>
          <w:bCs/>
          <w:sz w:val="44"/>
          <w:szCs w:val="44"/>
          <w:u w:val="single"/>
        </w:rPr>
      </w:pPr>
      <w:r>
        <w:rPr>
          <w:rFonts w:ascii="宋体" w:eastAsia="宋体" w:cs="宋体"/>
          <w:b/>
          <w:bCs/>
          <w:sz w:val="44"/>
          <w:szCs w:val="44"/>
        </w:rPr>
        <w:t>2017</w:t>
      </w:r>
      <w:r>
        <w:rPr>
          <w:rFonts w:hint="eastAsia" w:ascii="宋体" w:eastAsia="宋体" w:cs="宋体"/>
          <w:b/>
          <w:bCs/>
          <w:sz w:val="44"/>
          <w:szCs w:val="44"/>
        </w:rPr>
        <w:t>年部门决算公开参考文本</w:t>
      </w: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52"/>
          <w:szCs w:val="52"/>
        </w:rPr>
      </w:pPr>
      <w:r>
        <w:rPr>
          <w:rFonts w:hint="eastAsia" w:ascii="宋体" w:hAnsi="Times New Roman" w:eastAsia="宋体" w:cs="宋体"/>
          <w:b/>
          <w:bCs/>
          <w:sz w:val="52"/>
          <w:szCs w:val="52"/>
          <w:lang w:eastAsia="zh-CN"/>
        </w:rPr>
        <w:t>民政局</w:t>
      </w:r>
      <w:r>
        <w:rPr>
          <w:rFonts w:ascii="宋体" w:hAnsi="Times New Roman" w:eastAsia="宋体" w:cs="宋体"/>
          <w:b/>
          <w:bCs/>
          <w:sz w:val="52"/>
          <w:szCs w:val="52"/>
        </w:rPr>
        <w:t>2017</w:t>
      </w:r>
      <w:r>
        <w:rPr>
          <w:rFonts w:hint="eastAsia" w:ascii="宋体" w:hAnsi="Times New Roman" w:eastAsia="宋体" w:cs="宋体"/>
          <w:b/>
          <w:bCs/>
          <w:sz w:val="52"/>
          <w:szCs w:val="52"/>
        </w:rPr>
        <w:t>年度部门决算</w:t>
      </w: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r>
        <w:rPr>
          <w:rFonts w:hint="eastAsia" w:ascii="宋体" w:hAnsi="Times New Roman" w:eastAsia="宋体" w:cs="宋体"/>
          <w:b/>
          <w:bCs/>
          <w:sz w:val="44"/>
          <w:szCs w:val="44"/>
        </w:rPr>
        <w:t>目录</w:t>
      </w: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第一部分</w:t>
      </w:r>
      <w:r>
        <w:rPr>
          <w:rFonts w:ascii="楷体_GB2312" w:hAnsi="Times New Roman" w:eastAsia="楷体_GB2312" w:cs="楷体_GB2312"/>
          <w:i/>
          <w:iCs/>
          <w:sz w:val="32"/>
          <w:szCs w:val="32"/>
        </w:rPr>
        <w:t>XX</w:t>
      </w:r>
      <w:r>
        <w:rPr>
          <w:rFonts w:hint="eastAsia" w:ascii="楷体_GB2312" w:hAnsi="Times New Roman" w:eastAsia="楷体_GB2312" w:cs="楷体_GB2312"/>
          <w:i/>
          <w:iCs/>
          <w:sz w:val="32"/>
          <w:szCs w:val="32"/>
        </w:rPr>
        <w:t>部门</w:t>
      </w:r>
      <w:r>
        <w:rPr>
          <w:rFonts w:hint="eastAsia" w:ascii="黑体" w:hAnsi="Times New Roman" w:eastAsia="黑体" w:cs="黑体"/>
          <w:sz w:val="32"/>
          <w:szCs w:val="32"/>
        </w:rPr>
        <w:t>概况</w:t>
      </w:r>
    </w:p>
    <w:p>
      <w:pPr>
        <w:autoSpaceDE w:val="0"/>
        <w:autoSpaceDN w:val="0"/>
        <w:adjustRightInd w:val="0"/>
        <w:spacing w:line="540" w:lineRule="exact"/>
        <w:ind w:left="720" w:hanging="720"/>
        <w:rPr>
          <w:rFonts w:ascii="Times New Roman" w:hAnsi="Times New Roman" w:eastAsia="仿宋_GB2312" w:cs="Times New Roman"/>
          <w:sz w:val="32"/>
          <w:szCs w:val="32"/>
        </w:rPr>
      </w:pPr>
      <w:r>
        <w:rPr>
          <w:rFonts w:hint="eastAsia" w:ascii="宋体" w:hAnsi="Times New Roman" w:eastAsia="宋体" w:cs="宋体"/>
          <w:szCs w:val="21"/>
        </w:rPr>
        <w:t>一、</w:t>
      </w:r>
      <w:r>
        <w:rPr>
          <w:rFonts w:ascii="Times New Roman" w:hAnsi="Times New Roman" w:eastAsia="宋体" w:cs="Times New Roman"/>
          <w:szCs w:val="21"/>
        </w:rPr>
        <w:tab/>
      </w:r>
      <w:r>
        <w:rPr>
          <w:rFonts w:hint="eastAsia" w:ascii="仿宋_GB2312" w:hAnsi="Times New Roman" w:eastAsia="仿宋_GB2312" w:cs="仿宋_GB2312"/>
          <w:sz w:val="32"/>
          <w:szCs w:val="32"/>
        </w:rPr>
        <w:t>主要职责</w:t>
      </w:r>
    </w:p>
    <w:p>
      <w:pPr>
        <w:autoSpaceDE w:val="0"/>
        <w:autoSpaceDN w:val="0"/>
        <w:adjustRightInd w:val="0"/>
        <w:spacing w:line="540" w:lineRule="exact"/>
        <w:ind w:left="720" w:hanging="720"/>
        <w:rPr>
          <w:rFonts w:ascii="Times New Roman" w:hAnsi="Times New Roman" w:eastAsia="仿宋_GB2312" w:cs="Times New Roman"/>
          <w:sz w:val="32"/>
          <w:szCs w:val="32"/>
        </w:rPr>
      </w:pPr>
      <w:r>
        <w:rPr>
          <w:rFonts w:hint="eastAsia" w:ascii="宋体" w:hAnsi="Times New Roman" w:eastAsia="宋体" w:cs="宋体"/>
          <w:szCs w:val="21"/>
        </w:rPr>
        <w:t>二、</w:t>
      </w:r>
      <w:r>
        <w:rPr>
          <w:rFonts w:ascii="Times New Roman" w:hAnsi="Times New Roman" w:eastAsia="宋体" w:cs="Times New Roman"/>
          <w:szCs w:val="21"/>
        </w:rPr>
        <w:tab/>
      </w:r>
      <w:r>
        <w:rPr>
          <w:rFonts w:hint="eastAsia" w:ascii="仿宋_GB2312" w:hAnsi="Times New Roman" w:eastAsia="仿宋_GB2312" w:cs="仿宋_GB2312"/>
          <w:sz w:val="32"/>
          <w:szCs w:val="32"/>
        </w:rPr>
        <w:t>部门决算单位构成</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第二部分</w:t>
      </w:r>
      <w:r>
        <w:rPr>
          <w:rFonts w:ascii="楷体_GB2312" w:hAnsi="Times New Roman" w:eastAsia="楷体_GB2312" w:cs="楷体_GB2312"/>
          <w:i/>
          <w:iCs/>
          <w:sz w:val="32"/>
          <w:szCs w:val="32"/>
        </w:rPr>
        <w:t>XX</w:t>
      </w:r>
      <w:r>
        <w:rPr>
          <w:rFonts w:hint="eastAsia" w:ascii="楷体_GB2312" w:hAnsi="Times New Roman" w:eastAsia="楷体_GB2312" w:cs="楷体_GB2312"/>
          <w:i/>
          <w:iCs/>
          <w:sz w:val="32"/>
          <w:szCs w:val="32"/>
        </w:rPr>
        <w:t>部门</w:t>
      </w:r>
      <w:r>
        <w:rPr>
          <w:rFonts w:ascii="黑体" w:hAnsi="Times New Roman" w:eastAsia="黑体" w:cs="黑体"/>
          <w:sz w:val="32"/>
          <w:szCs w:val="32"/>
        </w:rPr>
        <w:t>2017</w:t>
      </w:r>
      <w:r>
        <w:rPr>
          <w:rFonts w:hint="eastAsia" w:ascii="黑体" w:hAnsi="Times New Roman" w:eastAsia="黑体" w:cs="黑体"/>
          <w:sz w:val="32"/>
          <w:szCs w:val="32"/>
        </w:rPr>
        <w:t>年度部门决算报表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年度收入支出决算总表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四、</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五、</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六、</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年度一般公共预算财政拨款基本支出决算表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年度政府性基金预算财政拨款收入支出决算表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八、</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年度财政专户管理资金收入支出决算表</w:t>
      </w:r>
    </w:p>
    <w:p>
      <w:pPr>
        <w:autoSpaceDE w:val="0"/>
        <w:autoSpaceDN w:val="0"/>
        <w:adjustRightInd w:val="0"/>
        <w:spacing w:line="540" w:lineRule="exact"/>
        <w:ind w:left="640" w:hanging="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九、</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经费支出决算表</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第三部分</w:t>
      </w:r>
      <w:r>
        <w:rPr>
          <w:rFonts w:ascii="楷体_GB2312" w:hAnsi="Times New Roman" w:eastAsia="楷体_GB2312" w:cs="楷体_GB2312"/>
          <w:i/>
          <w:iCs/>
          <w:sz w:val="32"/>
          <w:szCs w:val="32"/>
        </w:rPr>
        <w:t>XX</w:t>
      </w:r>
      <w:r>
        <w:rPr>
          <w:rFonts w:hint="eastAsia" w:ascii="楷体_GB2312" w:hAnsi="Times New Roman" w:eastAsia="楷体_GB2312" w:cs="楷体_GB2312"/>
          <w:i/>
          <w:iCs/>
          <w:sz w:val="32"/>
          <w:szCs w:val="32"/>
        </w:rPr>
        <w:t>部门</w:t>
      </w:r>
      <w:r>
        <w:rPr>
          <w:rFonts w:ascii="黑体" w:hAnsi="Times New Roman" w:eastAsia="黑体" w:cs="黑体"/>
          <w:sz w:val="32"/>
          <w:szCs w:val="32"/>
        </w:rPr>
        <w:t>2017</w:t>
      </w:r>
      <w:r>
        <w:rPr>
          <w:rFonts w:hint="eastAsia" w:ascii="黑体" w:hAnsi="Times New Roman" w:eastAsia="黑体" w:cs="黑体"/>
          <w:sz w:val="32"/>
          <w:szCs w:val="32"/>
        </w:rPr>
        <w:t>年度部门决算情况说明</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第四部分名词解释</w:t>
      </w: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宋体" w:cs="Times New Roman"/>
          <w:b/>
          <w:bCs/>
          <w:sz w:val="36"/>
          <w:szCs w:val="36"/>
        </w:rPr>
      </w:pPr>
      <w:r>
        <w:rPr>
          <w:rFonts w:hint="eastAsia" w:ascii="宋体" w:hAnsi="Times New Roman" w:eastAsia="宋体" w:cs="宋体"/>
          <w:b/>
          <w:bCs/>
          <w:sz w:val="36"/>
          <w:szCs w:val="36"/>
        </w:rPr>
        <w:t>第一部分</w:t>
      </w:r>
      <w:r>
        <w:rPr>
          <w:rFonts w:hint="eastAsia" w:ascii="宋体" w:hAnsi="Times New Roman" w:eastAsia="宋体" w:cs="宋体"/>
          <w:b/>
          <w:bCs/>
          <w:sz w:val="36"/>
          <w:szCs w:val="36"/>
          <w:lang w:eastAsia="zh-CN"/>
        </w:rPr>
        <w:t>民政局</w:t>
      </w:r>
      <w:r>
        <w:rPr>
          <w:rFonts w:hint="eastAsia" w:ascii="宋体" w:hAnsi="Times New Roman" w:eastAsia="宋体" w:cs="宋体"/>
          <w:b/>
          <w:bCs/>
          <w:sz w:val="36"/>
          <w:szCs w:val="36"/>
        </w:rPr>
        <w:t>概况</w:t>
      </w:r>
    </w:p>
    <w:p>
      <w:pPr>
        <w:autoSpaceDE w:val="0"/>
        <w:autoSpaceDN w:val="0"/>
        <w:adjustRightInd w:val="0"/>
        <w:spacing w:line="540" w:lineRule="exact"/>
        <w:ind w:firstLine="640"/>
        <w:jc w:val="left"/>
        <w:rPr>
          <w:rFonts w:ascii="Times New Roman" w:hAnsi="Times New Roman" w:eastAsia="宋体" w:cs="Times New Roman"/>
          <w:sz w:val="32"/>
          <w:szCs w:val="32"/>
        </w:rPr>
      </w:pPr>
    </w:p>
    <w:p>
      <w:pPr>
        <w:numPr>
          <w:ilvl w:val="0"/>
          <w:numId w:val="1"/>
        </w:numPr>
        <w:spacing w:line="600" w:lineRule="exact"/>
        <w:ind w:firstLine="640" w:firstLineChars="200"/>
        <w:rPr>
          <w:rFonts w:hint="eastAsia" w:ascii="黑体" w:hAnsi="Times New Roman" w:eastAsia="黑体" w:cs="黑体"/>
          <w:sz w:val="32"/>
          <w:szCs w:val="32"/>
        </w:rPr>
      </w:pPr>
      <w:r>
        <w:rPr>
          <w:rFonts w:hint="eastAsia" w:ascii="黑体" w:hAnsi="Times New Roman" w:eastAsia="黑体" w:cs="黑体"/>
          <w:sz w:val="32"/>
          <w:szCs w:val="32"/>
        </w:rPr>
        <w:t>主要职责</w:t>
      </w:r>
    </w:p>
    <w:p>
      <w:pPr>
        <w:numPr>
          <w:ilvl w:val="0"/>
          <w:numId w:val="0"/>
        </w:numPr>
        <w:spacing w:line="600" w:lineRule="exact"/>
        <w:ind w:firstLine="643" w:firstLineChars="200"/>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rPr>
        <w:t>一)、综合</w:t>
      </w:r>
      <w:r>
        <w:rPr>
          <w:rFonts w:hint="eastAsia" w:ascii="仿宋_GB2312" w:hAnsi="仿宋_GB2312" w:eastAsia="仿宋_GB2312" w:cs="仿宋_GB2312"/>
          <w:b/>
          <w:sz w:val="32"/>
          <w:szCs w:val="32"/>
          <w:shd w:val="clear" w:color="auto" w:fill="FFFFFF"/>
        </w:rPr>
        <w:t>办公室</w:t>
      </w:r>
    </w:p>
    <w:p>
      <w:pPr>
        <w:spacing w:line="60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负责协调处理政务工作和机关日常工作；负责起草综合性文件和材料；负责局机关公文运转、档案管理工作；负责机关后勤保障工作；负责全局财务预算和管理及民政事业经费的发放、使用和管理工作。</w:t>
      </w:r>
    </w:p>
    <w:p>
      <w:pPr>
        <w:spacing w:line="60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二)、最低生活保障股</w:t>
      </w:r>
    </w:p>
    <w:p>
      <w:pPr>
        <w:spacing w:line="60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负责全区城乡低保监督管理和业务指导；受理群众举报工作；</w:t>
      </w:r>
      <w:r>
        <w:rPr>
          <w:rFonts w:hint="eastAsia" w:ascii="仿宋_GB2312" w:hAnsi="仿宋_GB2312" w:eastAsia="仿宋_GB2312" w:cs="仿宋_GB2312"/>
          <w:sz w:val="32"/>
          <w:szCs w:val="32"/>
          <w:shd w:val="clear" w:color="auto" w:fill="FFFFFF"/>
        </w:rPr>
        <w:t>负责指导全区困难群体救助工作；负责全区残疾人“两项补贴”审批工作。</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三)、救灾救助股</w:t>
      </w:r>
    </w:p>
    <w:p>
      <w:pPr>
        <w:spacing w:line="60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负责特困供养、孤儿审批和待遇落实工作；负责医疗二次救助工作；负责全区社会捐赠和捐助工作；负责灾情上报统计和抗灾救灾工作，组织开展全区性的扶贫赈灾工作；负责社会事务工作，指导管理全区社会福利机构；负责老龄工作。</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b/>
          <w:sz w:val="32"/>
          <w:szCs w:val="32"/>
        </w:rPr>
        <w:t>优抚安置股</w:t>
      </w:r>
    </w:p>
    <w:p>
      <w:pPr>
        <w:widowControl/>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拥军优属、优待、抚恤、补助工作；负责残疾军人、伤残人民警察、伤残国家机关工作人员评残工作；负责追烈及烈士褒扬工作；负责驻地部队随军未就业家属生活补助的落实发放工作；负责建国前老党员生活补贴的落实发放工作；负责退役士兵（士官）、复员干部、移交地方政府管理的军队离退休干部和无军籍退休职工的接收安置工作。组织和指导全区开展双拥工作，承担区双拥领导小组办公室的日常工作。</w:t>
      </w:r>
    </w:p>
    <w:p>
      <w:pPr>
        <w:spacing w:line="600" w:lineRule="exact"/>
        <w:ind w:firstLine="643" w:firstLineChars="200"/>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kern w:val="0"/>
          <w:sz w:val="32"/>
          <w:szCs w:val="32"/>
        </w:rPr>
        <w:t>五)、</w:t>
      </w:r>
      <w:r>
        <w:rPr>
          <w:rFonts w:hint="eastAsia" w:ascii="仿宋_GB2312" w:hAnsi="仿宋_GB2312" w:eastAsia="仿宋_GB2312" w:cs="仿宋_GB2312"/>
          <w:b/>
          <w:sz w:val="32"/>
          <w:szCs w:val="32"/>
          <w:shd w:val="clear" w:color="auto" w:fill="FFFFFF"/>
        </w:rPr>
        <w:t>基层政权股</w:t>
      </w:r>
    </w:p>
    <w:p>
      <w:pPr>
        <w:spacing w:line="60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指导村（居）委会搞好村（居）务公开，推进基层政权和自治组织规范化建设，确保“四个民主”落实。依法做好村（居）民委员会换届工作，推动村（居）民自治和基层民主政治建设；协助党和政府组织指导全区村（居）委会干部培训，搞好社区工作者和服务队伍素质培训，不断提高服务水平；研究和提出加强基层政权和社区建设的意见和建议，指导社区、村民委员会的民主政治建设和社区服务管理工作，制定中长期发展规划和年度工作计划，拟定相关政策法规，及时指导实施；做好基层建设领导小组办公室的日常工作，推动社区居委会、村委会建设具体任务的有效落实。</w:t>
      </w:r>
    </w:p>
    <w:p>
      <w:pPr>
        <w:spacing w:line="60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六)、区划地名股</w:t>
      </w:r>
    </w:p>
    <w:p>
      <w:pPr>
        <w:spacing w:line="60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做好全区楼牌、门牌的普查、制作、安装、及漏装、修补等工作；做好农村居民、驻村企业的门牌及路牌的普查、制作、安装、补装工作;抓好各种地名用户规范化；负责本区行政区域界线的勘定和管理，以及与盘山县、兴隆台区的行政区域界线的勘定、管理、边界争议的调处事宜；负责本区内社区、村行政区域的设立、撤销、调整、更名和界线变更工作；做好地名标准化咨询服务；负责本区标准地名、二普数据库管理、地名词典的修订和图书资料的编撰出版。</w:t>
      </w:r>
    </w:p>
    <w:p>
      <w:pPr>
        <w:spacing w:line="60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七)、</w:t>
      </w:r>
      <w:r>
        <w:rPr>
          <w:rFonts w:hint="eastAsia" w:ascii="仿宋_GB2312" w:hAnsi="仿宋_GB2312" w:eastAsia="仿宋_GB2312" w:cs="仿宋_GB2312"/>
          <w:b/>
          <w:sz w:val="32"/>
          <w:szCs w:val="32"/>
          <w:shd w:val="clear" w:color="auto" w:fill="FFFFFF"/>
        </w:rPr>
        <w:t>民间组织管理股</w:t>
      </w:r>
    </w:p>
    <w:p>
      <w:pPr>
        <w:widowControl/>
        <w:shd w:val="clear" w:color="auto" w:fill="FFFFFF"/>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配套政策和规章制度并组织实施；负责办理全区社会团体、民办非企业单位申请成立登记、变更登记和注销登记手续，颁发登记证书，并对其实施年度检查；指导社会团体和民办非企业单位建立健全组织机构和自律机制，完善各项规章制度，并监督其依据章程开展活动；对社会团体、民办非企业单位的重大活动实施法制监督，并保障其合法权益；依法查处社会组织的违法行为，取缔非法社会组织，对造成严重后果并触犯刑律的，提请司法机关进行查处。</w:t>
      </w:r>
    </w:p>
    <w:p>
      <w:pPr>
        <w:spacing w:line="60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b/>
          <w:sz w:val="32"/>
          <w:szCs w:val="32"/>
        </w:rPr>
        <w:t>殡葬管理所</w:t>
      </w:r>
    </w:p>
    <w:p>
      <w:pPr>
        <w:widowControl/>
        <w:shd w:val="clear" w:color="auto" w:fill="FFFFFF"/>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负责本行政区的殡葬管理工作;负责贯彻执行国家和地方人民政府制定的殡葬法规和政策；会同相关部门编制规划和监管本区公墓运营单位，会同有关部门处理丧葬活动中的违法案件。</w:t>
      </w:r>
    </w:p>
    <w:p>
      <w:pPr>
        <w:widowControl/>
        <w:spacing w:line="600" w:lineRule="exact"/>
        <w:ind w:firstLine="643"/>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九)、居民家庭经济状况核对中心</w:t>
      </w:r>
    </w:p>
    <w:p>
      <w:pPr>
        <w:spacing w:line="60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负责与市核对中心沟通，对申请低保的居民进行家庭收入和财产状况等信息核对并出具书面报告，为低保动态管理、实施各类社会救助提供相关依据和信息支持</w:t>
      </w:r>
      <w:r>
        <w:rPr>
          <w:rFonts w:hint="eastAsia" w:ascii="仿宋_GB2312" w:hAnsi="仿宋_GB2312" w:eastAsia="仿宋_GB2312" w:cs="仿宋_GB2312"/>
          <w:kern w:val="0"/>
          <w:sz w:val="32"/>
          <w:szCs w:val="32"/>
        </w:rPr>
        <w:t>。</w:t>
      </w:r>
    </w:p>
    <w:p>
      <w:pPr>
        <w:widowControl/>
        <w:spacing w:line="600" w:lineRule="exact"/>
        <w:ind w:firstLine="643"/>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十)、</w:t>
      </w:r>
      <w:r>
        <w:rPr>
          <w:rFonts w:hint="eastAsia" w:ascii="仿宋_GB2312" w:hAnsi="仿宋_GB2312" w:eastAsia="仿宋_GB2312" w:cs="仿宋_GB2312"/>
          <w:b/>
          <w:kern w:val="0"/>
          <w:sz w:val="32"/>
          <w:szCs w:val="32"/>
        </w:rPr>
        <w:t>婚姻登记管理站工作职责</w:t>
      </w:r>
    </w:p>
    <w:p>
      <w:pPr>
        <w:widowControl/>
        <w:shd w:val="clear" w:color="auto" w:fill="FFFFFF"/>
        <w:spacing w:line="600" w:lineRule="exact"/>
        <w:ind w:firstLine="64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宣传落实《中华人民共和国婚姻法》和中华人民共和国民政部《婚姻登记条例》，依法做好全区婚姻管理与服务工作；为婚姻当事人办理结婚登记、离婚登记手续；补发婚姻登记证书；依法为婚姻当事人查找有关婚姻档案，及时整理婚姻档案，做好婚姻方面的保密工作;接受群众来人来电咨询，提供有关婚姻法律法规和婚姻登记手续咨询服务。</w:t>
      </w:r>
    </w:p>
    <w:p>
      <w:pPr>
        <w:spacing w:line="600" w:lineRule="exact"/>
        <w:ind w:firstLine="643"/>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kern w:val="0"/>
          <w:sz w:val="32"/>
          <w:szCs w:val="32"/>
        </w:rPr>
        <w:t>十一)、</w:t>
      </w:r>
      <w:r>
        <w:rPr>
          <w:rFonts w:hint="eastAsia" w:ascii="仿宋_GB2312" w:hAnsi="仿宋_GB2312" w:eastAsia="仿宋_GB2312" w:cs="仿宋_GB2312"/>
          <w:b/>
          <w:sz w:val="32"/>
          <w:szCs w:val="32"/>
          <w:shd w:val="clear" w:color="auto" w:fill="FFFFFF"/>
        </w:rPr>
        <w:t>社会福利院工作职责</w:t>
      </w:r>
    </w:p>
    <w:p>
      <w:pPr>
        <w:spacing w:line="60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rPr>
        <w:t>主要供养城市“三无”人员、农村五保户，并保护其合法权益，为他们提供养护、医疗、康复服务；收养由家庭及单位送入自费代养的社会老年人、成年残疾人、智力残疾人及残幼儿童。</w:t>
      </w:r>
    </w:p>
    <w:p>
      <w:pPr>
        <w:autoSpaceDE w:val="0"/>
        <w:autoSpaceDN w:val="0"/>
        <w:adjustRightInd w:val="0"/>
        <w:spacing w:line="540" w:lineRule="exact"/>
        <w:ind w:firstLine="640"/>
        <w:jc w:val="left"/>
        <w:rPr>
          <w:rFonts w:ascii="Times New Roman" w:hAnsi="Times New Roman" w:eastAsia="黑体" w:cs="Times New Roman"/>
          <w:sz w:val="32"/>
          <w:szCs w:val="32"/>
        </w:rPr>
      </w:pPr>
    </w:p>
    <w:p>
      <w:pPr>
        <w:autoSpaceDE w:val="0"/>
        <w:autoSpaceDN w:val="0"/>
        <w:adjustRightInd w:val="0"/>
        <w:spacing w:line="540" w:lineRule="exact"/>
        <w:ind w:firstLine="640"/>
        <w:jc w:val="left"/>
        <w:rPr>
          <w:rFonts w:ascii="Times New Roman" w:hAnsi="Times New Roman" w:eastAsia="黑体" w:cs="Times New Roman"/>
          <w:sz w:val="32"/>
          <w:szCs w:val="32"/>
        </w:rPr>
      </w:pPr>
      <w:r>
        <w:rPr>
          <w:rFonts w:hint="eastAsia" w:ascii="黑体" w:hAnsi="Times New Roman" w:eastAsia="黑体" w:cs="黑体"/>
          <w:sz w:val="32"/>
          <w:szCs w:val="32"/>
        </w:rPr>
        <w:t>二、部门决算单位构成</w:t>
      </w:r>
    </w:p>
    <w:p>
      <w:pPr>
        <w:autoSpaceDE w:val="0"/>
        <w:autoSpaceDN w:val="0"/>
        <w:adjustRightInd w:val="0"/>
        <w:spacing w:line="540" w:lineRule="exact"/>
        <w:ind w:firstLine="640"/>
        <w:jc w:val="left"/>
        <w:rPr>
          <w:rFonts w:hint="eastAsia" w:ascii="Times New Roman" w:hAnsi="Times New Roman" w:eastAsia="仿宋_GB2312" w:cs="Times New Roman"/>
          <w:b/>
          <w:bCs/>
          <w:sz w:val="32"/>
          <w:szCs w:val="32"/>
          <w:lang w:eastAsia="zh-CN"/>
        </w:rPr>
      </w:pPr>
      <w:r>
        <w:rPr>
          <w:rFonts w:hint="eastAsia" w:ascii="仿宋_GB2312" w:hAnsi="Times New Roman" w:eastAsia="仿宋_GB2312" w:cs="仿宋_GB2312"/>
          <w:b/>
          <w:bCs/>
          <w:sz w:val="32"/>
          <w:szCs w:val="32"/>
        </w:rPr>
        <w:t>纳入</w:t>
      </w:r>
      <w:r>
        <w:rPr>
          <w:rFonts w:hint="eastAsia" w:ascii="仿宋_GB2312" w:hAnsi="Times New Roman" w:eastAsia="仿宋_GB2312" w:cs="仿宋_GB2312"/>
          <w:b/>
          <w:bCs/>
          <w:sz w:val="32"/>
          <w:szCs w:val="32"/>
          <w:lang w:eastAsia="zh-CN"/>
        </w:rPr>
        <w:t>民政局</w:t>
      </w:r>
      <w:r>
        <w:rPr>
          <w:rFonts w:ascii="仿宋_GB2312" w:hAnsi="Times New Roman" w:eastAsia="仿宋_GB2312" w:cs="仿宋_GB2312"/>
          <w:b/>
          <w:bCs/>
          <w:sz w:val="32"/>
          <w:szCs w:val="32"/>
        </w:rPr>
        <w:t>2017</w:t>
      </w:r>
      <w:r>
        <w:rPr>
          <w:rFonts w:hint="eastAsia" w:ascii="仿宋_GB2312" w:hAnsi="Times New Roman" w:eastAsia="仿宋_GB2312" w:cs="仿宋_GB2312"/>
          <w:b/>
          <w:bCs/>
          <w:sz w:val="32"/>
          <w:szCs w:val="32"/>
        </w:rPr>
        <w:t>年部门决算编制范围的二级预算单位包括：</w:t>
      </w:r>
      <w:r>
        <w:rPr>
          <w:rFonts w:hint="eastAsia" w:ascii="仿宋_GB2312" w:hAnsi="Times New Roman" w:eastAsia="仿宋_GB2312" w:cs="仿宋_GB2312"/>
          <w:b/>
          <w:bCs/>
          <w:sz w:val="32"/>
          <w:szCs w:val="32"/>
          <w:lang w:eastAsia="zh-CN"/>
        </w:rPr>
        <w:t>双台子区社会福利院</w:t>
      </w:r>
    </w:p>
    <w:p>
      <w:pPr>
        <w:autoSpaceDE w:val="0"/>
        <w:autoSpaceDN w:val="0"/>
        <w:adjustRightInd w:val="0"/>
        <w:spacing w:line="540" w:lineRule="exact"/>
        <w:ind w:firstLine="640"/>
        <w:jc w:val="left"/>
        <w:rPr>
          <w:rFonts w:ascii="Times New Roman" w:hAnsi="Times New Roman" w:eastAsia="仿宋_GB2312" w:cs="Times New Roman"/>
          <w:sz w:val="32"/>
          <w:szCs w:val="32"/>
        </w:rPr>
      </w:pPr>
    </w:p>
    <w:p>
      <w:pPr>
        <w:autoSpaceDE w:val="0"/>
        <w:autoSpaceDN w:val="0"/>
        <w:adjustRightInd w:val="0"/>
        <w:spacing w:line="540" w:lineRule="exact"/>
        <w:jc w:val="center"/>
        <w:rPr>
          <w:rFonts w:ascii="Times New Roman" w:hAnsi="Times New Roman" w:eastAsia="宋体" w:cs="Times New Roman"/>
          <w:sz w:val="32"/>
          <w:szCs w:val="32"/>
        </w:rPr>
      </w:pPr>
      <w:r>
        <w:rPr>
          <w:rFonts w:hint="eastAsia" w:ascii="宋体" w:hAnsi="Times New Roman" w:eastAsia="宋体" w:cs="宋体"/>
          <w:b/>
          <w:bCs/>
          <w:sz w:val="36"/>
          <w:szCs w:val="36"/>
        </w:rPr>
        <w:t>第二部分</w:t>
      </w:r>
      <w:r>
        <w:rPr>
          <w:rFonts w:hint="eastAsia" w:ascii="宋体" w:hAnsi="Times New Roman" w:eastAsia="宋体" w:cs="宋体"/>
          <w:b/>
          <w:bCs/>
          <w:sz w:val="36"/>
          <w:szCs w:val="36"/>
          <w:lang w:eastAsia="zh-CN"/>
        </w:rPr>
        <w:t>民政局</w:t>
      </w:r>
      <w:r>
        <w:rPr>
          <w:rFonts w:ascii="宋体" w:hAnsi="Times New Roman" w:eastAsia="宋体" w:cs="宋体"/>
          <w:b/>
          <w:bCs/>
          <w:sz w:val="36"/>
          <w:szCs w:val="36"/>
        </w:rPr>
        <w:t>2017</w:t>
      </w:r>
      <w:r>
        <w:rPr>
          <w:rFonts w:hint="eastAsia" w:ascii="宋体" w:hAnsi="Times New Roman" w:eastAsia="宋体" w:cs="宋体"/>
          <w:b/>
          <w:bCs/>
          <w:sz w:val="36"/>
          <w:szCs w:val="36"/>
        </w:rPr>
        <w:t>年度部门决算公开报表</w:t>
      </w:r>
    </w:p>
    <w:p>
      <w:pPr>
        <w:autoSpaceDE w:val="0"/>
        <w:autoSpaceDN w:val="0"/>
        <w:adjustRightInd w:val="0"/>
        <w:spacing w:line="540" w:lineRule="exact"/>
        <w:jc w:val="center"/>
        <w:rPr>
          <w:rFonts w:ascii="Times New Roman" w:hAnsi="Times New Roman" w:eastAsia="宋体" w:cs="Times New Roman"/>
          <w:b/>
          <w:bCs/>
          <w:sz w:val="32"/>
          <w:szCs w:val="32"/>
        </w:rPr>
      </w:pPr>
    </w:p>
    <w:p>
      <w:pPr>
        <w:autoSpaceDE w:val="0"/>
        <w:autoSpaceDN w:val="0"/>
        <w:adjustRightInd w:val="0"/>
        <w:spacing w:line="540" w:lineRule="exact"/>
        <w:jc w:val="center"/>
        <w:rPr>
          <w:rFonts w:ascii="Times New Roman" w:hAnsi="Times New Roman" w:eastAsia="宋体" w:cs="Times New Roman"/>
          <w:sz w:val="36"/>
          <w:szCs w:val="36"/>
        </w:rPr>
      </w:pPr>
    </w:p>
    <w:p>
      <w:pPr>
        <w:autoSpaceDE w:val="0"/>
        <w:autoSpaceDN w:val="0"/>
        <w:adjustRightInd w:val="0"/>
        <w:spacing w:line="540" w:lineRule="exact"/>
        <w:jc w:val="center"/>
        <w:rPr>
          <w:rFonts w:ascii="Times New Roman" w:hAnsi="Times New Roman" w:eastAsia="宋体" w:cs="Times New Roman"/>
          <w:b/>
          <w:bCs/>
          <w:sz w:val="36"/>
          <w:szCs w:val="36"/>
        </w:rPr>
      </w:pPr>
      <w:r>
        <w:rPr>
          <w:rFonts w:hint="eastAsia" w:ascii="宋体" w:hAnsi="Times New Roman" w:eastAsia="宋体" w:cs="宋体"/>
          <w:b/>
          <w:bCs/>
          <w:sz w:val="36"/>
          <w:szCs w:val="36"/>
        </w:rPr>
        <w:t>第三部分</w:t>
      </w:r>
      <w:r>
        <w:rPr>
          <w:rFonts w:hint="eastAsia" w:ascii="宋体" w:hAnsi="Times New Roman" w:eastAsia="宋体" w:cs="宋体"/>
          <w:b/>
          <w:bCs/>
          <w:sz w:val="36"/>
          <w:szCs w:val="36"/>
          <w:lang w:eastAsia="zh-CN"/>
        </w:rPr>
        <w:t>民政局</w:t>
      </w:r>
      <w:r>
        <w:rPr>
          <w:rFonts w:ascii="宋体" w:hAnsi="Times New Roman" w:eastAsia="宋体" w:cs="宋体"/>
          <w:b/>
          <w:bCs/>
          <w:sz w:val="36"/>
          <w:szCs w:val="36"/>
        </w:rPr>
        <w:t>2017</w:t>
      </w:r>
      <w:r>
        <w:rPr>
          <w:rFonts w:hint="eastAsia" w:ascii="宋体" w:hAnsi="Times New Roman" w:eastAsia="宋体" w:cs="宋体"/>
          <w:b/>
          <w:bCs/>
          <w:sz w:val="36"/>
          <w:szCs w:val="36"/>
        </w:rPr>
        <w:t>年度部门决算情况说明</w:t>
      </w:r>
    </w:p>
    <w:p>
      <w:pPr>
        <w:autoSpaceDE w:val="0"/>
        <w:autoSpaceDN w:val="0"/>
        <w:adjustRightInd w:val="0"/>
        <w:spacing w:line="540" w:lineRule="exact"/>
        <w:rPr>
          <w:rFonts w:ascii="Times New Roman" w:hAnsi="Times New Roman" w:eastAsia="宋体" w:cs="Times New Roman"/>
          <w:b/>
          <w:bCs/>
          <w:sz w:val="36"/>
          <w:szCs w:val="36"/>
        </w:rPr>
      </w:pPr>
    </w:p>
    <w:p>
      <w:pPr>
        <w:autoSpaceDE w:val="0"/>
        <w:autoSpaceDN w:val="0"/>
        <w:adjustRightInd w:val="0"/>
        <w:spacing w:line="540" w:lineRule="exact"/>
        <w:ind w:firstLine="627"/>
        <w:rPr>
          <w:rFonts w:ascii="Times New Roman" w:hAnsi="Times New Roman" w:eastAsia="黑体" w:cs="Times New Roman"/>
          <w:sz w:val="32"/>
          <w:szCs w:val="32"/>
        </w:rPr>
      </w:pPr>
      <w:r>
        <w:rPr>
          <w:rFonts w:hint="eastAsia" w:ascii="黑体" w:hAnsi="Times New Roman" w:eastAsia="黑体" w:cs="黑体"/>
          <w:sz w:val="32"/>
          <w:szCs w:val="32"/>
        </w:rPr>
        <w:t>一、收入支出决算总体情况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（一）收入总计</w:t>
      </w:r>
      <w:r>
        <w:rPr>
          <w:rFonts w:hint="eastAsia" w:ascii="楷体_GB2312" w:hAnsi="Times New Roman" w:eastAsia="楷体_GB2312" w:cs="楷体_GB2312"/>
          <w:b/>
          <w:bCs/>
          <w:sz w:val="32"/>
          <w:szCs w:val="32"/>
          <w:lang w:val="en-US" w:eastAsia="zh-CN"/>
        </w:rPr>
        <w:t>3360.59</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财政拨款收入</w:t>
      </w:r>
      <w:r>
        <w:rPr>
          <w:rFonts w:hint="eastAsia" w:ascii="仿宋_GB2312" w:hAnsi="Times New Roman" w:eastAsia="仿宋_GB2312" w:cs="仿宋_GB2312"/>
          <w:sz w:val="32"/>
          <w:szCs w:val="32"/>
          <w:lang w:val="en-US" w:eastAsia="zh-CN"/>
        </w:rPr>
        <w:t>3360.59</w:t>
      </w:r>
      <w:r>
        <w:rPr>
          <w:rFonts w:hint="eastAsia" w:ascii="仿宋_GB2312" w:hAnsi="Times New Roman" w:eastAsia="仿宋_GB2312" w:cs="仿宋_GB2312"/>
          <w:sz w:val="32"/>
          <w:szCs w:val="32"/>
        </w:rPr>
        <w:t>万元，其中：一般公共预算财政拨款收入</w:t>
      </w:r>
      <w:r>
        <w:rPr>
          <w:rFonts w:hint="eastAsia" w:ascii="仿宋_GB2312" w:hAnsi="Times New Roman" w:eastAsia="仿宋_GB2312" w:cs="仿宋_GB2312"/>
          <w:sz w:val="32"/>
          <w:szCs w:val="32"/>
          <w:lang w:val="en-US" w:eastAsia="zh-CN"/>
        </w:rPr>
        <w:t>3360.59</w:t>
      </w:r>
      <w:r>
        <w:rPr>
          <w:rFonts w:hint="eastAsia" w:ascii="仿宋_GB2312" w:hAnsi="Times New Roman" w:eastAsia="仿宋_GB2312" w:cs="仿宋_GB2312"/>
          <w:sz w:val="32"/>
          <w:szCs w:val="32"/>
        </w:rPr>
        <w:t>万元，政府性基金预算财政拨款收入万元。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上级补助收入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事业收入万元，主要是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经营收入万元，主要是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附属单位上缴收入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其他收入万元，主要是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用事业基金弥补收支差额万元，主要是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上年结转和结余</w:t>
      </w:r>
      <w:r>
        <w:rPr>
          <w:rFonts w:hint="eastAsia" w:ascii="仿宋_GB2312" w:hAnsi="Times New Roman" w:eastAsia="仿宋_GB2312" w:cs="仿宋_GB2312"/>
          <w:sz w:val="32"/>
          <w:szCs w:val="32"/>
          <w:lang w:val="en-US" w:eastAsia="zh-CN"/>
        </w:rPr>
        <w:t>38.3</w:t>
      </w:r>
      <w:r>
        <w:rPr>
          <w:rFonts w:hint="eastAsia" w:ascii="仿宋_GB2312" w:hAnsi="Times New Roman" w:eastAsia="仿宋_GB2312" w:cs="仿宋_GB2312"/>
          <w:sz w:val="32"/>
          <w:szCs w:val="32"/>
        </w:rPr>
        <w:t>万元，主要是</w:t>
      </w:r>
      <w:r>
        <w:rPr>
          <w:rFonts w:hint="eastAsia" w:ascii="仿宋_GB2312" w:hAnsi="Times New Roman" w:eastAsia="仿宋_GB2312" w:cs="仿宋_GB2312"/>
          <w:sz w:val="32"/>
          <w:szCs w:val="32"/>
          <w:lang w:eastAsia="zh-CN"/>
        </w:rPr>
        <w:t>退役士兵补助款</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（二）支出总计</w:t>
      </w:r>
      <w:r>
        <w:rPr>
          <w:rFonts w:hint="eastAsia" w:ascii="楷体_GB2312" w:hAnsi="Times New Roman" w:eastAsia="楷体_GB2312" w:cs="楷体_GB2312"/>
          <w:b/>
          <w:bCs/>
          <w:sz w:val="32"/>
          <w:szCs w:val="32"/>
          <w:lang w:val="en-US" w:eastAsia="zh-CN"/>
        </w:rPr>
        <w:t>3294.52</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hint="eastAsia" w:ascii="仿宋_GB2312" w:hAnsi="Times New Roman" w:eastAsia="仿宋_GB2312" w:cs="仿宋_GB2312"/>
          <w:sz w:val="32"/>
          <w:szCs w:val="32"/>
          <w:lang w:val="en-US" w:eastAsia="zh-CN"/>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基本支出</w:t>
      </w:r>
      <w:r>
        <w:rPr>
          <w:rFonts w:hint="eastAsia" w:ascii="仿宋_GB2312" w:hAnsi="Times New Roman" w:eastAsia="仿宋_GB2312" w:cs="仿宋_GB2312"/>
          <w:sz w:val="32"/>
          <w:szCs w:val="32"/>
          <w:lang w:val="en-US" w:eastAsia="zh-CN"/>
        </w:rPr>
        <w:t>899.05</w:t>
      </w:r>
      <w:r>
        <w:rPr>
          <w:rFonts w:hint="eastAsia" w:ascii="仿宋_GB2312" w:hAnsi="Times New Roman" w:eastAsia="仿宋_GB2312" w:cs="仿宋_GB2312"/>
          <w:sz w:val="32"/>
          <w:szCs w:val="32"/>
        </w:rPr>
        <w:t>万元，主要是为保障机构正常运转、完成日常工作任务而发生的各项支出，其中：工资福利支出</w:t>
      </w:r>
      <w:r>
        <w:rPr>
          <w:rFonts w:hint="eastAsia" w:ascii="仿宋_GB2312" w:hAnsi="Times New Roman" w:eastAsia="仿宋_GB2312" w:cs="仿宋_GB2312"/>
          <w:sz w:val="32"/>
          <w:szCs w:val="32"/>
          <w:lang w:val="en-US" w:eastAsia="zh-CN"/>
        </w:rPr>
        <w:t>471.74</w:t>
      </w:r>
      <w:r>
        <w:rPr>
          <w:rFonts w:hint="eastAsia" w:ascii="仿宋_GB2312" w:hAnsi="Times New Roman" w:eastAsia="仿宋_GB2312" w:cs="仿宋_GB2312"/>
          <w:sz w:val="32"/>
          <w:szCs w:val="32"/>
        </w:rPr>
        <w:t>万元，对个人和家庭的补助支出</w:t>
      </w:r>
      <w:r>
        <w:rPr>
          <w:rFonts w:hint="eastAsia" w:ascii="仿宋_GB2312" w:hAnsi="Times New Roman" w:eastAsia="仿宋_GB2312" w:cs="仿宋_GB2312"/>
          <w:sz w:val="32"/>
          <w:szCs w:val="32"/>
          <w:lang w:val="en-US" w:eastAsia="zh-CN"/>
        </w:rPr>
        <w:t>262.57</w:t>
      </w:r>
      <w:r>
        <w:rPr>
          <w:rFonts w:hint="eastAsia" w:ascii="仿宋_GB2312" w:hAnsi="Times New Roman" w:eastAsia="仿宋_GB2312" w:cs="仿宋_GB2312"/>
          <w:sz w:val="32"/>
          <w:szCs w:val="32"/>
        </w:rPr>
        <w:t>万元，商品和服务支出</w:t>
      </w:r>
      <w:r>
        <w:rPr>
          <w:rFonts w:hint="eastAsia" w:ascii="仿宋_GB2312" w:hAnsi="Times New Roman" w:eastAsia="仿宋_GB2312" w:cs="仿宋_GB2312"/>
          <w:sz w:val="32"/>
          <w:szCs w:val="32"/>
          <w:lang w:val="en-US" w:eastAsia="zh-CN"/>
        </w:rPr>
        <w:t>163.08</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eastAsia="zh-CN"/>
        </w:rPr>
        <w:t>，其他资本性支出</w:t>
      </w:r>
      <w:r>
        <w:rPr>
          <w:rFonts w:hint="eastAsia" w:ascii="仿宋_GB2312" w:hAnsi="Times New Roman" w:eastAsia="仿宋_GB2312" w:cs="仿宋_GB2312"/>
          <w:sz w:val="32"/>
          <w:szCs w:val="32"/>
          <w:lang w:val="en-US" w:eastAsia="zh-CN"/>
        </w:rPr>
        <w:t>1.66万元。</w:t>
      </w:r>
    </w:p>
    <w:p>
      <w:pPr>
        <w:autoSpaceDE w:val="0"/>
        <w:autoSpaceDN w:val="0"/>
        <w:adjustRightInd w:val="0"/>
        <w:spacing w:line="540" w:lineRule="exact"/>
        <w:ind w:firstLine="640" w:firstLineChars="20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项目支出</w:t>
      </w:r>
      <w:r>
        <w:rPr>
          <w:rFonts w:hint="eastAsia" w:ascii="仿宋_GB2312" w:hAnsi="Times New Roman" w:eastAsia="仿宋_GB2312" w:cs="仿宋_GB2312"/>
          <w:sz w:val="32"/>
          <w:szCs w:val="32"/>
          <w:lang w:val="en-US" w:eastAsia="zh-CN"/>
        </w:rPr>
        <w:t>2395.47</w:t>
      </w:r>
      <w:r>
        <w:rPr>
          <w:rFonts w:hint="eastAsia" w:ascii="仿宋_GB2312" w:hAnsi="Times New Roman" w:eastAsia="仿宋_GB2312" w:cs="仿宋_GB2312"/>
          <w:sz w:val="32"/>
          <w:szCs w:val="32"/>
        </w:rPr>
        <w:t>万元，主要包括</w:t>
      </w:r>
      <w:r>
        <w:rPr>
          <w:rFonts w:hint="eastAsia" w:ascii="仿宋_GB2312" w:hAnsi="Times New Roman" w:eastAsia="仿宋_GB2312" w:cs="仿宋_GB2312"/>
          <w:sz w:val="32"/>
          <w:szCs w:val="32"/>
          <w:lang w:eastAsia="zh-CN"/>
        </w:rPr>
        <w:t>抚恤、退役安置、社会福利、城乡社会救济</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上缴上级支出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经营支出万元，主要包括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对附属单位补助支出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（三）年末结转和结余</w:t>
      </w:r>
      <w:r>
        <w:rPr>
          <w:rFonts w:hint="eastAsia" w:ascii="楷体_GB2312" w:hAnsi="Times New Roman" w:eastAsia="楷体_GB2312" w:cs="楷体_GB2312"/>
          <w:b/>
          <w:bCs/>
          <w:sz w:val="32"/>
          <w:szCs w:val="32"/>
          <w:lang w:val="en-US" w:eastAsia="zh-CN"/>
        </w:rPr>
        <w:t>66.07</w:t>
      </w:r>
      <w:r>
        <w:rPr>
          <w:rFonts w:hint="eastAsia" w:ascii="楷体_GB2312" w:hAnsi="Times New Roman" w:eastAsia="楷体_GB2312" w:cs="楷体_GB2312"/>
          <w:b/>
          <w:bCs/>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主要是</w:t>
      </w:r>
      <w:r>
        <w:rPr>
          <w:rFonts w:hint="eastAsia" w:ascii="仿宋_GB2312" w:hAnsi="Times New Roman" w:eastAsia="仿宋_GB2312" w:cs="仿宋_GB2312"/>
          <w:sz w:val="32"/>
          <w:szCs w:val="32"/>
          <w:lang w:eastAsia="zh-CN"/>
        </w:rPr>
        <w:t>地名普查工作正在进行、部分退役士兵联系方式更改</w:t>
      </w:r>
      <w:r>
        <w:rPr>
          <w:rFonts w:hint="eastAsia" w:ascii="仿宋_GB2312" w:hAnsi="Times New Roman" w:eastAsia="仿宋_GB2312" w:cs="仿宋_GB2312"/>
          <w:sz w:val="32"/>
          <w:szCs w:val="32"/>
        </w:rPr>
        <w:t>等原因形成的结余。</w:t>
      </w:r>
    </w:p>
    <w:p>
      <w:pPr>
        <w:autoSpaceDE w:val="0"/>
        <w:autoSpaceDN w:val="0"/>
        <w:adjustRightInd w:val="0"/>
        <w:spacing w:line="540" w:lineRule="exact"/>
        <w:ind w:firstLine="660"/>
        <w:rPr>
          <w:rFonts w:ascii="Times New Roman" w:hAnsi="Times New Roman" w:eastAsia="黑体" w:cs="Times New Roman"/>
          <w:sz w:val="32"/>
          <w:szCs w:val="32"/>
        </w:rPr>
      </w:pPr>
      <w:r>
        <w:rPr>
          <w:rFonts w:hint="eastAsia" w:ascii="黑体" w:hAnsi="Times New Roman" w:eastAsia="黑体" w:cs="黑体"/>
          <w:sz w:val="32"/>
          <w:szCs w:val="32"/>
        </w:rPr>
        <w:t>二、财政拨款支出决算情况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（一）总体情况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财政拨款支出决算反映</w:t>
      </w:r>
      <w:r>
        <w:rPr>
          <w:rFonts w:hint="eastAsia" w:ascii="仿宋_GB2312" w:hAnsi="Times New Roman" w:eastAsia="仿宋_GB2312" w:cs="仿宋_GB2312"/>
          <w:sz w:val="32"/>
          <w:szCs w:val="32"/>
          <w:lang w:eastAsia="zh-CN"/>
        </w:rPr>
        <w:t>民政局</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年整体财政拨款支出情况，既包括使用当年财政拨款发生的支出，也包括使用以前年度财政拨款结转和结余资金发生的支出。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w:t>
      </w:r>
      <w:r>
        <w:rPr>
          <w:rFonts w:hint="eastAsia" w:ascii="仿宋_GB2312" w:hAnsi="Times New Roman" w:eastAsia="仿宋_GB2312" w:cs="仿宋_GB2312"/>
          <w:sz w:val="32"/>
          <w:szCs w:val="32"/>
          <w:lang w:val="en-US" w:eastAsia="zh-CN"/>
        </w:rPr>
        <w:t>3294.52</w:t>
      </w:r>
      <w:r>
        <w:rPr>
          <w:rFonts w:hint="eastAsia"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lang w:val="en-US" w:eastAsia="zh-CN"/>
        </w:rPr>
        <w:t>899.05</w:t>
      </w:r>
      <w:r>
        <w:rPr>
          <w:rFonts w:hint="eastAsia" w:ascii="仿宋_GB2312" w:hAnsi="Times New Roman" w:eastAsia="仿宋_GB2312" w:cs="仿宋_GB2312"/>
          <w:sz w:val="32"/>
          <w:szCs w:val="32"/>
        </w:rPr>
        <w:t>万元，项目支出</w:t>
      </w:r>
      <w:r>
        <w:rPr>
          <w:rFonts w:hint="eastAsia" w:ascii="仿宋_GB2312" w:hAnsi="Times New Roman" w:eastAsia="仿宋_GB2312" w:cs="仿宋_GB2312"/>
          <w:sz w:val="32"/>
          <w:szCs w:val="32"/>
          <w:lang w:val="en-US" w:eastAsia="zh-CN"/>
        </w:rPr>
        <w:t>2395.47</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（二）具体情况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w:t>
      </w:r>
      <w:r>
        <w:rPr>
          <w:rFonts w:hint="eastAsia" w:ascii="仿宋_GB2312" w:hAnsi="Times New Roman" w:eastAsia="仿宋_GB2312" w:cs="仿宋_GB2312"/>
          <w:sz w:val="32"/>
          <w:szCs w:val="32"/>
          <w:lang w:val="en-US" w:eastAsia="zh-CN"/>
        </w:rPr>
        <w:t>3294.52</w:t>
      </w:r>
      <w:r>
        <w:rPr>
          <w:rFonts w:hint="eastAsia" w:ascii="仿宋_GB2312" w:hAnsi="Times New Roman" w:eastAsia="仿宋_GB2312" w:cs="仿宋_GB2312"/>
          <w:sz w:val="32"/>
          <w:szCs w:val="32"/>
        </w:rPr>
        <w:t>万元，按支出功能分类科目分，包括一般公共服务支出</w:t>
      </w:r>
      <w:r>
        <w:rPr>
          <w:rFonts w:hint="eastAsia" w:ascii="仿宋_GB2312" w:hAnsi="Times New Roman" w:eastAsia="仿宋_GB2312" w:cs="仿宋_GB2312"/>
          <w:sz w:val="32"/>
          <w:szCs w:val="32"/>
          <w:lang w:val="en-US" w:eastAsia="zh-CN"/>
        </w:rPr>
        <w:t>XX</w:t>
      </w:r>
      <w:r>
        <w:rPr>
          <w:rFonts w:hint="eastAsia" w:ascii="仿宋_GB2312" w:hAnsi="Times New Roman" w:eastAsia="仿宋_GB2312" w:cs="仿宋_GB2312"/>
          <w:sz w:val="32"/>
          <w:szCs w:val="32"/>
        </w:rPr>
        <w:t>万元，科学技术支出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万元，社会保障和就业支出</w:t>
      </w:r>
      <w:r>
        <w:rPr>
          <w:rFonts w:hint="eastAsia" w:ascii="仿宋_GB2312" w:hAnsi="Times New Roman" w:eastAsia="仿宋_GB2312" w:cs="仿宋_GB2312"/>
          <w:sz w:val="32"/>
          <w:szCs w:val="32"/>
          <w:lang w:val="en-US" w:eastAsia="zh-CN"/>
        </w:rPr>
        <w:t>3262.87</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val="en-US" w:eastAsia="zh-CN"/>
        </w:rPr>
        <w:t>,住房保障支出31.65万元</w:t>
      </w:r>
      <w:r>
        <w:rPr>
          <w:rFonts w:hint="eastAsia" w:ascii="仿宋_GB2312" w:hAnsi="Times New Roman" w:eastAsia="仿宋_GB2312" w:cs="仿宋_GB2312"/>
          <w:sz w:val="32"/>
          <w:szCs w:val="32"/>
        </w:rPr>
        <w:t>。</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一般公共服务支出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）行政运行</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科学技术支出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66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Times New Roman" w:eastAsia="仿宋_GB2312" w:cs="仿宋_GB2312"/>
          <w:sz w:val="32"/>
          <w:szCs w:val="32"/>
          <w:lang w:val="en-US" w:eastAsia="zh-CN"/>
        </w:rPr>
        <w:t>3、</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3262.81</w:t>
      </w:r>
      <w:r>
        <w:rPr>
          <w:rFonts w:hint="eastAsia" w:ascii="仿宋_GB2312" w:hAnsi="仿宋_GB2312" w:eastAsia="仿宋_GB2312" w:cs="仿宋_GB2312"/>
          <w:sz w:val="32"/>
          <w:szCs w:val="32"/>
        </w:rPr>
        <w:t>万元，包括：</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1）、民政管理事务支出</w:t>
      </w:r>
      <w:r>
        <w:rPr>
          <w:rFonts w:hint="eastAsia" w:ascii="仿宋_GB2312" w:hAnsi="仿宋_GB2312" w:eastAsia="仿宋_GB2312" w:cs="仿宋_GB2312"/>
          <w:sz w:val="32"/>
          <w:szCs w:val="32"/>
          <w:lang w:val="en-US" w:eastAsia="zh-CN"/>
        </w:rPr>
        <w:t>539.83</w:t>
      </w:r>
      <w:r>
        <w:rPr>
          <w:rFonts w:hint="eastAsia" w:ascii="仿宋_GB2312" w:hAnsi="仿宋_GB2312" w:eastAsia="仿宋_GB2312" w:cs="仿宋_GB2312"/>
          <w:sz w:val="32"/>
          <w:szCs w:val="32"/>
        </w:rPr>
        <w:t>万元：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（1）行政运行支出</w:t>
      </w:r>
      <w:r>
        <w:rPr>
          <w:rFonts w:hint="eastAsia" w:ascii="仿宋_GB2312" w:hAnsi="仿宋_GB2312" w:eastAsia="仿宋_GB2312" w:cs="仿宋_GB2312"/>
          <w:sz w:val="32"/>
          <w:szCs w:val="32"/>
          <w:lang w:val="en-US" w:eastAsia="zh-CN"/>
        </w:rPr>
        <w:t>165.47</w:t>
      </w:r>
      <w:r>
        <w:rPr>
          <w:rFonts w:hint="eastAsia" w:ascii="仿宋_GB2312" w:hAnsi="仿宋_GB2312" w:eastAsia="仿宋_GB2312" w:cs="仿宋_GB2312"/>
          <w:sz w:val="32"/>
          <w:szCs w:val="32"/>
        </w:rPr>
        <w:t>万元</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（2）行政区划和地名管理</w:t>
      </w:r>
      <w:r>
        <w:rPr>
          <w:rFonts w:hint="eastAsia" w:ascii="仿宋_GB2312" w:hAnsi="仿宋_GB2312" w:eastAsia="仿宋_GB2312" w:cs="仿宋_GB2312"/>
          <w:sz w:val="32"/>
          <w:szCs w:val="32"/>
          <w:lang w:val="en-US" w:eastAsia="zh-CN"/>
        </w:rPr>
        <w:t>42.29</w:t>
      </w:r>
      <w:r>
        <w:rPr>
          <w:rFonts w:hint="eastAsia" w:ascii="仿宋_GB2312" w:hAnsi="仿宋_GB2312" w:eastAsia="仿宋_GB2312" w:cs="仿宋_GB2312"/>
          <w:sz w:val="32"/>
          <w:szCs w:val="32"/>
        </w:rPr>
        <w:t>万元</w:t>
      </w:r>
    </w:p>
    <w:p>
      <w:pPr>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拥军优属</w:t>
      </w:r>
      <w:r>
        <w:rPr>
          <w:rFonts w:hint="eastAsia" w:ascii="仿宋_GB2312" w:hAnsi="仿宋_GB2312" w:eastAsia="仿宋_GB2312" w:cs="仿宋_GB2312"/>
          <w:sz w:val="32"/>
          <w:szCs w:val="32"/>
          <w:lang w:val="en-US" w:eastAsia="zh-CN"/>
        </w:rPr>
        <w:t>8.68万元</w:t>
      </w:r>
    </w:p>
    <w:p>
      <w:pPr>
        <w:spacing w:line="54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（4）基层政权和社区建设157.75万元 </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其他民政管理事务</w:t>
      </w:r>
      <w:r>
        <w:rPr>
          <w:rFonts w:hint="eastAsia" w:ascii="仿宋_GB2312" w:hAnsi="仿宋_GB2312" w:eastAsia="仿宋_GB2312" w:cs="仿宋_GB2312"/>
          <w:sz w:val="32"/>
          <w:szCs w:val="32"/>
          <w:lang w:val="en-US" w:eastAsia="zh-CN"/>
        </w:rPr>
        <w:t>165.64</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2）、行政单位离退休支出</w:t>
      </w:r>
      <w:r>
        <w:rPr>
          <w:rFonts w:hint="eastAsia" w:ascii="仿宋_GB2312" w:hAnsi="仿宋_GB2312" w:eastAsia="仿宋_GB2312" w:cs="仿宋_GB2312"/>
          <w:sz w:val="32"/>
          <w:szCs w:val="32"/>
          <w:lang w:val="en-US" w:eastAsia="zh-CN"/>
        </w:rPr>
        <w:t>109.48</w:t>
      </w:r>
      <w:r>
        <w:rPr>
          <w:rFonts w:hint="eastAsia" w:ascii="仿宋_GB2312" w:hAnsi="仿宋_GB2312" w:eastAsia="仿宋_GB2312" w:cs="仿宋_GB2312"/>
          <w:sz w:val="32"/>
          <w:szCs w:val="32"/>
        </w:rPr>
        <w:t>万元，包括：</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（1）归口管理的行政单位离退休</w:t>
      </w:r>
      <w:r>
        <w:rPr>
          <w:rFonts w:hint="eastAsia" w:ascii="仿宋_GB2312" w:hAnsi="仿宋_GB2312" w:eastAsia="仿宋_GB2312" w:cs="仿宋_GB2312"/>
          <w:sz w:val="32"/>
          <w:szCs w:val="32"/>
          <w:lang w:val="en-US" w:eastAsia="zh-CN"/>
        </w:rPr>
        <w:t>52.31</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（2）事业单位离退休</w:t>
      </w:r>
      <w:r>
        <w:rPr>
          <w:rFonts w:hint="eastAsia" w:ascii="仿宋_GB2312" w:hAnsi="仿宋_GB2312" w:eastAsia="仿宋_GB2312" w:cs="仿宋_GB2312"/>
          <w:sz w:val="32"/>
          <w:szCs w:val="32"/>
          <w:lang w:val="en-US" w:eastAsia="zh-CN"/>
        </w:rPr>
        <w:t>57.17</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3）、抚恤支出</w:t>
      </w:r>
      <w:r>
        <w:rPr>
          <w:rFonts w:hint="eastAsia" w:ascii="仿宋_GB2312" w:hAnsi="仿宋_GB2312" w:eastAsia="仿宋_GB2312" w:cs="仿宋_GB2312"/>
          <w:sz w:val="32"/>
          <w:szCs w:val="32"/>
          <w:lang w:val="en-US" w:eastAsia="zh-CN"/>
        </w:rPr>
        <w:t>820.71</w:t>
      </w:r>
      <w:r>
        <w:rPr>
          <w:rFonts w:hint="eastAsia" w:ascii="仿宋_GB2312" w:hAnsi="仿宋_GB2312" w:eastAsia="仿宋_GB2312" w:cs="仿宋_GB2312"/>
          <w:sz w:val="32"/>
          <w:szCs w:val="32"/>
        </w:rPr>
        <w:t>万元，包括：</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（1）死亡抚恤</w:t>
      </w:r>
      <w:r>
        <w:rPr>
          <w:rFonts w:hint="eastAsia" w:ascii="仿宋_GB2312" w:hAnsi="仿宋_GB2312" w:eastAsia="仿宋_GB2312" w:cs="仿宋_GB2312"/>
          <w:sz w:val="32"/>
          <w:szCs w:val="32"/>
          <w:lang w:val="en-US" w:eastAsia="zh-CN"/>
        </w:rPr>
        <w:t>17.74</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（2）伤残抚恤</w:t>
      </w:r>
      <w:r>
        <w:rPr>
          <w:rFonts w:hint="eastAsia" w:ascii="仿宋_GB2312" w:hAnsi="仿宋_GB2312" w:eastAsia="仿宋_GB2312" w:cs="仿宋_GB2312"/>
          <w:sz w:val="32"/>
          <w:szCs w:val="32"/>
          <w:lang w:val="en-US" w:eastAsia="zh-CN"/>
        </w:rPr>
        <w:t>257.55</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（3）在乡复员军人生活补助</w:t>
      </w:r>
      <w:r>
        <w:rPr>
          <w:rFonts w:hint="eastAsia" w:ascii="仿宋_GB2312" w:hAnsi="仿宋_GB2312" w:eastAsia="仿宋_GB2312" w:cs="仿宋_GB2312"/>
          <w:sz w:val="32"/>
          <w:szCs w:val="32"/>
          <w:lang w:val="en-US" w:eastAsia="zh-CN"/>
        </w:rPr>
        <w:t>124.24</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（4）义务兵优待金</w:t>
      </w:r>
      <w:r>
        <w:rPr>
          <w:rFonts w:hint="eastAsia" w:ascii="仿宋_GB2312" w:hAnsi="仿宋_GB2312" w:eastAsia="仿宋_GB2312" w:cs="仿宋_GB2312"/>
          <w:sz w:val="32"/>
          <w:szCs w:val="32"/>
          <w:lang w:val="en-US" w:eastAsia="zh-CN"/>
        </w:rPr>
        <w:t>246.76</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（5）农村籍退役士兵补助</w:t>
      </w:r>
      <w:r>
        <w:rPr>
          <w:rFonts w:hint="eastAsia" w:ascii="仿宋_GB2312" w:hAnsi="仿宋_GB2312" w:eastAsia="仿宋_GB2312" w:cs="仿宋_GB2312"/>
          <w:sz w:val="32"/>
          <w:szCs w:val="32"/>
          <w:lang w:val="en-US" w:eastAsia="zh-CN"/>
        </w:rPr>
        <w:t>30.02</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（6）其他优抚对象补助</w:t>
      </w:r>
      <w:r>
        <w:rPr>
          <w:rFonts w:hint="eastAsia" w:ascii="仿宋_GB2312" w:hAnsi="仿宋_GB2312" w:eastAsia="仿宋_GB2312" w:cs="仿宋_GB2312"/>
          <w:sz w:val="32"/>
          <w:szCs w:val="32"/>
          <w:lang w:val="en-US" w:eastAsia="zh-CN"/>
        </w:rPr>
        <w:t>144.4</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4）.退役安置支出</w:t>
      </w:r>
      <w:r>
        <w:rPr>
          <w:rFonts w:hint="eastAsia" w:ascii="仿宋_GB2312" w:hAnsi="仿宋_GB2312" w:eastAsia="仿宋_GB2312" w:cs="仿宋_GB2312"/>
          <w:sz w:val="32"/>
          <w:szCs w:val="32"/>
          <w:lang w:val="en-US" w:eastAsia="zh-CN"/>
        </w:rPr>
        <w:t>929.97</w:t>
      </w:r>
      <w:r>
        <w:rPr>
          <w:rFonts w:hint="eastAsia" w:ascii="仿宋_GB2312" w:hAnsi="仿宋_GB2312" w:eastAsia="仿宋_GB2312" w:cs="仿宋_GB2312"/>
          <w:sz w:val="32"/>
          <w:szCs w:val="32"/>
        </w:rPr>
        <w:t>万元，包括：</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退役士兵安置</w:t>
      </w:r>
      <w:r>
        <w:rPr>
          <w:rFonts w:hint="eastAsia" w:ascii="仿宋_GB2312" w:hAnsi="仿宋_GB2312" w:eastAsia="仿宋_GB2312" w:cs="仿宋_GB2312"/>
          <w:sz w:val="32"/>
          <w:szCs w:val="32"/>
          <w:lang w:val="en-US" w:eastAsia="zh-CN"/>
        </w:rPr>
        <w:t>880.46</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军队移交政府离退人员</w:t>
      </w:r>
      <w:r>
        <w:rPr>
          <w:rFonts w:hint="eastAsia" w:ascii="仿宋_GB2312" w:hAnsi="仿宋_GB2312" w:eastAsia="仿宋_GB2312" w:cs="仿宋_GB2312"/>
          <w:sz w:val="32"/>
          <w:szCs w:val="32"/>
          <w:lang w:val="en-US" w:eastAsia="zh-CN"/>
        </w:rPr>
        <w:t>49.51</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5）、社会福利支出</w:t>
      </w:r>
      <w:r>
        <w:rPr>
          <w:rFonts w:hint="eastAsia" w:ascii="仿宋_GB2312" w:hAnsi="仿宋_GB2312" w:eastAsia="仿宋_GB2312" w:cs="仿宋_GB2312"/>
          <w:sz w:val="32"/>
          <w:szCs w:val="32"/>
          <w:lang w:val="en-US" w:eastAsia="zh-CN"/>
        </w:rPr>
        <w:t>599.3</w:t>
      </w:r>
      <w:r>
        <w:rPr>
          <w:rFonts w:hint="eastAsia" w:ascii="仿宋_GB2312" w:hAnsi="仿宋_GB2312" w:eastAsia="仿宋_GB2312" w:cs="仿宋_GB2312"/>
          <w:sz w:val="32"/>
          <w:szCs w:val="32"/>
        </w:rPr>
        <w:t>万元，包括：</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（1）儿童福利</w:t>
      </w:r>
      <w:r>
        <w:rPr>
          <w:rFonts w:hint="eastAsia" w:ascii="仿宋_GB2312" w:hAnsi="仿宋_GB2312" w:eastAsia="仿宋_GB2312" w:cs="仿宋_GB2312"/>
          <w:sz w:val="32"/>
          <w:szCs w:val="32"/>
          <w:lang w:val="en-US" w:eastAsia="zh-CN"/>
        </w:rPr>
        <w:t>23.28</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（2）老年福利</w:t>
      </w:r>
      <w:r>
        <w:rPr>
          <w:rFonts w:hint="eastAsia" w:ascii="仿宋_GB2312" w:hAnsi="仿宋_GB2312" w:eastAsia="仿宋_GB2312" w:cs="仿宋_GB2312"/>
          <w:sz w:val="32"/>
          <w:szCs w:val="32"/>
          <w:lang w:val="en-US" w:eastAsia="zh-CN"/>
        </w:rPr>
        <w:t>576.02</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残疾人事业</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152.43</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自然灾害生活救助</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w:t>
      </w:r>
    </w:p>
    <w:p>
      <w:pPr>
        <w:spacing w:line="54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8）、特困人员救助供养支出76.39</w:t>
      </w:r>
    </w:p>
    <w:p>
      <w:pPr>
        <w:spacing w:line="54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9）、其他生活救助支出17.7万元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31.74</w:t>
      </w:r>
      <w:r>
        <w:rPr>
          <w:rFonts w:hint="eastAsia" w:ascii="仿宋_GB2312" w:hAnsi="仿宋_GB2312" w:eastAsia="仿宋_GB2312" w:cs="仿宋_GB2312"/>
          <w:sz w:val="32"/>
          <w:szCs w:val="32"/>
        </w:rPr>
        <w:t>万元</w:t>
      </w:r>
    </w:p>
    <w:p>
      <w:pPr>
        <w:autoSpaceDE w:val="0"/>
        <w:autoSpaceDN w:val="0"/>
        <w:adjustRightInd w:val="0"/>
        <w:spacing w:line="540" w:lineRule="exact"/>
        <w:ind w:firstLine="320" w:firstLineChars="100"/>
        <w:rPr>
          <w:rFonts w:ascii="Times New Roman" w:hAnsi="Times New Roman" w:eastAsia="黑体" w:cs="Times New Roman"/>
          <w:sz w:val="32"/>
          <w:szCs w:val="32"/>
        </w:rPr>
      </w:pPr>
      <w:r>
        <w:rPr>
          <w:rFonts w:hint="eastAsia" w:ascii="黑体" w:hAnsi="Times New Roman" w:eastAsia="黑体" w:cs="黑体"/>
          <w:sz w:val="32"/>
          <w:szCs w:val="32"/>
        </w:rPr>
        <w:t>三、一般公共预算财政拨款</w:t>
      </w:r>
      <w:r>
        <w:rPr>
          <w:rFonts w:ascii="Times New Roman" w:hAnsi="Times New Roman" w:eastAsia="黑体" w:cs="Times New Roman"/>
          <w:sz w:val="32"/>
          <w:szCs w:val="32"/>
        </w:rPr>
        <w:t>“</w:t>
      </w:r>
      <w:r>
        <w:rPr>
          <w:rFonts w:hint="eastAsia" w:ascii="黑体" w:hAnsi="Times New Roman" w:eastAsia="黑体" w:cs="黑体"/>
          <w:sz w:val="32"/>
          <w:szCs w:val="32"/>
        </w:rPr>
        <w:t>三公</w:t>
      </w:r>
      <w:r>
        <w:rPr>
          <w:rFonts w:ascii="Times New Roman" w:hAnsi="Times New Roman" w:eastAsia="黑体" w:cs="Times New Roman"/>
          <w:sz w:val="32"/>
          <w:szCs w:val="32"/>
        </w:rPr>
        <w:t>”</w:t>
      </w:r>
      <w:r>
        <w:rPr>
          <w:rFonts w:hint="eastAsia" w:ascii="黑体" w:hAnsi="Times New Roman" w:eastAsia="黑体" w:cs="黑体"/>
          <w:sz w:val="32"/>
          <w:szCs w:val="32"/>
        </w:rPr>
        <w:t>经费支出决算情况</w:t>
      </w:r>
    </w:p>
    <w:p>
      <w:pPr>
        <w:autoSpaceDE w:val="0"/>
        <w:autoSpaceDN w:val="0"/>
        <w:adjustRightInd w:val="0"/>
        <w:spacing w:line="540" w:lineRule="exact"/>
        <w:ind w:left="530" w:leftChars="100" w:hanging="320" w:hangingChars="10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年度一般公共预算财政拨款安排的</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经费支出万元，其中：因公出国（境）费万元，公务接待费万元，公务用车购置及运行维护费万元。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经费支出比</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年减少（增加）</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万元，下降（增长）</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等原因。</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因公出国（境）费万元，主要用于</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年参加出国（境）团组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个，累计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人次。</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公务接待费万元，主要用于</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年国内公务接待累计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批次，</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45"/>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公务用车购置及运行维护费万元，其中：公务用车购置费万元，公务用车运行维护费万元。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年购置公务用车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辆，年末公务用车保有量</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w:t>
      </w:r>
    </w:p>
    <w:p>
      <w:pPr>
        <w:autoSpaceDE w:val="0"/>
        <w:autoSpaceDN w:val="0"/>
        <w:adjustRightInd w:val="0"/>
        <w:spacing w:line="540" w:lineRule="exact"/>
        <w:ind w:firstLine="640"/>
        <w:rPr>
          <w:rFonts w:ascii="Times New Roman" w:hAnsi="Times New Roman" w:eastAsia="黑体" w:cs="Times New Roman"/>
          <w:sz w:val="32"/>
          <w:szCs w:val="32"/>
        </w:rPr>
      </w:pPr>
      <w:r>
        <w:rPr>
          <w:rFonts w:hint="eastAsia" w:ascii="黑体" w:hAnsi="Times New Roman" w:eastAsia="黑体" w:cs="黑体"/>
          <w:sz w:val="32"/>
          <w:szCs w:val="32"/>
        </w:rPr>
        <w:t>五、其他重要事项的情况说明</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（一）机关运行经费支出情况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eastAsia="zh-CN"/>
        </w:rPr>
        <w:t>民政局</w:t>
      </w:r>
      <w:r>
        <w:rPr>
          <w:rFonts w:hint="eastAsia" w:ascii="仿宋_GB2312" w:hAnsi="Times New Roman" w:eastAsia="仿宋_GB2312" w:cs="仿宋_GB2312"/>
          <w:sz w:val="32"/>
          <w:szCs w:val="32"/>
        </w:rPr>
        <w:t>机关运行经费支出</w:t>
      </w:r>
      <w:r>
        <w:rPr>
          <w:rFonts w:hint="eastAsia" w:ascii="仿宋_GB2312" w:hAnsi="Times New Roman" w:eastAsia="仿宋_GB2312" w:cs="仿宋_GB2312"/>
          <w:sz w:val="32"/>
          <w:szCs w:val="32"/>
          <w:lang w:val="en-US" w:eastAsia="zh-CN"/>
        </w:rPr>
        <w:t>163.08</w:t>
      </w:r>
      <w:r>
        <w:rPr>
          <w:rFonts w:hint="eastAsia" w:ascii="仿宋_GB2312" w:hAnsi="Times New Roman" w:eastAsia="仿宋_GB2312" w:cs="仿宋_GB2312"/>
          <w:sz w:val="32"/>
          <w:szCs w:val="32"/>
        </w:rPr>
        <w:t>万元，比</w:t>
      </w:r>
      <w:r>
        <w:rPr>
          <w:rFonts w:ascii="仿宋_GB2312" w:hAnsi="Times New Roman" w:eastAsia="仿宋_GB2312" w:cs="仿宋_GB2312"/>
          <w:sz w:val="32"/>
          <w:szCs w:val="32"/>
        </w:rPr>
        <w:t>2016</w:t>
      </w:r>
      <w:r>
        <w:rPr>
          <w:rFonts w:hint="eastAsia" w:ascii="仿宋_GB2312" w:hAnsi="Times New Roman" w:eastAsia="仿宋_GB2312" w:cs="仿宋_GB2312"/>
          <w:sz w:val="32"/>
          <w:szCs w:val="32"/>
        </w:rPr>
        <w:t>年增加</w:t>
      </w:r>
      <w:r>
        <w:rPr>
          <w:rFonts w:hint="eastAsia" w:ascii="仿宋_GB2312" w:hAnsi="Times New Roman" w:eastAsia="仿宋_GB2312" w:cs="仿宋_GB2312"/>
          <w:sz w:val="32"/>
          <w:szCs w:val="32"/>
          <w:lang w:val="en-US" w:eastAsia="zh-CN"/>
        </w:rPr>
        <w:t>100.18</w:t>
      </w:r>
      <w:r>
        <w:rPr>
          <w:rFonts w:hint="eastAsia" w:ascii="仿宋_GB2312" w:hAnsi="Times New Roman" w:eastAsia="仿宋_GB2312" w:cs="仿宋_GB2312"/>
          <w:sz w:val="32"/>
          <w:szCs w:val="32"/>
        </w:rPr>
        <w:t>万元，增长</w:t>
      </w:r>
      <w:r>
        <w:rPr>
          <w:rFonts w:hint="eastAsia" w:ascii="仿宋_GB2312" w:hAnsi="Times New Roman" w:eastAsia="仿宋_GB2312" w:cs="仿宋_GB2312"/>
          <w:sz w:val="32"/>
          <w:szCs w:val="32"/>
          <w:lang w:val="en-US" w:eastAsia="zh-CN"/>
        </w:rPr>
        <w:t>159</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，主要原因是</w:t>
      </w:r>
      <w:r>
        <w:rPr>
          <w:rFonts w:hint="eastAsia" w:ascii="仿宋_GB2312" w:hAnsi="Times New Roman" w:eastAsia="仿宋_GB2312" w:cs="仿宋_GB2312"/>
          <w:sz w:val="32"/>
          <w:szCs w:val="32"/>
          <w:lang w:eastAsia="zh-CN"/>
        </w:rPr>
        <w:t>社会福利院搬迁新址，取暖面积增大和职工涨工资支出</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（二）政府采购支出情况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楷体_GB2312" w:hAnsi="Times New Roman" w:eastAsia="楷体_GB2312" w:cs="楷体_GB2312"/>
          <w:b/>
          <w:bCs/>
          <w:i/>
          <w:iCs/>
          <w:sz w:val="36"/>
          <w:szCs w:val="36"/>
        </w:rPr>
        <w:t>XX</w:t>
      </w:r>
      <w:r>
        <w:rPr>
          <w:rFonts w:hint="eastAsia" w:ascii="楷体_GB2312" w:hAnsi="Times New Roman" w:eastAsia="楷体_GB2312" w:cs="楷体_GB2312"/>
          <w:b/>
          <w:bCs/>
          <w:i/>
          <w:iCs/>
          <w:sz w:val="36"/>
          <w:szCs w:val="36"/>
        </w:rPr>
        <w:t>部门</w:t>
      </w:r>
      <w:r>
        <w:rPr>
          <w:rFonts w:hint="eastAsia" w:ascii="仿宋_GB2312" w:hAnsi="Times New Roman" w:eastAsia="仿宋_GB2312" w:cs="仿宋_GB2312"/>
          <w:sz w:val="32"/>
          <w:szCs w:val="32"/>
        </w:rPr>
        <w:t>政府采购支出总额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万元，其中：政府采购货物支出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万元，政府采购工程支出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万元，政府采购服务支出</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万元。授予中小企业合同金额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，其中：授予小微企业合同金额</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万元，占政府采购支出总额的</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（三）国有资产占用情况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截至</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w:t>
      </w:r>
      <w:r>
        <w:rPr>
          <w:rFonts w:ascii="楷体_GB2312" w:hAnsi="Times New Roman" w:eastAsia="楷体_GB2312" w:cs="楷体_GB2312"/>
          <w:b/>
          <w:bCs/>
          <w:i/>
          <w:iCs/>
          <w:sz w:val="36"/>
          <w:szCs w:val="36"/>
        </w:rPr>
        <w:t>XX</w:t>
      </w:r>
      <w:r>
        <w:rPr>
          <w:rFonts w:hint="eastAsia" w:ascii="楷体_GB2312" w:hAnsi="Times New Roman" w:eastAsia="楷体_GB2312" w:cs="楷体_GB2312"/>
          <w:b/>
          <w:bCs/>
          <w:i/>
          <w:iCs/>
          <w:sz w:val="36"/>
          <w:szCs w:val="36"/>
        </w:rPr>
        <w:t>部门</w:t>
      </w:r>
      <w:r>
        <w:rPr>
          <w:rFonts w:hint="eastAsia" w:ascii="仿宋_GB2312" w:hAnsi="Times New Roman" w:eastAsia="仿宋_GB2312" w:cs="仿宋_GB2312"/>
          <w:sz w:val="32"/>
          <w:szCs w:val="32"/>
        </w:rPr>
        <w:t>共有车辆</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辆，其中：副省级以上领导干部用车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辆，一般公务用车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辆，一般执法执勤用车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辆，特种专业技术用车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辆，其他用车</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辆；单位价值万元以上大型设备</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台（套）。</w:t>
      </w:r>
    </w:p>
    <w:p>
      <w:pPr>
        <w:autoSpaceDE w:val="0"/>
        <w:autoSpaceDN w:val="0"/>
        <w:adjustRightInd w:val="0"/>
        <w:spacing w:line="540" w:lineRule="exact"/>
        <w:ind w:firstLine="72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（四）预算绩效管理工作开展情况</w:t>
      </w:r>
    </w:p>
    <w:p>
      <w:pPr>
        <w:autoSpaceDE w:val="0"/>
        <w:autoSpaceDN w:val="0"/>
        <w:adjustRightInd w:val="0"/>
        <w:ind w:firstLine="64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rPr>
        <w:t>根据财政预算管理要求，我</w:t>
      </w:r>
      <w:r>
        <w:rPr>
          <w:rFonts w:hint="eastAsia" w:ascii="仿宋_GB2312" w:hAnsi="Times New Roman" w:eastAsia="仿宋_GB2312" w:cs="仿宋_GB2312"/>
          <w:sz w:val="32"/>
          <w:szCs w:val="32"/>
          <w:lang w:eastAsia="zh-CN"/>
        </w:rPr>
        <w:t>局</w:t>
      </w:r>
      <w:r>
        <w:rPr>
          <w:rFonts w:hint="eastAsia" w:ascii="仿宋_GB2312" w:hAnsi="Times New Roman" w:eastAsia="仿宋_GB2312" w:cs="仿宋_GB2312"/>
          <w:sz w:val="32"/>
          <w:szCs w:val="32"/>
        </w:rPr>
        <w:t>组织对</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年度预算项目支出全面开展绩效自评，</w:t>
      </w:r>
      <w:r>
        <w:rPr>
          <w:rFonts w:hint="eastAsia" w:ascii="仿宋_GB2312" w:hAnsi="Times New Roman" w:eastAsia="仿宋_GB2312" w:cs="仿宋_GB2312"/>
          <w:sz w:val="32"/>
          <w:szCs w:val="32"/>
          <w:lang w:eastAsia="zh-CN"/>
        </w:rPr>
        <w:t>经选择没有列入重点重点绩效项目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CF8B"/>
    <w:multiLevelType w:val="singleLevel"/>
    <w:tmpl w:val="25C7CF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33B3"/>
    <w:rsid w:val="00104978"/>
    <w:rsid w:val="001B6E3C"/>
    <w:rsid w:val="00226A78"/>
    <w:rsid w:val="002833B3"/>
    <w:rsid w:val="002A3E4A"/>
    <w:rsid w:val="002A6FC8"/>
    <w:rsid w:val="006C7F9A"/>
    <w:rsid w:val="007962FC"/>
    <w:rsid w:val="009E4B14"/>
    <w:rsid w:val="00AE67D1"/>
    <w:rsid w:val="11DF21BD"/>
    <w:rsid w:val="2FA62EEB"/>
    <w:rsid w:val="3AA35C5D"/>
    <w:rsid w:val="43292C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314</Words>
  <Characters>1795</Characters>
  <Lines>14</Lines>
  <Paragraphs>4</Paragraphs>
  <TotalTime>7</TotalTime>
  <ScaleCrop>false</ScaleCrop>
  <LinksUpToDate>false</LinksUpToDate>
  <CharactersWithSpaces>2105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2018-08-13T02:09:00Z</dcterms:created>
  <dc:creator>dw</dc:creator>
  <cp:lastModifiedBy>Administrator</cp:lastModifiedBy>
  <dcterms:modified xsi:type="dcterms:W3CDTF">2019-01-29T03:15:41Z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