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>
        <w:rPr>
          <w:rFonts w:hint="eastAsia" w:ascii="宋体" w:eastAsia="宋体" w:cs="宋体"/>
          <w:b/>
          <w:bCs/>
          <w:sz w:val="44"/>
          <w:szCs w:val="44"/>
        </w:rPr>
        <w:t>年部门决算公开参考文本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hint="eastAsia" w:ascii="楷体_GB2312" w:hAnsi="Times New Roman" w:eastAsia="楷体_GB2312" w:cs="楷体_GB2312"/>
          <w:b/>
          <w:bCs/>
          <w:i/>
          <w:iCs/>
          <w:sz w:val="52"/>
          <w:szCs w:val="52"/>
          <w:lang w:eastAsia="zh-CN"/>
        </w:rPr>
        <w:t>区金融办</w:t>
      </w:r>
      <w:r>
        <w:rPr>
          <w:rFonts w:ascii="宋体" w:hAnsi="Times New Roman" w:eastAsia="宋体" w:cs="宋体"/>
          <w:b/>
          <w:bCs/>
          <w:sz w:val="52"/>
          <w:szCs w:val="52"/>
        </w:rPr>
        <w:t>2017</w:t>
      </w:r>
      <w:r>
        <w:rPr>
          <w:rFonts w:hint="eastAsia" w:ascii="宋体" w:hAnsi="Times New Roman" w:eastAsia="宋体" w:cs="宋体"/>
          <w:b/>
          <w:bCs/>
          <w:sz w:val="52"/>
          <w:szCs w:val="52"/>
        </w:rPr>
        <w:t>年度部门决算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宋体" w:hAnsi="Times New Roman" w:eastAsia="宋体" w:cs="宋体"/>
          <w:b/>
          <w:bCs/>
          <w:sz w:val="44"/>
          <w:szCs w:val="44"/>
        </w:rPr>
        <w:t>目录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双台子区</w:t>
      </w:r>
      <w:r>
        <w:rPr>
          <w:rFonts w:hint="eastAsia" w:ascii="黑体" w:hAnsi="黑体" w:eastAsia="黑体"/>
          <w:sz w:val="32"/>
          <w:szCs w:val="32"/>
          <w:lang w:eastAsia="zh-CN"/>
        </w:rPr>
        <w:t>金融办</w:t>
      </w:r>
      <w:r>
        <w:rPr>
          <w:rFonts w:hint="eastAsia" w:ascii="黑体" w:hAnsi="黑体" w:eastAsia="黑体"/>
          <w:sz w:val="32"/>
          <w:szCs w:val="32"/>
        </w:rPr>
        <w:t>部门概况</w:t>
      </w:r>
    </w:p>
    <w:p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Times New Roman" w:eastAsia="宋体" w:cs="宋体"/>
          <w:szCs w:val="21"/>
        </w:rPr>
        <w:t>一、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仿宋_GB2312" w:hAnsi="Times New Roman" w:eastAsia="仿宋_GB2312" w:cs="仿宋_GB2312"/>
          <w:sz w:val="32"/>
          <w:szCs w:val="32"/>
        </w:rPr>
        <w:t>主要职责</w:t>
      </w:r>
    </w:p>
    <w:p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Times New Roman" w:eastAsia="宋体" w:cs="宋体"/>
          <w:szCs w:val="21"/>
        </w:rPr>
        <w:t>二、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仿宋_GB2312" w:hAnsi="Times New Roman" w:eastAsia="仿宋_GB2312" w:cs="仿宋_GB2312"/>
          <w:sz w:val="32"/>
          <w:szCs w:val="32"/>
        </w:rPr>
        <w:t>部门决算单位构成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双台子</w:t>
      </w:r>
      <w:r>
        <w:rPr>
          <w:rFonts w:hint="eastAsia" w:ascii="楷体_GB2312" w:hAnsi="Times New Roman" w:eastAsia="楷体_GB2312" w:cs="楷体_GB2312"/>
          <w:i/>
          <w:iCs/>
          <w:sz w:val="32"/>
          <w:szCs w:val="32"/>
          <w:lang w:eastAsia="zh-CN"/>
        </w:rPr>
        <w:t>区金融办</w:t>
      </w:r>
      <w:r>
        <w:rPr>
          <w:rFonts w:ascii="黑体" w:hAnsi="Times New Roman" w:eastAsia="黑体" w:cs="黑体"/>
          <w:sz w:val="32"/>
          <w:szCs w:val="32"/>
        </w:rPr>
        <w:t>2017</w:t>
      </w:r>
      <w:r>
        <w:rPr>
          <w:rFonts w:hint="eastAsia" w:ascii="黑体" w:hAnsi="Times New Roman" w:eastAsia="黑体" w:cs="黑体"/>
          <w:sz w:val="32"/>
          <w:szCs w:val="32"/>
        </w:rPr>
        <w:t>年度部门决算报表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年度收入支出决算总表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年度收入决算表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六、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年度一般公共预算财政拨款基本支出决算表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年度政府性基金预算财政拨款收入支出决算表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年度财政专户管理资金收入支出决算表</w:t>
      </w:r>
    </w:p>
    <w:p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九、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经费支出决算表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第三部分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 xml:space="preserve"> 双台子区</w:t>
      </w:r>
      <w:r>
        <w:rPr>
          <w:rFonts w:ascii="黑体" w:hAnsi="Times New Roman" w:eastAsia="黑体" w:cs="黑体"/>
          <w:sz w:val="32"/>
          <w:szCs w:val="32"/>
        </w:rPr>
        <w:t>2017</w:t>
      </w:r>
      <w:r>
        <w:rPr>
          <w:rFonts w:hint="eastAsia" w:ascii="黑体" w:hAnsi="Times New Roman" w:eastAsia="黑体" w:cs="黑体"/>
          <w:sz w:val="32"/>
          <w:szCs w:val="32"/>
        </w:rPr>
        <w:t>年度部门决算情况说明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第四部分名词解释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第一部分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val="en-US" w:eastAsia="zh-CN"/>
        </w:rPr>
        <w:t xml:space="preserve"> 双台子区金融办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概况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主要职责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负责拟定改善我区金融发展环境的政策措施，吸引聚集金融资源。加快我区区域金融中心建设。负责拟定我区资本市场建设的相关政策，研究提出规划和措施并组织实施。负责全区企业上市工作统筹规划、组织协调、研究推进企业上市的政策并组织实施。指导全区中小企业融资，促进中小企业信用担保体系建设。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二、部门决算单位构成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纳入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双台子区金融办</w:t>
      </w:r>
      <w:r>
        <w:rPr>
          <w:rFonts w:hint="eastAsia" w:ascii="仿宋_GB2312" w:hAnsi="Times New Roman" w:eastAsia="仿宋_GB2312" w:cs="仿宋_GB2312"/>
          <w:sz w:val="32"/>
          <w:szCs w:val="32"/>
        </w:rPr>
        <w:t>2017年部门决算编制范围的二级预算单位包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括：金融办及中小企业信用担保中心，中小企业信用担保中心为区金融办下属股级单位。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第二部分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val="en-US" w:eastAsia="zh-CN"/>
        </w:rPr>
        <w:t xml:space="preserve"> 双台子区金融办</w:t>
      </w:r>
      <w:r>
        <w:rPr>
          <w:rFonts w:ascii="宋体" w:hAnsi="Times New Roman" w:eastAsia="宋体" w:cs="宋体"/>
          <w:b/>
          <w:bCs/>
          <w:sz w:val="36"/>
          <w:szCs w:val="36"/>
        </w:rPr>
        <w:t>2017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年度部门决算公开报表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第三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eastAsia="zh-CN"/>
        </w:rPr>
        <w:t>部分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eastAsia="zh-CN"/>
        </w:rPr>
        <w:t>双台子区金融办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2017年度部门决算情况说明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ind w:firstLine="627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一、收入支出决算总体情况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（一）收入总计</w:t>
      </w:r>
      <w:r>
        <w:rPr>
          <w:rFonts w:hint="eastAsia" w:ascii="楷体_GB2312" w:hAnsi="Times New Roman" w:eastAsia="楷体_GB2312" w:cs="楷体_GB2312"/>
          <w:b/>
          <w:bCs/>
          <w:sz w:val="32"/>
          <w:szCs w:val="32"/>
          <w:lang w:val="en-US" w:eastAsia="zh-CN"/>
        </w:rPr>
        <w:t>52.69</w:t>
      </w: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财政拨款收入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52.69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万元，其中：一般公共预算财政拨款收入万元，政府性基金预算财政拨款收入万元。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上级补助收入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事业收入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经营收入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附属单位上缴收入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6.</w:t>
      </w:r>
      <w:r>
        <w:rPr>
          <w:rFonts w:hint="eastAsia" w:ascii="仿宋_GB2312" w:hAnsi="Times New Roman" w:eastAsia="仿宋_GB2312" w:cs="仿宋_GB2312"/>
          <w:sz w:val="32"/>
          <w:szCs w:val="32"/>
        </w:rPr>
        <w:t>其他收入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7.</w:t>
      </w:r>
      <w:r>
        <w:rPr>
          <w:rFonts w:hint="eastAsia" w:ascii="仿宋_GB2312" w:hAnsi="Times New Roman" w:eastAsia="仿宋_GB2312" w:cs="仿宋_GB2312"/>
          <w:sz w:val="32"/>
          <w:szCs w:val="32"/>
        </w:rPr>
        <w:t>用事业基金弥补收支差额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8.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上年结转和结余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（二）支出总计</w:t>
      </w:r>
      <w:r>
        <w:rPr>
          <w:rFonts w:hint="eastAsia" w:ascii="楷体_GB2312" w:hAnsi="Times New Roman" w:eastAsia="楷体_GB2312" w:cs="楷体_GB2312"/>
          <w:b/>
          <w:bCs/>
          <w:sz w:val="32"/>
          <w:szCs w:val="32"/>
          <w:lang w:val="en-US" w:eastAsia="zh-CN"/>
        </w:rPr>
        <w:t>52.69</w:t>
      </w: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基本支出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52.69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万元，主要是为保障机构正常运转、完成日常工作任务而发生的各项支出，其中：工资福利支出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39.68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万元，对个人和家庭的补助支出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万元，商品和服务支出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上缴上级支出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经营支出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对附属单位补助支出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（三）年末结转和结余</w:t>
      </w:r>
      <w:r>
        <w:rPr>
          <w:rFonts w:hint="eastAsia" w:ascii="楷体_GB2312" w:hAnsi="Times New Roman" w:eastAsia="楷体_GB2312" w:cs="楷体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万元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二、财政拨款支出决算情况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（一）总体情况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财政拨款支出决算反映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双台子区金融办</w:t>
      </w:r>
      <w:r>
        <w:rPr>
          <w:rFonts w:hint="eastAsia" w:ascii="仿宋_GB2312" w:hAnsi="Times New Roman" w:eastAsia="仿宋_GB2312" w:cs="仿宋_GB2312"/>
          <w:sz w:val="32"/>
          <w:szCs w:val="32"/>
        </w:rPr>
        <w:t>2017年整体财政拨款支出情况，既包括使用当年财政拨款发生的支出，也包括使用以前年度财政拨款结转和结余资金发生的支出。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52.69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万元，其中：基本支出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52.69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万元，项目支出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（二）具体情况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52.69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万元，按支出功能分类科目分，包括一般公共服务支出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48.25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万元，科学技术支出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万元，社会保障和就业支出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万元，住房保障支出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4.44万元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一般公共服务支出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48.25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</w:t>
      </w:r>
      <w:r>
        <w:rPr>
          <w:rFonts w:ascii="仿宋_GB2312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）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事业</w:t>
      </w:r>
      <w:r>
        <w:rPr>
          <w:rFonts w:hint="eastAsia" w:ascii="仿宋_GB2312" w:hAnsi="Times New Roman" w:eastAsia="仿宋_GB2312" w:cs="仿宋_GB2312"/>
          <w:sz w:val="32"/>
          <w:szCs w:val="32"/>
        </w:rPr>
        <w:t>运行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48.25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人员工资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科学技术支出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三、一般公共预算财政拨款</w:t>
      </w:r>
      <w:r>
        <w:rPr>
          <w:rFonts w:ascii="Times New Roman" w:hAnsi="Times New Roman" w:eastAsia="黑体" w:cs="Times New Roman"/>
          <w:sz w:val="32"/>
          <w:szCs w:val="32"/>
        </w:rPr>
        <w:t>“</w:t>
      </w:r>
      <w:r>
        <w:rPr>
          <w:rFonts w:hint="eastAsia" w:ascii="黑体" w:hAnsi="Times New Roman" w:eastAsia="黑体" w:cs="黑体"/>
          <w:sz w:val="32"/>
          <w:szCs w:val="32"/>
        </w:rPr>
        <w:t>三公</w:t>
      </w:r>
      <w:r>
        <w:rPr>
          <w:rFonts w:ascii="Times New Roman" w:hAnsi="Times New Roman" w:eastAsia="黑体" w:cs="Times New Roman"/>
          <w:sz w:val="32"/>
          <w:szCs w:val="32"/>
        </w:rPr>
        <w:t>”</w:t>
      </w:r>
      <w:r>
        <w:rPr>
          <w:rFonts w:hint="eastAsia" w:ascii="黑体" w:hAnsi="Times New Roman" w:eastAsia="黑体" w:cs="黑体"/>
          <w:sz w:val="32"/>
          <w:szCs w:val="32"/>
        </w:rPr>
        <w:t>经费支出决算情况</w:t>
      </w:r>
    </w:p>
    <w:p>
      <w:pPr>
        <w:autoSpaceDE w:val="0"/>
        <w:autoSpaceDN w:val="0"/>
        <w:adjustRightInd w:val="0"/>
        <w:spacing w:line="540" w:lineRule="exact"/>
        <w:ind w:left="530" w:leftChars="100" w:hanging="320" w:hanging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年度一般公共预算财政拨款安排的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经费支出万元，其中：因公出国（境）费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万元，公务接待费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万元，公务用车购置及运行维护费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经费支出比</w:t>
      </w:r>
      <w:r>
        <w:rPr>
          <w:rFonts w:ascii="仿宋_GB2312" w:hAnsi="Times New Roman" w:eastAsia="仿宋_GB2312" w:cs="仿宋_GB2312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年减少（增加）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万元，下降（增长）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因公出国（境）费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公务接待费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公务用车购置及运行维护费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五、其他重要事项的情况说明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楷体_GB2312" w:hAnsi="Times New Roman" w:eastAsia="楷体_GB2312" w:cs="楷体_GB2312"/>
          <w:b/>
          <w:bCs/>
          <w:color w:val="auto"/>
          <w:sz w:val="32"/>
          <w:szCs w:val="32"/>
        </w:rPr>
        <w:t>机关运行经费支出情况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双台子区金融办</w:t>
      </w:r>
      <w:r>
        <w:rPr>
          <w:rFonts w:hint="eastAsia" w:ascii="仿宋_GB2312" w:hAnsi="Times New Roman" w:eastAsia="仿宋_GB2312" w:cs="仿宋_GB2312"/>
          <w:sz w:val="32"/>
          <w:szCs w:val="32"/>
        </w:rPr>
        <w:t>机关运行经费支出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48.25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万元，比</w:t>
      </w:r>
      <w:r>
        <w:rPr>
          <w:rFonts w:ascii="仿宋_GB2312" w:hAnsi="Times New Roman" w:eastAsia="仿宋_GB2312" w:cs="仿宋_GB2312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年减少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0.7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万元，增长（降低）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Times New Roman" w:eastAsia="仿宋_GB2312" w:cs="仿宋_GB2312"/>
          <w:sz w:val="32"/>
          <w:szCs w:val="32"/>
        </w:rPr>
        <w:t>%</w:t>
      </w:r>
      <w:r>
        <w:rPr>
          <w:rFonts w:hint="eastAsia" w:ascii="仿宋_GB2312" w:hAnsi="Times New Roman" w:eastAsia="仿宋_GB2312" w:cs="仿宋_GB2312"/>
          <w:sz w:val="32"/>
          <w:szCs w:val="32"/>
        </w:rPr>
        <w:t>，主要原因是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公共经费减少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（二）政府采购支出情况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017年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双台子区金融办</w:t>
      </w:r>
      <w:r>
        <w:rPr>
          <w:rFonts w:hint="eastAsia" w:ascii="仿宋_GB2312" w:hAnsi="Times New Roman" w:eastAsia="仿宋_GB2312" w:cs="仿宋_GB2312"/>
          <w:sz w:val="32"/>
          <w:szCs w:val="32"/>
        </w:rPr>
        <w:t>政府采购支出总额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万元，其中：政府采购货物支出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万元，政府采购工程支出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万元，政府采购服务支出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万元。授予中小企业合同金额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（三）国有资产占用情况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截至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ascii="仿宋_GB2312" w:hAnsi="Times New Roman" w:eastAsia="仿宋_GB2312" w:cs="仿宋_GB2312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月31日，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双台子区金融办</w:t>
      </w:r>
      <w:r>
        <w:rPr>
          <w:rFonts w:hint="eastAsia" w:ascii="仿宋_GB2312" w:hAnsi="Times New Roman" w:eastAsia="仿宋_GB2312" w:cs="仿宋_GB2312"/>
          <w:sz w:val="32"/>
          <w:szCs w:val="32"/>
        </w:rPr>
        <w:t>共有车辆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辆。</w:t>
      </w:r>
    </w:p>
    <w:p>
      <w:pPr>
        <w:autoSpaceDE w:val="0"/>
        <w:autoSpaceDN w:val="0"/>
        <w:adjustRightInd w:val="0"/>
        <w:spacing w:line="540" w:lineRule="exact"/>
        <w:ind w:firstLine="72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（四）预算绩效管理工作开展情况</w:t>
      </w:r>
    </w:p>
    <w:p>
      <w:pPr>
        <w:autoSpaceDE w:val="0"/>
        <w:autoSpaceDN w:val="0"/>
        <w:adjustRightInd w:val="0"/>
        <w:ind w:firstLine="64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根据财政预算管理要求，我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Times New Roman" w:eastAsia="仿宋_GB2312" w:cs="仿宋_GB2312"/>
          <w:sz w:val="32"/>
          <w:szCs w:val="32"/>
        </w:rPr>
        <w:t>没有列入重点绩效项目。</w:t>
      </w:r>
    </w:p>
    <w:p>
      <w:pPr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通过绩效自评发现预算项目管理主要存在以下问题：</w:t>
      </w:r>
      <w:r>
        <w:rPr>
          <w:rFonts w:hint="eastAsia" w:ascii="黑体" w:hAnsi="Times New Roman" w:eastAsia="黑体" w:cs="黑体"/>
          <w:sz w:val="32"/>
          <w:szCs w:val="32"/>
        </w:rPr>
        <w:t>一是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二是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三是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四是</w:t>
      </w:r>
      <w:r>
        <w:rPr>
          <w:rFonts w:hint="eastAsia" w:ascii="仿宋_GB2312" w:hAnsi="Times New Roman" w:eastAsia="仿宋_GB2312" w:cs="仿宋_GB2312"/>
          <w:sz w:val="32"/>
          <w:szCs w:val="32"/>
        </w:rPr>
        <w:t>……。下一步将采取以下措施加以改进：</w:t>
      </w:r>
      <w:r>
        <w:rPr>
          <w:rFonts w:hint="eastAsia" w:ascii="黑体" w:hAnsi="Times New Roman" w:eastAsia="黑体" w:cs="黑体"/>
          <w:sz w:val="32"/>
          <w:szCs w:val="32"/>
        </w:rPr>
        <w:t>一是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二是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三是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四是</w:t>
      </w:r>
      <w:r>
        <w:rPr>
          <w:rFonts w:hint="eastAsia" w:ascii="仿宋_GB2312" w:hAnsi="Times New Roman" w:eastAsia="仿宋_GB2312" w:cs="仿宋_GB2312"/>
          <w:sz w:val="32"/>
          <w:szCs w:val="32"/>
        </w:rPr>
        <w:t>……。</w:t>
      </w:r>
    </w:p>
    <w:p>
      <w:pPr>
        <w:rPr>
          <w:rFonts w:ascii="仿宋_GB2312" w:hAnsi="Times New Roman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yellow"/>
        </w:rPr>
        <w:t>如果没有绩效项目请说明经选择没有列入重点绩效项目</w:t>
      </w:r>
    </w:p>
    <w:p>
      <w:r>
        <w:rPr>
          <w:rFonts w:hint="eastAsia" w:ascii="仿宋_GB2312" w:hAnsi="Times New Roman" w:eastAsia="仿宋_GB2312" w:cs="仿宋_GB2312"/>
          <w:sz w:val="32"/>
          <w:szCs w:val="32"/>
          <w:highlight w:val="yellow"/>
        </w:rPr>
        <w:t>如有绩效项目请按模板填写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A173"/>
    <w:multiLevelType w:val="singleLevel"/>
    <w:tmpl w:val="618CA1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B3"/>
    <w:rsid w:val="00104978"/>
    <w:rsid w:val="001B6E3C"/>
    <w:rsid w:val="00226A78"/>
    <w:rsid w:val="002833B3"/>
    <w:rsid w:val="002A3E4A"/>
    <w:rsid w:val="002A6FC8"/>
    <w:rsid w:val="006C7F9A"/>
    <w:rsid w:val="007962FC"/>
    <w:rsid w:val="009E4B14"/>
    <w:rsid w:val="00AE67D1"/>
    <w:rsid w:val="0AB33752"/>
    <w:rsid w:val="617B30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1795</Characters>
  <Lines>14</Lines>
  <Paragraphs>4</Paragraphs>
  <TotalTime>2</TotalTime>
  <ScaleCrop>false</ScaleCrop>
  <LinksUpToDate>false</LinksUpToDate>
  <CharactersWithSpaces>2105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2018-08-13T02:09:00Z</dcterms:created>
  <dc:creator>dw</dc:creator>
  <cp:lastModifiedBy>ィ圭Οо℅</cp:lastModifiedBy>
  <dcterms:modified xsi:type="dcterms:W3CDTF">2019-01-29T01:58:19Z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