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/>
          <w:b/>
          <w:bCs/>
          <w:i/>
          <w:iCs/>
          <w:sz w:val="52"/>
          <w:szCs w:val="52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 w:hint="eastAsia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A6784B" w:rsidRDefault="00A6784B" w:rsidP="00A6784B">
      <w:pPr>
        <w:shd w:val="solid" w:color="FFFFFF" w:fill="auto"/>
        <w:autoSpaceDN w:val="0"/>
        <w:spacing w:line="570" w:lineRule="exact"/>
        <w:ind w:firstLine="640"/>
        <w:rPr>
          <w:rFonts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1.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负责制定开发区建设的总体方案和实施意见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。</w:t>
      </w:r>
    </w:p>
    <w:p w:rsidR="00A6784B" w:rsidRDefault="00A6784B" w:rsidP="00A6784B">
      <w:pPr>
        <w:shd w:val="solid" w:color="FFFFFF" w:fill="auto"/>
        <w:autoSpaceDN w:val="0"/>
        <w:spacing w:line="570" w:lineRule="exact"/>
        <w:ind w:firstLine="640"/>
        <w:rPr>
          <w:rFonts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2.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负责开发区的总体规划和设计并组织实施基础设施建设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。</w:t>
      </w:r>
    </w:p>
    <w:p w:rsidR="00A6784B" w:rsidRDefault="00A6784B" w:rsidP="00A6784B">
      <w:pPr>
        <w:shd w:val="solid" w:color="FFFFFF" w:fill="auto"/>
        <w:autoSpaceDN w:val="0"/>
        <w:spacing w:line="570" w:lineRule="exact"/>
        <w:ind w:firstLine="640"/>
        <w:rPr>
          <w:rFonts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3.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负责园区项目的招商引资工作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。</w:t>
      </w:r>
    </w:p>
    <w:p w:rsidR="00A6784B" w:rsidRDefault="00A6784B" w:rsidP="00A6784B">
      <w:pPr>
        <w:shd w:val="solid" w:color="FFFFFF" w:fill="auto"/>
        <w:autoSpaceDN w:val="0"/>
        <w:spacing w:line="570" w:lineRule="exact"/>
        <w:ind w:firstLine="640"/>
        <w:rPr>
          <w:rFonts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lastRenderedPageBreak/>
        <w:t>4.负责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入驻园区企业的项目申报和全程服务工作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。</w:t>
      </w:r>
    </w:p>
    <w:p w:rsidR="00A6784B" w:rsidRDefault="00A6784B" w:rsidP="00A6784B">
      <w:pPr>
        <w:shd w:val="solid" w:color="FFFFFF" w:fill="auto"/>
        <w:autoSpaceDN w:val="0"/>
        <w:spacing w:line="570" w:lineRule="exact"/>
        <w:ind w:firstLine="640"/>
        <w:rPr>
          <w:rFonts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5.负责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开发区党务及精神文明建设</w:t>
      </w:r>
      <w:r>
        <w:rPr>
          <w:rFonts w:ascii="仿宋_GB2312" w:eastAsia="仿宋_GB2312" w:hAnsi="仿宋_GB2312"/>
          <w:color w:val="000000"/>
          <w:sz w:val="32"/>
          <w:shd w:val="clear" w:color="auto" w:fill="FFFFFF"/>
        </w:rPr>
        <w:t>。</w:t>
      </w:r>
    </w:p>
    <w:p w:rsidR="00A6784B" w:rsidRPr="00A6784B" w:rsidRDefault="00A6784B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完成日常工作任务而发生的各项支出，其中：工资福利支出</w:t>
      </w:r>
      <w:r w:rsidR="00A6784B" w:rsidRPr="00A6784B">
        <w:rPr>
          <w:rFonts w:ascii="仿宋_GB2312" w:eastAsia="仿宋_GB2312" w:hAnsi="仿宋_GB2312"/>
          <w:color w:val="000000"/>
          <w:sz w:val="32"/>
          <w:shd w:val="clear" w:color="auto" w:fill="FFFFFF"/>
        </w:rPr>
        <w:t>213.98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68.55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117.97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A6784B"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6784B">
        <w:rPr>
          <w:rFonts w:ascii="楷体_GB2312" w:eastAsia="楷体_GB2312" w:hAnsi="楷体_GB2312" w:hint="eastAsia"/>
          <w:b/>
          <w:color w:val="000000"/>
          <w:sz w:val="32"/>
          <w:shd w:val="clear" w:color="auto" w:fill="FFFFFF"/>
        </w:rPr>
        <w:t>402.5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345.11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A6784B">
        <w:rPr>
          <w:rFonts w:ascii="仿宋_GB2312" w:eastAsia="仿宋_GB2312" w:hAnsi="Times New Roman" w:cs="仿宋_GB2312" w:hint="eastAsia"/>
          <w:sz w:val="32"/>
          <w:szCs w:val="32"/>
        </w:rPr>
        <w:t>住房保障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57.43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345.11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</w:t>
      </w:r>
      <w:r w:rsidR="00A6784B" w:rsidRPr="00A6784B">
        <w:rPr>
          <w:rFonts w:ascii="仿宋_GB2312" w:eastAsia="仿宋_GB2312" w:hAnsi="Times New Roman" w:cs="仿宋_GB2312" w:hint="eastAsia"/>
          <w:sz w:val="32"/>
          <w:szCs w:val="32"/>
        </w:rPr>
        <w:t>事业运行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345.11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A6784B" w:rsidRPr="00A6784B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A6784B"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 w:rsidR="00A6784B" w:rsidRPr="00A6784B">
        <w:rPr>
          <w:rFonts w:ascii="仿宋_GB2312" w:eastAsia="仿宋_GB2312" w:hAnsi="Times New Roman" w:cs="仿宋_GB2312"/>
          <w:sz w:val="32"/>
          <w:szCs w:val="32"/>
        </w:rPr>
        <w:t>57.43</w:t>
      </w:r>
      <w:r w:rsidR="00A6784B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，包括：</w:t>
      </w:r>
    </w:p>
    <w:p w:rsidR="002833B3" w:rsidRDefault="00A6784B" w:rsidP="00A6784B">
      <w:pPr>
        <w:autoSpaceDE w:val="0"/>
        <w:autoSpaceDN w:val="0"/>
        <w:adjustRightInd w:val="0"/>
        <w:spacing w:line="540" w:lineRule="exact"/>
        <w:ind w:firstLineChars="305" w:firstLine="97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住房公积金</w:t>
      </w:r>
      <w:r w:rsidRPr="00A6784B">
        <w:rPr>
          <w:rFonts w:ascii="仿宋_GB2312" w:eastAsia="仿宋_GB2312" w:hAnsi="Times New Roman" w:cs="仿宋_GB2312"/>
          <w:sz w:val="32"/>
          <w:szCs w:val="32"/>
        </w:rPr>
        <w:t>57.43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6B0E50">
        <w:rPr>
          <w:rFonts w:ascii="仿宋_GB2312" w:eastAsia="仿宋_GB2312" w:hAnsi="Times New Roman" w:cs="仿宋_GB2312" w:hint="eastAsia"/>
          <w:sz w:val="32"/>
          <w:szCs w:val="32"/>
        </w:rPr>
        <w:t>0.5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万元，其中：因公出国（境）费万元，公务接待费万元，公务用车购置及运行维护费</w:t>
      </w:r>
      <w:r w:rsidR="006B0E50">
        <w:rPr>
          <w:rFonts w:ascii="仿宋_GB2312" w:eastAsia="仿宋_GB2312" w:hAnsi="Times New Roman" w:cs="仿宋_GB2312" w:hint="eastAsia"/>
          <w:sz w:val="32"/>
          <w:szCs w:val="32"/>
        </w:rPr>
        <w:t>0.5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6B0E50">
        <w:rPr>
          <w:rFonts w:ascii="仿宋_GB2312" w:eastAsia="仿宋_GB2312" w:hAnsi="Times New Roman" w:cs="仿宋_GB2312" w:hint="eastAsia"/>
          <w:sz w:val="32"/>
          <w:szCs w:val="32"/>
        </w:rPr>
        <w:t>0.5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</w:t>
      </w:r>
      <w:r w:rsidR="006B0E50">
        <w:rPr>
          <w:rFonts w:ascii="仿宋_GB2312" w:eastAsia="仿宋_GB2312" w:hAnsi="Times New Roman" w:cs="仿宋_GB2312" w:hint="eastAsia"/>
          <w:sz w:val="32"/>
          <w:szCs w:val="32"/>
        </w:rPr>
        <w:t>0.5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6B0E50"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年增加（减少）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万元，增长（降低）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F8" w:rsidRDefault="000A09F8" w:rsidP="009E4B14">
      <w:r>
        <w:separator/>
      </w:r>
    </w:p>
  </w:endnote>
  <w:endnote w:type="continuationSeparator" w:id="1">
    <w:p w:rsidR="000A09F8" w:rsidRDefault="000A09F8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F8" w:rsidRDefault="000A09F8" w:rsidP="009E4B14">
      <w:r>
        <w:separator/>
      </w:r>
    </w:p>
  </w:footnote>
  <w:footnote w:type="continuationSeparator" w:id="1">
    <w:p w:rsidR="000A09F8" w:rsidRDefault="000A09F8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A09F8"/>
    <w:rsid w:val="00104978"/>
    <w:rsid w:val="001B6E3C"/>
    <w:rsid w:val="00226A78"/>
    <w:rsid w:val="002833B3"/>
    <w:rsid w:val="002A3E4A"/>
    <w:rsid w:val="002A6FC8"/>
    <w:rsid w:val="004E3A7F"/>
    <w:rsid w:val="006B0E50"/>
    <w:rsid w:val="006C7F9A"/>
    <w:rsid w:val="007962FC"/>
    <w:rsid w:val="009E4B14"/>
    <w:rsid w:val="00A6784B"/>
    <w:rsid w:val="00A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8</cp:revision>
  <dcterms:created xsi:type="dcterms:W3CDTF">2018-08-13T02:09:00Z</dcterms:created>
  <dcterms:modified xsi:type="dcterms:W3CDTF">2019-01-31T02:46:00Z</dcterms:modified>
</cp:coreProperties>
</file>