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82" w:rsidRDefault="002B2DBA">
      <w:pPr>
        <w:autoSpaceDE w:val="0"/>
        <w:autoSpaceDN w:val="0"/>
        <w:adjustRightInd w:val="0"/>
        <w:spacing w:line="540" w:lineRule="exact"/>
        <w:ind w:firstLineChars="100" w:firstLine="522"/>
        <w:rPr>
          <w:rFonts w:ascii="Times New Roman" w:eastAsia="宋体" w:hAnsi="Times New Roman" w:cs="Times New Roman"/>
          <w:b/>
          <w:bCs/>
          <w:sz w:val="52"/>
          <w:szCs w:val="52"/>
        </w:rPr>
      </w:pPr>
      <w:r>
        <w:rPr>
          <w:rFonts w:ascii="楷体_GB2312" w:eastAsia="楷体_GB2312" w:hAnsi="Times New Roman" w:cs="楷体_GB2312" w:hint="eastAsia"/>
          <w:b/>
          <w:bCs/>
          <w:sz w:val="52"/>
          <w:szCs w:val="52"/>
        </w:rPr>
        <w:t>油田办</w:t>
      </w:r>
      <w:r>
        <w:rPr>
          <w:rFonts w:ascii="楷体_GB2312" w:eastAsia="楷体_GB2312" w:hAnsi="Times New Roman" w:cs="楷体_GB2312" w:hint="eastAsia"/>
          <w:b/>
          <w:bCs/>
          <w:sz w:val="52"/>
          <w:szCs w:val="52"/>
        </w:rPr>
        <w:t>部门</w:t>
      </w:r>
      <w:r>
        <w:rPr>
          <w:rFonts w:ascii="宋体" w:eastAsia="宋体" w:hAnsi="Times New Roman" w:cs="宋体"/>
          <w:b/>
          <w:bCs/>
          <w:sz w:val="52"/>
          <w:szCs w:val="52"/>
        </w:rPr>
        <w:t>2017</w:t>
      </w:r>
      <w:r>
        <w:rPr>
          <w:rFonts w:ascii="宋体" w:eastAsia="宋体" w:hAnsi="Times New Roman" w:cs="宋体" w:hint="eastAsia"/>
          <w:b/>
          <w:bCs/>
          <w:sz w:val="52"/>
          <w:szCs w:val="52"/>
        </w:rPr>
        <w:t>年度部门决算</w:t>
      </w:r>
    </w:p>
    <w:p w:rsidR="00091282" w:rsidRDefault="00091282">
      <w:pPr>
        <w:autoSpaceDE w:val="0"/>
        <w:autoSpaceDN w:val="0"/>
        <w:adjustRightInd w:val="0"/>
        <w:spacing w:line="540" w:lineRule="exact"/>
        <w:rPr>
          <w:rFonts w:ascii="Times New Roman" w:eastAsia="宋体" w:hAnsi="Times New Roman" w:cs="Times New Roman"/>
          <w:b/>
          <w:bCs/>
          <w:sz w:val="44"/>
          <w:szCs w:val="44"/>
        </w:rPr>
      </w:pPr>
    </w:p>
    <w:p w:rsidR="00091282" w:rsidRDefault="00091282">
      <w:pPr>
        <w:autoSpaceDE w:val="0"/>
        <w:autoSpaceDN w:val="0"/>
        <w:adjustRightInd w:val="0"/>
        <w:spacing w:line="540" w:lineRule="exact"/>
        <w:jc w:val="center"/>
        <w:rPr>
          <w:rFonts w:ascii="宋体" w:eastAsia="宋体" w:hAnsi="Times New Roman" w:cs="宋体"/>
          <w:b/>
          <w:bCs/>
          <w:sz w:val="44"/>
          <w:szCs w:val="44"/>
        </w:rPr>
      </w:pPr>
    </w:p>
    <w:p w:rsidR="00091282" w:rsidRDefault="00091282">
      <w:pPr>
        <w:autoSpaceDE w:val="0"/>
        <w:autoSpaceDN w:val="0"/>
        <w:adjustRightInd w:val="0"/>
        <w:spacing w:line="540" w:lineRule="exact"/>
        <w:jc w:val="center"/>
        <w:rPr>
          <w:rFonts w:ascii="宋体" w:eastAsia="宋体" w:hAnsi="Times New Roman" w:cs="宋体"/>
          <w:b/>
          <w:bCs/>
          <w:sz w:val="44"/>
          <w:szCs w:val="44"/>
        </w:rPr>
      </w:pPr>
    </w:p>
    <w:p w:rsidR="00091282" w:rsidRDefault="002B2DBA">
      <w:pPr>
        <w:autoSpaceDE w:val="0"/>
        <w:autoSpaceDN w:val="0"/>
        <w:adjustRightInd w:val="0"/>
        <w:spacing w:line="540" w:lineRule="exact"/>
        <w:jc w:val="center"/>
        <w:rPr>
          <w:rFonts w:ascii="Times New Roman" w:eastAsia="宋体" w:hAnsi="Times New Roman" w:cs="Times New Roman"/>
          <w:b/>
          <w:bCs/>
          <w:sz w:val="44"/>
          <w:szCs w:val="44"/>
        </w:rPr>
      </w:pPr>
      <w:r>
        <w:rPr>
          <w:rFonts w:ascii="宋体" w:eastAsia="宋体" w:hAnsi="Times New Roman" w:cs="宋体" w:hint="eastAsia"/>
          <w:b/>
          <w:bCs/>
          <w:sz w:val="44"/>
          <w:szCs w:val="44"/>
        </w:rPr>
        <w:t>目录</w:t>
      </w:r>
    </w:p>
    <w:p w:rsidR="00091282" w:rsidRDefault="00091282">
      <w:pPr>
        <w:autoSpaceDE w:val="0"/>
        <w:autoSpaceDN w:val="0"/>
        <w:adjustRightInd w:val="0"/>
        <w:spacing w:line="540" w:lineRule="exact"/>
        <w:rPr>
          <w:rFonts w:ascii="Times New Roman" w:eastAsia="宋体" w:hAnsi="Times New Roman" w:cs="Times New Roman"/>
          <w:b/>
          <w:bCs/>
          <w:sz w:val="44"/>
          <w:szCs w:val="44"/>
          <w:u w:val="single"/>
        </w:rPr>
      </w:pPr>
    </w:p>
    <w:p w:rsidR="00091282" w:rsidRDefault="00091282">
      <w:pPr>
        <w:autoSpaceDE w:val="0"/>
        <w:autoSpaceDN w:val="0"/>
        <w:adjustRightInd w:val="0"/>
        <w:spacing w:line="540" w:lineRule="exact"/>
        <w:rPr>
          <w:rFonts w:ascii="Times New Roman" w:eastAsia="宋体" w:hAnsi="Times New Roman" w:cs="Times New Roman"/>
          <w:b/>
          <w:bCs/>
          <w:sz w:val="44"/>
          <w:szCs w:val="44"/>
          <w:u w:val="single"/>
        </w:rPr>
      </w:pPr>
    </w:p>
    <w:p w:rsidR="00091282" w:rsidRDefault="002B2DBA">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第一部分</w:t>
      </w:r>
      <w:r>
        <w:rPr>
          <w:rFonts w:ascii="黑体" w:eastAsia="黑体" w:hAnsi="Times New Roman" w:cs="黑体" w:hint="eastAsia"/>
          <w:sz w:val="32"/>
          <w:szCs w:val="32"/>
        </w:rPr>
        <w:t>油田办</w:t>
      </w:r>
      <w:r>
        <w:rPr>
          <w:rFonts w:ascii="楷体_GB2312" w:eastAsia="楷体_GB2312" w:hAnsi="Times New Roman" w:cs="楷体_GB2312" w:hint="eastAsia"/>
          <w:sz w:val="32"/>
          <w:szCs w:val="32"/>
        </w:rPr>
        <w:t>部门</w:t>
      </w:r>
      <w:r>
        <w:rPr>
          <w:rFonts w:ascii="黑体" w:eastAsia="黑体" w:hAnsi="Times New Roman" w:cs="黑体" w:hint="eastAsia"/>
          <w:sz w:val="32"/>
          <w:szCs w:val="32"/>
        </w:rPr>
        <w:t>概况</w:t>
      </w:r>
    </w:p>
    <w:p w:rsidR="00091282" w:rsidRDefault="002B2DBA">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一、</w:t>
      </w:r>
      <w:r>
        <w:rPr>
          <w:rFonts w:ascii="Times New Roman" w:eastAsia="宋体" w:hAnsi="Times New Roman" w:cs="Times New Roman"/>
          <w:szCs w:val="21"/>
        </w:rPr>
        <w:tab/>
      </w:r>
      <w:r>
        <w:rPr>
          <w:rFonts w:ascii="仿宋_GB2312" w:eastAsia="仿宋_GB2312" w:hAnsi="Times New Roman" w:cs="仿宋_GB2312" w:hint="eastAsia"/>
          <w:sz w:val="32"/>
          <w:szCs w:val="32"/>
        </w:rPr>
        <w:t>主要职责</w:t>
      </w:r>
    </w:p>
    <w:p w:rsidR="00091282" w:rsidRDefault="002B2DBA">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eastAsia="宋体" w:hAnsi="Times New Roman" w:cs="宋体" w:hint="eastAsia"/>
          <w:szCs w:val="21"/>
        </w:rPr>
        <w:t>二、</w:t>
      </w:r>
      <w:r>
        <w:rPr>
          <w:rFonts w:ascii="Times New Roman" w:eastAsia="宋体" w:hAnsi="Times New Roman" w:cs="Times New Roman"/>
          <w:szCs w:val="21"/>
        </w:rPr>
        <w:tab/>
      </w:r>
      <w:r>
        <w:rPr>
          <w:rFonts w:ascii="仿宋_GB2312" w:eastAsia="仿宋_GB2312" w:hAnsi="Times New Roman" w:cs="仿宋_GB2312" w:hint="eastAsia"/>
          <w:sz w:val="32"/>
          <w:szCs w:val="32"/>
        </w:rPr>
        <w:t>部门决算单位构成</w:t>
      </w:r>
    </w:p>
    <w:p w:rsidR="00091282" w:rsidRDefault="002B2DBA">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第二部分</w:t>
      </w:r>
      <w:r>
        <w:rPr>
          <w:rFonts w:ascii="黑体" w:eastAsia="黑体" w:hAnsi="Times New Roman" w:cs="黑体" w:hint="eastAsia"/>
          <w:sz w:val="32"/>
          <w:szCs w:val="32"/>
        </w:rPr>
        <w:t>油田办</w:t>
      </w:r>
      <w:r>
        <w:rPr>
          <w:rFonts w:ascii="楷体_GB2312" w:eastAsia="楷体_GB2312" w:hAnsi="Times New Roman" w:cs="楷体_GB2312" w:hint="eastAsia"/>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年度部门决算报表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091282" w:rsidRDefault="002B2DBA">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091282" w:rsidRDefault="002B2DBA">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091282" w:rsidRDefault="002B2DBA">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第三部分</w:t>
      </w:r>
      <w:r>
        <w:rPr>
          <w:rFonts w:ascii="黑体" w:eastAsia="黑体" w:hAnsi="Times New Roman" w:cs="黑体" w:hint="eastAsia"/>
          <w:sz w:val="32"/>
          <w:szCs w:val="32"/>
        </w:rPr>
        <w:t>油田办</w:t>
      </w:r>
      <w:bookmarkStart w:id="0" w:name="_GoBack"/>
      <w:bookmarkEnd w:id="0"/>
      <w:r>
        <w:rPr>
          <w:rFonts w:ascii="楷体_GB2312" w:eastAsia="楷体_GB2312" w:hAnsi="Times New Roman" w:cs="楷体_GB2312" w:hint="eastAsia"/>
          <w:sz w:val="32"/>
          <w:szCs w:val="32"/>
        </w:rPr>
        <w:t>部门</w:t>
      </w:r>
      <w:r>
        <w:rPr>
          <w:rFonts w:ascii="黑体" w:eastAsia="黑体" w:hAnsi="Times New Roman" w:cs="黑体"/>
          <w:sz w:val="32"/>
          <w:szCs w:val="32"/>
        </w:rPr>
        <w:t>2017</w:t>
      </w:r>
      <w:r>
        <w:rPr>
          <w:rFonts w:ascii="黑体" w:eastAsia="黑体" w:hAnsi="Times New Roman" w:cs="黑体" w:hint="eastAsia"/>
          <w:sz w:val="32"/>
          <w:szCs w:val="32"/>
        </w:rPr>
        <w:t>年度部门决算情况说明</w:t>
      </w:r>
    </w:p>
    <w:p w:rsidR="00091282" w:rsidRDefault="002B2DBA">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cs="黑体" w:hint="eastAsia"/>
          <w:sz w:val="32"/>
          <w:szCs w:val="32"/>
        </w:rPr>
        <w:t>第四部分名词解释</w:t>
      </w:r>
    </w:p>
    <w:p w:rsidR="00091282" w:rsidRDefault="00091282">
      <w:pPr>
        <w:autoSpaceDE w:val="0"/>
        <w:autoSpaceDN w:val="0"/>
        <w:adjustRightInd w:val="0"/>
        <w:spacing w:line="540" w:lineRule="exact"/>
        <w:jc w:val="center"/>
        <w:rPr>
          <w:rFonts w:ascii="Times New Roman" w:eastAsia="黑体" w:hAnsi="Times New Roman" w:cs="Times New Roman"/>
          <w:b/>
          <w:bCs/>
          <w:sz w:val="44"/>
          <w:szCs w:val="44"/>
          <w:u w:val="single"/>
        </w:rPr>
      </w:pPr>
    </w:p>
    <w:p w:rsidR="00091282" w:rsidRDefault="00091282">
      <w:pPr>
        <w:autoSpaceDE w:val="0"/>
        <w:autoSpaceDN w:val="0"/>
        <w:adjustRightInd w:val="0"/>
        <w:spacing w:line="540" w:lineRule="exact"/>
        <w:jc w:val="center"/>
        <w:rPr>
          <w:rFonts w:ascii="Times New Roman" w:eastAsia="黑体" w:hAnsi="Times New Roman" w:cs="Times New Roman"/>
          <w:b/>
          <w:bCs/>
          <w:sz w:val="44"/>
          <w:szCs w:val="44"/>
          <w:u w:val="single"/>
        </w:rPr>
      </w:pPr>
    </w:p>
    <w:p w:rsidR="00091282" w:rsidRDefault="00091282">
      <w:pPr>
        <w:autoSpaceDE w:val="0"/>
        <w:autoSpaceDN w:val="0"/>
        <w:adjustRightInd w:val="0"/>
        <w:spacing w:line="540" w:lineRule="exact"/>
        <w:jc w:val="center"/>
        <w:rPr>
          <w:rFonts w:ascii="Times New Roman" w:eastAsia="黑体" w:hAnsi="Times New Roman" w:cs="Times New Roman"/>
          <w:b/>
          <w:bCs/>
          <w:sz w:val="44"/>
          <w:szCs w:val="44"/>
          <w:u w:val="single"/>
        </w:rPr>
      </w:pPr>
    </w:p>
    <w:p w:rsidR="00091282" w:rsidRDefault="00091282">
      <w:pPr>
        <w:autoSpaceDE w:val="0"/>
        <w:autoSpaceDN w:val="0"/>
        <w:adjustRightInd w:val="0"/>
        <w:spacing w:line="540" w:lineRule="exact"/>
        <w:jc w:val="center"/>
        <w:rPr>
          <w:rFonts w:ascii="Times New Roman" w:eastAsia="黑体" w:hAnsi="Times New Roman" w:cs="Times New Roman"/>
          <w:sz w:val="32"/>
          <w:szCs w:val="32"/>
        </w:rPr>
      </w:pPr>
    </w:p>
    <w:p w:rsidR="00091282" w:rsidRDefault="002B2DBA">
      <w:pPr>
        <w:autoSpaceDE w:val="0"/>
        <w:autoSpaceDN w:val="0"/>
        <w:adjustRightInd w:val="0"/>
        <w:spacing w:line="540" w:lineRule="exact"/>
        <w:ind w:firstLineChars="600" w:firstLine="2168"/>
        <w:rPr>
          <w:rFonts w:ascii="Times New Roman" w:eastAsia="宋体" w:hAnsi="Times New Roman" w:cs="Times New Roman"/>
          <w:b/>
          <w:bCs/>
          <w:sz w:val="36"/>
          <w:szCs w:val="36"/>
        </w:rPr>
      </w:pPr>
      <w:r>
        <w:rPr>
          <w:rFonts w:ascii="宋体" w:eastAsia="宋体" w:hAnsi="Times New Roman" w:cs="宋体" w:hint="eastAsia"/>
          <w:b/>
          <w:bCs/>
          <w:sz w:val="36"/>
          <w:szCs w:val="36"/>
        </w:rPr>
        <w:t>第一部分</w:t>
      </w:r>
      <w:r>
        <w:rPr>
          <w:rFonts w:ascii="宋体" w:eastAsia="宋体" w:hAnsi="Times New Roman" w:cs="宋体" w:hint="eastAsia"/>
          <w:b/>
          <w:bCs/>
          <w:sz w:val="36"/>
          <w:szCs w:val="36"/>
        </w:rPr>
        <w:t>油田办</w:t>
      </w:r>
      <w:r>
        <w:rPr>
          <w:rFonts w:ascii="楷体_GB2312" w:eastAsia="楷体_GB2312" w:hAnsi="Times New Roman" w:cs="楷体_GB2312" w:hint="eastAsia"/>
          <w:b/>
          <w:bCs/>
          <w:sz w:val="36"/>
          <w:szCs w:val="36"/>
        </w:rPr>
        <w:t>部门</w:t>
      </w:r>
      <w:r>
        <w:rPr>
          <w:rFonts w:ascii="宋体" w:eastAsia="宋体" w:hAnsi="Times New Roman" w:cs="宋体" w:hint="eastAsia"/>
          <w:b/>
          <w:bCs/>
          <w:sz w:val="36"/>
          <w:szCs w:val="36"/>
        </w:rPr>
        <w:t>概况</w:t>
      </w:r>
    </w:p>
    <w:p w:rsidR="00091282" w:rsidRDefault="00091282">
      <w:pPr>
        <w:autoSpaceDE w:val="0"/>
        <w:autoSpaceDN w:val="0"/>
        <w:adjustRightInd w:val="0"/>
        <w:spacing w:line="540" w:lineRule="exact"/>
        <w:ind w:firstLine="640"/>
        <w:jc w:val="left"/>
        <w:rPr>
          <w:rFonts w:ascii="Times New Roman" w:eastAsia="宋体" w:hAnsi="Times New Roman" w:cs="Times New Roman"/>
          <w:sz w:val="32"/>
          <w:szCs w:val="32"/>
        </w:rPr>
      </w:pPr>
    </w:p>
    <w:p w:rsidR="00091282" w:rsidRDefault="002B2DBA">
      <w:pPr>
        <w:numPr>
          <w:ilvl w:val="0"/>
          <w:numId w:val="1"/>
        </w:numPr>
        <w:autoSpaceDE w:val="0"/>
        <w:autoSpaceDN w:val="0"/>
        <w:adjustRightInd w:val="0"/>
        <w:spacing w:line="540" w:lineRule="exact"/>
        <w:ind w:firstLine="640"/>
        <w:jc w:val="left"/>
        <w:rPr>
          <w:rFonts w:ascii="黑体" w:eastAsia="黑体" w:hAnsi="Times New Roman" w:cs="黑体"/>
          <w:sz w:val="32"/>
          <w:szCs w:val="32"/>
        </w:rPr>
      </w:pPr>
      <w:r>
        <w:rPr>
          <w:rFonts w:ascii="黑体" w:eastAsia="黑体" w:hAnsi="Times New Roman" w:cs="黑体" w:hint="eastAsia"/>
          <w:sz w:val="32"/>
          <w:szCs w:val="32"/>
        </w:rPr>
        <w:t>主要职责</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1</w:t>
      </w:r>
      <w:r>
        <w:rPr>
          <w:rFonts w:ascii="楷体" w:eastAsia="楷体" w:hAnsi="楷体" w:cs="楷体" w:hint="eastAsia"/>
          <w:sz w:val="32"/>
          <w:szCs w:val="32"/>
        </w:rPr>
        <w:t>、研究制定并组织实施油地融合共同发展区域经济的中长期规划和年度计划及相关政策；负责组织召开油地经济融合、城市共建及社会发展等方面的专门会议，多渠道、多形式、全方位的探索和实践油地经济融合的有效途径；负责油地信息与反馈。</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2</w:t>
      </w:r>
      <w:r>
        <w:rPr>
          <w:rFonts w:ascii="楷体" w:eastAsia="楷体" w:hAnsi="楷体" w:cs="楷体" w:hint="eastAsia"/>
          <w:sz w:val="32"/>
          <w:szCs w:val="32"/>
        </w:rPr>
        <w:t>、负责油地勘探开发的协调服务工作，依照有关法律、法规，组织相关部门及各亍镇贯彻油田勘探开发政策，协调油田在我区境内从事物探、钻井、采油、采气、修路等开展建设中临时占地、永久性占地、资源占用及补偿协调等有关事宜。</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3</w:t>
      </w:r>
      <w:r>
        <w:rPr>
          <w:rFonts w:ascii="楷体" w:eastAsia="楷体" w:hAnsi="楷体" w:cs="楷体" w:hint="eastAsia"/>
          <w:sz w:val="32"/>
          <w:szCs w:val="32"/>
        </w:rPr>
        <w:t>、负责油地在经济融合、城市共建和社会发展方面的具体协调和服务工作；负责我区与油田的各项经济合作、人才交流、信息传递、资源开发利用等方面的协调工作。</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4</w:t>
      </w:r>
      <w:r>
        <w:rPr>
          <w:rFonts w:ascii="楷体" w:eastAsia="楷体" w:hAnsi="楷体" w:cs="楷体" w:hint="eastAsia"/>
          <w:sz w:val="32"/>
          <w:szCs w:val="32"/>
        </w:rPr>
        <w:t>、研究制定油地联合开发方案，组织协调我区在水利、防汛及工程等共同受益的有关公共设施建设项目的联合开发工作。</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5</w:t>
      </w:r>
      <w:r>
        <w:rPr>
          <w:rFonts w:ascii="楷体" w:eastAsia="楷体" w:hAnsi="楷体" w:cs="楷体" w:hint="eastAsia"/>
          <w:sz w:val="32"/>
          <w:szCs w:val="32"/>
        </w:rPr>
        <w:t>、协助地方企业办理油田市场准入手续，</w:t>
      </w:r>
      <w:r>
        <w:rPr>
          <w:rFonts w:ascii="楷体" w:eastAsia="楷体" w:hAnsi="楷体" w:cs="楷体" w:hint="eastAsia"/>
          <w:sz w:val="32"/>
          <w:szCs w:val="32"/>
        </w:rPr>
        <w:t>推动地方产品进入油田市场工作。</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6</w:t>
      </w:r>
      <w:r>
        <w:rPr>
          <w:rFonts w:ascii="楷体" w:eastAsia="楷体" w:hAnsi="楷体" w:cs="楷体" w:hint="eastAsia"/>
          <w:sz w:val="32"/>
          <w:szCs w:val="32"/>
        </w:rPr>
        <w:t>、负责协调有关部门和各镇开展矿区秩序的综合治理工作。</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7</w:t>
      </w:r>
      <w:r>
        <w:rPr>
          <w:rFonts w:ascii="楷体" w:eastAsia="楷体" w:hAnsi="楷体" w:cs="楷体" w:hint="eastAsia"/>
          <w:sz w:val="32"/>
          <w:szCs w:val="32"/>
        </w:rPr>
        <w:t>、负责协调有关部门和各亍镇对油田的行政执法工作，</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8</w:t>
      </w:r>
      <w:r>
        <w:rPr>
          <w:rFonts w:ascii="楷体" w:eastAsia="楷体" w:hAnsi="楷体" w:cs="楷体" w:hint="eastAsia"/>
          <w:sz w:val="32"/>
          <w:szCs w:val="32"/>
        </w:rPr>
        <w:t>、指导、监督有关部门和亍镇的油地协调工作。</w:t>
      </w:r>
    </w:p>
    <w:p w:rsidR="00091282" w:rsidRDefault="002B2DBA">
      <w:pPr>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9</w:t>
      </w:r>
      <w:r>
        <w:rPr>
          <w:rFonts w:ascii="楷体" w:eastAsia="楷体" w:hAnsi="楷体" w:cs="楷体" w:hint="eastAsia"/>
          <w:sz w:val="32"/>
          <w:szCs w:val="32"/>
        </w:rPr>
        <w:t>、负责双台子区涉油方面的协调股务工作。</w:t>
      </w:r>
    </w:p>
    <w:p w:rsidR="00091282" w:rsidRDefault="002B2DBA">
      <w:pPr>
        <w:widowControl/>
        <w:spacing w:line="520" w:lineRule="exact"/>
        <w:ind w:firstLine="640"/>
        <w:jc w:val="left"/>
        <w:rPr>
          <w:rFonts w:ascii="楷体" w:eastAsia="楷体" w:hAnsi="楷体" w:cs="楷体"/>
          <w:sz w:val="32"/>
          <w:szCs w:val="32"/>
        </w:rPr>
      </w:pPr>
      <w:r>
        <w:rPr>
          <w:rFonts w:ascii="楷体" w:eastAsia="楷体" w:hAnsi="楷体" w:cs="楷体" w:hint="eastAsia"/>
          <w:sz w:val="32"/>
          <w:szCs w:val="32"/>
        </w:rPr>
        <w:t>10</w:t>
      </w:r>
      <w:r>
        <w:rPr>
          <w:rFonts w:ascii="楷体" w:eastAsia="楷体" w:hAnsi="楷体" w:cs="楷体" w:hint="eastAsia"/>
          <w:sz w:val="32"/>
          <w:szCs w:val="32"/>
        </w:rPr>
        <w:t>、承办区委、区政府交办的其他事项。</w:t>
      </w:r>
    </w:p>
    <w:p w:rsidR="00091282" w:rsidRDefault="00091282">
      <w:pPr>
        <w:autoSpaceDE w:val="0"/>
        <w:autoSpaceDN w:val="0"/>
        <w:adjustRightInd w:val="0"/>
        <w:spacing w:line="540" w:lineRule="exact"/>
        <w:jc w:val="left"/>
        <w:rPr>
          <w:rFonts w:ascii="黑体" w:eastAsia="黑体" w:hAnsi="Times New Roman" w:cs="黑体"/>
          <w:sz w:val="32"/>
          <w:szCs w:val="32"/>
        </w:rPr>
      </w:pPr>
    </w:p>
    <w:p w:rsidR="00091282" w:rsidRDefault="002B2DBA">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二、部门决算单位构成</w:t>
      </w:r>
    </w:p>
    <w:p w:rsidR="00091282" w:rsidRDefault="002B2DBA">
      <w:pPr>
        <w:autoSpaceDE w:val="0"/>
        <w:autoSpaceDN w:val="0"/>
        <w:adjustRightInd w:val="0"/>
        <w:spacing w:line="540" w:lineRule="exact"/>
        <w:ind w:firstLine="640"/>
        <w:jc w:val="left"/>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纳</w:t>
      </w:r>
      <w:r>
        <w:rPr>
          <w:rFonts w:ascii="仿宋_GB2312" w:eastAsia="仿宋_GB2312" w:hAnsi="Times New Roman" w:cs="仿宋_GB2312" w:hint="eastAsia"/>
          <w:b/>
          <w:bCs/>
          <w:sz w:val="32"/>
          <w:szCs w:val="32"/>
        </w:rPr>
        <w:t>xx</w:t>
      </w:r>
      <w:r>
        <w:rPr>
          <w:rFonts w:ascii="楷体_GB2312" w:eastAsia="楷体_GB2312" w:hAnsi="Times New Roman" w:cs="楷体_GB2312" w:hint="eastAsia"/>
          <w:b/>
          <w:bCs/>
          <w:sz w:val="36"/>
          <w:szCs w:val="36"/>
        </w:rPr>
        <w:t>部门</w:t>
      </w:r>
      <w:r>
        <w:rPr>
          <w:rFonts w:ascii="仿宋_GB2312" w:eastAsia="仿宋_GB2312" w:hAnsi="Times New Roman" w:cs="仿宋_GB2312"/>
          <w:b/>
          <w:bCs/>
          <w:sz w:val="32"/>
          <w:szCs w:val="32"/>
        </w:rPr>
        <w:t>2017</w:t>
      </w:r>
      <w:r>
        <w:rPr>
          <w:rFonts w:ascii="仿宋_GB2312" w:eastAsia="仿宋_GB2312" w:hAnsi="Times New Roman" w:cs="仿宋_GB2312" w:hint="eastAsia"/>
          <w:b/>
          <w:bCs/>
          <w:sz w:val="32"/>
          <w:szCs w:val="32"/>
        </w:rPr>
        <w:t>年部门决算编制范围的二级预算单位包括：</w:t>
      </w:r>
    </w:p>
    <w:p w:rsidR="00091282" w:rsidRDefault="00091282">
      <w:pPr>
        <w:autoSpaceDE w:val="0"/>
        <w:autoSpaceDN w:val="0"/>
        <w:adjustRightInd w:val="0"/>
        <w:spacing w:line="540" w:lineRule="exact"/>
        <w:ind w:firstLine="640"/>
        <w:jc w:val="left"/>
        <w:rPr>
          <w:rFonts w:ascii="Times New Roman" w:eastAsia="仿宋_GB2312" w:hAnsi="Times New Roman" w:cs="Times New Roman"/>
          <w:sz w:val="32"/>
          <w:szCs w:val="32"/>
        </w:rPr>
      </w:pPr>
    </w:p>
    <w:p w:rsidR="00091282" w:rsidRDefault="002B2DBA">
      <w:pPr>
        <w:autoSpaceDE w:val="0"/>
        <w:autoSpaceDN w:val="0"/>
        <w:adjustRightInd w:val="0"/>
        <w:spacing w:line="540" w:lineRule="exact"/>
        <w:jc w:val="center"/>
        <w:rPr>
          <w:rFonts w:ascii="Times New Roman" w:eastAsia="宋体" w:hAnsi="Times New Roman" w:cs="Times New Roman"/>
          <w:sz w:val="32"/>
          <w:szCs w:val="32"/>
        </w:rPr>
      </w:pPr>
      <w:r>
        <w:rPr>
          <w:rFonts w:ascii="宋体" w:eastAsia="宋体" w:hAnsi="Times New Roman" w:cs="宋体" w:hint="eastAsia"/>
          <w:b/>
          <w:bCs/>
          <w:sz w:val="36"/>
          <w:szCs w:val="36"/>
        </w:rPr>
        <w:t>第二部分</w:t>
      </w:r>
      <w:r>
        <w:rPr>
          <w:rFonts w:ascii="宋体" w:eastAsia="宋体" w:hAnsi="Times New Roman" w:cs="宋体" w:hint="eastAsia"/>
          <w:b/>
          <w:bCs/>
          <w:sz w:val="36"/>
          <w:szCs w:val="36"/>
        </w:rPr>
        <w:t>油田办</w:t>
      </w:r>
      <w:r>
        <w:rPr>
          <w:rFonts w:ascii="楷体_GB2312" w:eastAsia="楷体_GB2312" w:hAnsi="Times New Roman" w:cs="楷体_GB2312" w:hint="eastAsia"/>
          <w:b/>
          <w:b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年度部门决算公开报表</w:t>
      </w:r>
    </w:p>
    <w:p w:rsidR="00091282" w:rsidRDefault="00091282">
      <w:pPr>
        <w:autoSpaceDE w:val="0"/>
        <w:autoSpaceDN w:val="0"/>
        <w:adjustRightInd w:val="0"/>
        <w:spacing w:line="540" w:lineRule="exact"/>
        <w:jc w:val="center"/>
        <w:rPr>
          <w:rFonts w:ascii="Times New Roman" w:eastAsia="宋体" w:hAnsi="Times New Roman" w:cs="Times New Roman"/>
          <w:b/>
          <w:bCs/>
          <w:sz w:val="32"/>
          <w:szCs w:val="32"/>
        </w:rPr>
      </w:pPr>
    </w:p>
    <w:p w:rsidR="00091282" w:rsidRDefault="00091282">
      <w:pPr>
        <w:autoSpaceDE w:val="0"/>
        <w:autoSpaceDN w:val="0"/>
        <w:adjustRightInd w:val="0"/>
        <w:spacing w:line="540" w:lineRule="exact"/>
        <w:jc w:val="center"/>
        <w:rPr>
          <w:rFonts w:ascii="Times New Roman" w:eastAsia="宋体" w:hAnsi="Times New Roman" w:cs="Times New Roman"/>
          <w:sz w:val="36"/>
          <w:szCs w:val="36"/>
        </w:rPr>
      </w:pPr>
    </w:p>
    <w:p w:rsidR="00091282" w:rsidRDefault="002B2DBA">
      <w:pPr>
        <w:autoSpaceDE w:val="0"/>
        <w:autoSpaceDN w:val="0"/>
        <w:adjustRightInd w:val="0"/>
        <w:spacing w:line="540" w:lineRule="exact"/>
        <w:jc w:val="center"/>
        <w:rPr>
          <w:rFonts w:ascii="Times New Roman" w:eastAsia="宋体" w:hAnsi="Times New Roman" w:cs="Times New Roman"/>
          <w:b/>
          <w:bCs/>
          <w:sz w:val="36"/>
          <w:szCs w:val="36"/>
        </w:rPr>
      </w:pPr>
      <w:r>
        <w:rPr>
          <w:rFonts w:ascii="宋体" w:eastAsia="宋体" w:hAnsi="Times New Roman" w:cs="宋体" w:hint="eastAsia"/>
          <w:b/>
          <w:bCs/>
          <w:sz w:val="36"/>
          <w:szCs w:val="36"/>
        </w:rPr>
        <w:t>第三部分</w:t>
      </w:r>
      <w:r>
        <w:rPr>
          <w:rFonts w:ascii="宋体" w:eastAsia="宋体" w:hAnsi="Times New Roman" w:cs="宋体" w:hint="eastAsia"/>
          <w:b/>
          <w:bCs/>
          <w:sz w:val="36"/>
          <w:szCs w:val="36"/>
        </w:rPr>
        <w:t>油田办</w:t>
      </w:r>
      <w:r>
        <w:rPr>
          <w:rFonts w:ascii="楷体_GB2312" w:eastAsia="楷体_GB2312" w:hAnsi="Times New Roman" w:cs="楷体_GB2312" w:hint="eastAsia"/>
          <w:b/>
          <w:bCs/>
          <w:sz w:val="36"/>
          <w:szCs w:val="36"/>
        </w:rPr>
        <w:t>部门</w:t>
      </w:r>
      <w:r>
        <w:rPr>
          <w:rFonts w:ascii="宋体" w:eastAsia="宋体" w:hAnsi="Times New Roman" w:cs="宋体"/>
          <w:b/>
          <w:bCs/>
          <w:sz w:val="36"/>
          <w:szCs w:val="36"/>
        </w:rPr>
        <w:t>2017</w:t>
      </w:r>
      <w:r>
        <w:rPr>
          <w:rFonts w:ascii="宋体" w:eastAsia="宋体" w:hAnsi="Times New Roman" w:cs="宋体" w:hint="eastAsia"/>
          <w:b/>
          <w:bCs/>
          <w:sz w:val="36"/>
          <w:szCs w:val="36"/>
        </w:rPr>
        <w:t>年度部门决算情况说明</w:t>
      </w:r>
    </w:p>
    <w:p w:rsidR="00091282" w:rsidRDefault="00091282">
      <w:pPr>
        <w:autoSpaceDE w:val="0"/>
        <w:autoSpaceDN w:val="0"/>
        <w:adjustRightInd w:val="0"/>
        <w:spacing w:line="540" w:lineRule="exact"/>
        <w:rPr>
          <w:rFonts w:ascii="Times New Roman" w:eastAsia="宋体" w:hAnsi="Times New Roman" w:cs="Times New Roman"/>
          <w:b/>
          <w:bCs/>
          <w:sz w:val="36"/>
          <w:szCs w:val="36"/>
        </w:rPr>
      </w:pPr>
    </w:p>
    <w:p w:rsidR="00091282" w:rsidRDefault="002B2DBA">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cs="黑体" w:hint="eastAsia"/>
          <w:sz w:val="32"/>
          <w:szCs w:val="32"/>
        </w:rPr>
        <w:t>一、收入支出决算总体情况</w:t>
      </w:r>
    </w:p>
    <w:p w:rsidR="00091282" w:rsidRDefault="002B2DBA">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（一）收入总计万元，包括：</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Pr>
          <w:rFonts w:ascii="宋体" w:hAnsi="宋体" w:cs="宋体" w:hint="eastAsia"/>
          <w:color w:val="000000"/>
          <w:kern w:val="0"/>
          <w:sz w:val="32"/>
          <w:szCs w:val="32"/>
        </w:rPr>
        <w:t>122.35</w:t>
      </w:r>
      <w:r>
        <w:rPr>
          <w:rFonts w:ascii="仿宋_GB2312" w:eastAsia="仿宋_GB2312" w:hAnsi="Times New Roman" w:cs="仿宋_GB2312" w:hint="eastAsia"/>
          <w:sz w:val="32"/>
          <w:szCs w:val="32"/>
        </w:rPr>
        <w:t>万元，其中：一般公共预算财政拨款收入</w:t>
      </w:r>
      <w:r>
        <w:rPr>
          <w:rFonts w:ascii="仿宋_GB2312" w:eastAsia="仿宋_GB2312" w:hAnsi="Times New Roman" w:cs="仿宋_GB2312" w:hint="eastAsia"/>
          <w:sz w:val="32"/>
          <w:szCs w:val="32"/>
        </w:rPr>
        <w:t>122.35</w:t>
      </w:r>
      <w:r>
        <w:rPr>
          <w:rFonts w:ascii="仿宋_GB2312" w:eastAsia="仿宋_GB2312" w:hAnsi="Times New Roman" w:cs="仿宋_GB2312" w:hint="eastAsia"/>
          <w:sz w:val="32"/>
          <w:szCs w:val="32"/>
        </w:rPr>
        <w:t>万元，政府性基金预算财政拨款收入万元。</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用事业基金弥补收支差额万元，主要是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091282" w:rsidRDefault="002B2DBA">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（二）支出总计万元，包括：</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基本支出</w:t>
      </w:r>
      <w:r>
        <w:rPr>
          <w:rFonts w:ascii="宋体" w:hAnsi="宋体" w:cs="宋体" w:hint="eastAsia"/>
          <w:color w:val="000000"/>
          <w:kern w:val="0"/>
          <w:sz w:val="32"/>
          <w:szCs w:val="32"/>
        </w:rPr>
        <w:t>122.35</w:t>
      </w:r>
      <w:r>
        <w:rPr>
          <w:rFonts w:ascii="仿宋_GB2312" w:eastAsia="仿宋_GB2312" w:hAnsi="Times New Roman" w:cs="仿宋_GB2312" w:hint="eastAsia"/>
          <w:sz w:val="32"/>
          <w:szCs w:val="32"/>
        </w:rPr>
        <w:t>万元，主要是为保障机构正常运转、</w:t>
      </w:r>
      <w:r>
        <w:rPr>
          <w:rFonts w:ascii="仿宋_GB2312" w:eastAsia="仿宋_GB2312" w:hAnsi="Times New Roman" w:cs="仿宋_GB2312" w:hint="eastAsia"/>
          <w:sz w:val="32"/>
          <w:szCs w:val="32"/>
        </w:rPr>
        <w:lastRenderedPageBreak/>
        <w:t>完成日常工作任务而发生的各项支出，其中：工资福利支出</w:t>
      </w:r>
      <w:r>
        <w:rPr>
          <w:rFonts w:ascii="宋体" w:hAnsi="宋体" w:cs="宋体" w:hint="eastAsia"/>
          <w:color w:val="000000"/>
          <w:kern w:val="0"/>
          <w:sz w:val="32"/>
          <w:szCs w:val="32"/>
        </w:rPr>
        <w:t>100.3</w:t>
      </w:r>
      <w:r>
        <w:rPr>
          <w:rFonts w:ascii="宋体" w:hAnsi="宋体" w:cs="宋体" w:hint="eastAsia"/>
          <w:color w:val="000000"/>
          <w:kern w:val="0"/>
          <w:sz w:val="32"/>
          <w:szCs w:val="32"/>
        </w:rPr>
        <w:t>2</w:t>
      </w:r>
      <w:r>
        <w:rPr>
          <w:rFonts w:ascii="仿宋_GB2312" w:eastAsia="仿宋_GB2312" w:hAnsi="Times New Roman" w:cs="仿宋_GB2312" w:hint="eastAsia"/>
          <w:sz w:val="32"/>
          <w:szCs w:val="32"/>
        </w:rPr>
        <w:t>万元，对个人和家庭的补助支出</w:t>
      </w:r>
      <w:r>
        <w:rPr>
          <w:rFonts w:ascii="宋体" w:hAnsi="宋体" w:cs="宋体" w:hint="eastAsia"/>
          <w:color w:val="000000"/>
          <w:kern w:val="0"/>
          <w:sz w:val="32"/>
          <w:szCs w:val="32"/>
        </w:rPr>
        <w:t>11.07</w:t>
      </w:r>
      <w:r>
        <w:rPr>
          <w:rFonts w:ascii="仿宋_GB2312" w:eastAsia="仿宋_GB2312" w:hAnsi="Times New Roman" w:cs="仿宋_GB2312" w:hint="eastAsia"/>
          <w:sz w:val="32"/>
          <w:szCs w:val="32"/>
        </w:rPr>
        <w:t>万元，商品和服务支出</w:t>
      </w:r>
      <w:r>
        <w:rPr>
          <w:rFonts w:ascii="宋体" w:hAnsi="宋体" w:cs="宋体" w:hint="eastAsia"/>
          <w:color w:val="000000"/>
          <w:kern w:val="0"/>
          <w:sz w:val="32"/>
          <w:szCs w:val="32"/>
        </w:rPr>
        <w:t>10.96</w:t>
      </w:r>
      <w:r>
        <w:rPr>
          <w:rFonts w:ascii="仿宋_GB2312" w:eastAsia="仿宋_GB2312" w:hAnsi="Times New Roman" w:cs="仿宋_GB2312" w:hint="eastAsia"/>
          <w:sz w:val="32"/>
          <w:szCs w:val="32"/>
        </w:rPr>
        <w:t>万元。</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091282" w:rsidRDefault="002B2DBA">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（三）年末结转和结余万元</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091282" w:rsidRDefault="002B2DBA">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二、财政拨款支出决算情况</w:t>
      </w:r>
    </w:p>
    <w:p w:rsidR="00091282" w:rsidRDefault="002B2DBA">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财政拨款支出决算反映</w:t>
      </w:r>
      <w:r>
        <w:rPr>
          <w:rFonts w:ascii="仿宋_GB2312" w:eastAsia="仿宋_GB2312" w:hAnsi="Times New Roman" w:cs="仿宋_GB2312" w:hint="eastAsia"/>
          <w:sz w:val="32"/>
          <w:szCs w:val="32"/>
        </w:rPr>
        <w:t>油田办</w:t>
      </w:r>
      <w:r>
        <w:rPr>
          <w:rFonts w:ascii="楷体_GB2312" w:eastAsia="楷体_GB2312" w:hAnsi="Times New Roman" w:cs="楷体_GB2312" w:hint="eastAsia"/>
          <w:b/>
          <w:bCs/>
          <w:sz w:val="36"/>
          <w:szCs w:val="36"/>
        </w:rPr>
        <w:t>部门</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w:t>
      </w:r>
      <w:r>
        <w:rPr>
          <w:rFonts w:ascii="仿宋_GB2312" w:eastAsia="仿宋_GB2312" w:hAnsi="Times New Roman" w:cs="仿宋_GB2312" w:hint="eastAsia"/>
          <w:sz w:val="32"/>
          <w:szCs w:val="32"/>
        </w:rPr>
        <w:t>122.35</w:t>
      </w:r>
      <w:r>
        <w:rPr>
          <w:rFonts w:ascii="仿宋_GB2312" w:eastAsia="仿宋_GB2312" w:hAnsi="Times New Roman" w:cs="仿宋_GB2312" w:hint="eastAsia"/>
          <w:sz w:val="32"/>
          <w:szCs w:val="32"/>
        </w:rPr>
        <w:t>万元，其中：基本支出</w:t>
      </w:r>
      <w:r>
        <w:rPr>
          <w:rFonts w:ascii="仿宋_GB2312" w:eastAsia="仿宋_GB2312" w:hAnsi="Times New Roman" w:cs="仿宋_GB2312" w:hint="eastAsia"/>
          <w:sz w:val="32"/>
          <w:szCs w:val="32"/>
        </w:rPr>
        <w:t>122.35</w:t>
      </w:r>
      <w:r>
        <w:rPr>
          <w:rFonts w:ascii="仿宋_GB2312" w:eastAsia="仿宋_GB2312" w:hAnsi="Times New Roman" w:cs="仿宋_GB2312" w:hint="eastAsia"/>
          <w:sz w:val="32"/>
          <w:szCs w:val="32"/>
        </w:rPr>
        <w:t>万元，项目支出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091282" w:rsidRDefault="002B2DBA">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年度财政拨款支出万元，按支出功能分类科目分，包括一般公共服务支出</w:t>
      </w:r>
      <w:r w:rsidR="00A9632A" w:rsidRPr="00A9632A">
        <w:rPr>
          <w:rFonts w:ascii="仿宋_GB2312" w:eastAsia="仿宋_GB2312" w:hAnsi="Times New Roman" w:cs="仿宋_GB2312"/>
          <w:sz w:val="32"/>
          <w:szCs w:val="32"/>
        </w:rPr>
        <w:t>39.06</w:t>
      </w:r>
      <w:r>
        <w:rPr>
          <w:rFonts w:ascii="仿宋_GB2312" w:eastAsia="仿宋_GB2312" w:hAnsi="Times New Roman" w:cs="仿宋_GB2312" w:hint="eastAsia"/>
          <w:sz w:val="32"/>
          <w:szCs w:val="32"/>
        </w:rPr>
        <w:t>万元，</w:t>
      </w:r>
      <w:r w:rsidR="00A9632A" w:rsidRPr="00A9632A">
        <w:rPr>
          <w:rFonts w:ascii="仿宋_GB2312" w:eastAsia="仿宋_GB2312" w:hAnsi="Times New Roman" w:cs="仿宋_GB2312" w:hint="eastAsia"/>
          <w:sz w:val="32"/>
          <w:szCs w:val="32"/>
        </w:rPr>
        <w:t>住房改革支出</w:t>
      </w:r>
      <w:r w:rsidR="00A9632A" w:rsidRPr="00A9632A">
        <w:rPr>
          <w:rFonts w:ascii="仿宋_GB2312" w:eastAsia="仿宋_GB2312" w:hAnsi="Times New Roman" w:cs="仿宋_GB2312"/>
          <w:sz w:val="32"/>
          <w:szCs w:val="32"/>
        </w:rPr>
        <w:t>3.92</w:t>
      </w:r>
      <w:r>
        <w:rPr>
          <w:rFonts w:ascii="仿宋_GB2312" w:eastAsia="仿宋_GB2312" w:hAnsi="Times New Roman" w:cs="仿宋_GB2312" w:hint="eastAsia"/>
          <w:sz w:val="32"/>
          <w:szCs w:val="32"/>
        </w:rPr>
        <w:t>万元，社会保障和就业支出</w:t>
      </w:r>
      <w:r w:rsidR="00A9632A" w:rsidRPr="00A9632A">
        <w:rPr>
          <w:rFonts w:ascii="仿宋_GB2312" w:eastAsia="仿宋_GB2312" w:hAnsi="Times New Roman" w:cs="仿宋_GB2312"/>
          <w:sz w:val="32"/>
          <w:szCs w:val="32"/>
        </w:rPr>
        <w:t>2.56</w:t>
      </w:r>
      <w:r>
        <w:rPr>
          <w:rFonts w:ascii="仿宋_GB2312" w:eastAsia="仿宋_GB2312" w:hAnsi="Times New Roman" w:cs="仿宋_GB2312" w:hint="eastAsia"/>
          <w:sz w:val="32"/>
          <w:szCs w:val="32"/>
        </w:rPr>
        <w:t>万元，……。</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一般公共服务支出</w:t>
      </w:r>
      <w:r w:rsidR="00A9632A" w:rsidRPr="00A9632A">
        <w:rPr>
          <w:rFonts w:ascii="仿宋_GB2312" w:eastAsia="仿宋_GB2312" w:hAnsi="Times New Roman" w:cs="仿宋_GB2312"/>
          <w:sz w:val="32"/>
          <w:szCs w:val="32"/>
        </w:rPr>
        <w:t>39.06</w:t>
      </w:r>
      <w:r>
        <w:rPr>
          <w:rFonts w:ascii="仿宋_GB2312" w:eastAsia="仿宋_GB2312" w:hAnsi="Times New Roman" w:cs="仿宋_GB2312" w:hint="eastAsia"/>
          <w:sz w:val="32"/>
          <w:szCs w:val="32"/>
        </w:rPr>
        <w:t>万元，包括：</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）行政运行</w:t>
      </w:r>
      <w:r w:rsidR="00A9632A" w:rsidRPr="00A9632A">
        <w:rPr>
          <w:rFonts w:ascii="仿宋_GB2312" w:eastAsia="仿宋_GB2312" w:hAnsi="Times New Roman" w:cs="仿宋_GB2312"/>
          <w:sz w:val="32"/>
          <w:szCs w:val="32"/>
        </w:rPr>
        <w:t>39.06</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等支出。</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p>
    <w:p w:rsidR="00091282" w:rsidRDefault="002B2DBA">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sidR="00A9632A" w:rsidRPr="00A9632A">
        <w:rPr>
          <w:rFonts w:ascii="仿宋_GB2312" w:eastAsia="仿宋_GB2312" w:hAnsi="Times New Roman" w:cs="仿宋_GB2312" w:hint="eastAsia"/>
          <w:sz w:val="32"/>
          <w:szCs w:val="32"/>
        </w:rPr>
        <w:t xml:space="preserve"> </w:t>
      </w:r>
      <w:r w:rsidR="00A9632A">
        <w:rPr>
          <w:rFonts w:ascii="仿宋_GB2312" w:eastAsia="仿宋_GB2312" w:hAnsi="Times New Roman" w:cs="仿宋_GB2312" w:hint="eastAsia"/>
          <w:sz w:val="32"/>
          <w:szCs w:val="32"/>
        </w:rPr>
        <w:t>社会保障和就业支出</w:t>
      </w:r>
      <w:r w:rsidR="00A9632A" w:rsidRPr="00A9632A">
        <w:rPr>
          <w:rFonts w:ascii="仿宋_GB2312" w:eastAsia="仿宋_GB2312" w:hAnsi="Times New Roman" w:cs="仿宋_GB2312"/>
          <w:sz w:val="32"/>
          <w:szCs w:val="32"/>
        </w:rPr>
        <w:t>2.56</w:t>
      </w:r>
      <w:r w:rsidR="00A9632A">
        <w:rPr>
          <w:rFonts w:ascii="仿宋_GB2312" w:eastAsia="仿宋_GB2312" w:hAnsi="Times New Roman" w:cs="仿宋_GB2312" w:hint="eastAsia"/>
          <w:sz w:val="32"/>
          <w:szCs w:val="32"/>
        </w:rPr>
        <w:t>万元</w:t>
      </w:r>
      <w:r>
        <w:rPr>
          <w:rFonts w:ascii="仿宋_GB2312" w:eastAsia="仿宋_GB2312" w:hAnsi="Times New Roman" w:cs="仿宋_GB2312" w:hint="eastAsia"/>
          <w:sz w:val="32"/>
          <w:szCs w:val="32"/>
        </w:rPr>
        <w:t>，包括：</w:t>
      </w:r>
      <w:r w:rsidR="00A9632A">
        <w:rPr>
          <w:rFonts w:ascii="仿宋_GB2312" w:eastAsia="仿宋_GB2312" w:hAnsi="Times New Roman" w:cs="仿宋_GB2312" w:hint="eastAsia"/>
          <w:sz w:val="32"/>
          <w:szCs w:val="32"/>
        </w:rPr>
        <w:t>事业单位离退休支出。</w:t>
      </w:r>
    </w:p>
    <w:p w:rsidR="00A9632A" w:rsidRDefault="00A9632A">
      <w:pPr>
        <w:autoSpaceDE w:val="0"/>
        <w:autoSpaceDN w:val="0"/>
        <w:adjustRightInd w:val="0"/>
        <w:spacing w:line="540" w:lineRule="exact"/>
        <w:ind w:firstLine="660"/>
        <w:rPr>
          <w:rFonts w:ascii="仿宋_GB2312" w:eastAsia="仿宋_GB2312" w:hAnsi="Times New Roman" w:cs="仿宋_GB2312" w:hint="eastAsia"/>
          <w:sz w:val="32"/>
          <w:szCs w:val="32"/>
        </w:rPr>
      </w:pPr>
      <w:r>
        <w:rPr>
          <w:rFonts w:ascii="仿宋_GB2312" w:eastAsia="仿宋_GB2312" w:hAnsi="Times New Roman" w:cs="仿宋_GB2312" w:hint="eastAsia"/>
          <w:sz w:val="32"/>
          <w:szCs w:val="32"/>
        </w:rPr>
        <w:lastRenderedPageBreak/>
        <w:t>3.</w:t>
      </w:r>
      <w:r w:rsidRPr="00A9632A">
        <w:rPr>
          <w:rFonts w:ascii="仿宋_GB2312" w:eastAsia="仿宋_GB2312" w:hAnsi="Times New Roman" w:cs="仿宋_GB2312" w:hint="eastAsia"/>
          <w:sz w:val="32"/>
          <w:szCs w:val="32"/>
        </w:rPr>
        <w:t xml:space="preserve"> 住房改革支出</w:t>
      </w:r>
      <w:r w:rsidRPr="00A9632A">
        <w:rPr>
          <w:rFonts w:ascii="仿宋_GB2312" w:eastAsia="仿宋_GB2312" w:hAnsi="Times New Roman" w:cs="仿宋_GB2312"/>
          <w:sz w:val="32"/>
          <w:szCs w:val="32"/>
        </w:rPr>
        <w:t>3.92</w:t>
      </w:r>
      <w:r>
        <w:rPr>
          <w:rFonts w:ascii="仿宋_GB2312" w:eastAsia="仿宋_GB2312" w:hAnsi="Times New Roman" w:cs="仿宋_GB2312" w:hint="eastAsia"/>
          <w:sz w:val="32"/>
          <w:szCs w:val="32"/>
        </w:rPr>
        <w:t>万元，为住房公积金支出。</w:t>
      </w:r>
    </w:p>
    <w:p w:rsidR="00091282" w:rsidRDefault="002B2DBA">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cs="黑体"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cs="黑体" w:hint="eastAsia"/>
          <w:sz w:val="32"/>
          <w:szCs w:val="32"/>
        </w:rPr>
        <w:t>三公</w:t>
      </w:r>
      <w:r>
        <w:rPr>
          <w:rFonts w:ascii="Times New Roman" w:eastAsia="黑体" w:hAnsi="Times New Roman" w:cs="Times New Roman"/>
          <w:sz w:val="32"/>
          <w:szCs w:val="32"/>
        </w:rPr>
        <w:t>”</w:t>
      </w:r>
      <w:r>
        <w:rPr>
          <w:rFonts w:ascii="黑体" w:eastAsia="黑体" w:hAnsi="Times New Roman" w:cs="黑体" w:hint="eastAsia"/>
          <w:sz w:val="32"/>
          <w:szCs w:val="32"/>
        </w:rPr>
        <w:t>经费支出决算情况</w:t>
      </w:r>
    </w:p>
    <w:p w:rsidR="00091282" w:rsidRDefault="002B2DBA">
      <w:pPr>
        <w:autoSpaceDE w:val="0"/>
        <w:autoSpaceDN w:val="0"/>
        <w:adjustRightInd w:val="0"/>
        <w:spacing w:line="540" w:lineRule="exact"/>
        <w:ind w:leftChars="100" w:left="530" w:hangingChars="100" w:hanging="32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经费支出万元，其中：因公出国（境）费万元，公务接待费万元，公务用车购置及运行维护费万元。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年减少（增加）</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万元，下降（增长）</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w:t>
      </w:r>
    </w:p>
    <w:p w:rsidR="00091282" w:rsidRDefault="002B2DBA">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年参加出国（境）团组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091282" w:rsidRDefault="002B2DBA">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091282" w:rsidRDefault="002B2DBA">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公务用车购置及运行维护费万元，其中：公务用车购置费万元，公务用车运行维护费万元。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w:t>
      </w:r>
    </w:p>
    <w:p w:rsidR="00091282" w:rsidRDefault="002B2DBA">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cs="黑体" w:hint="eastAsia"/>
          <w:sz w:val="32"/>
          <w:szCs w:val="32"/>
        </w:rPr>
        <w:t>五、其他重要事项的情况说明</w:t>
      </w:r>
    </w:p>
    <w:p w:rsidR="00091282" w:rsidRDefault="002B2DBA">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091282" w:rsidRDefault="002B2DBA">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sz w:val="36"/>
          <w:szCs w:val="36"/>
        </w:rPr>
        <w:t>XX</w:t>
      </w:r>
      <w:r>
        <w:rPr>
          <w:rFonts w:ascii="楷体_GB2312" w:eastAsia="楷体_GB2312" w:hAnsi="Times New Roman" w:cs="楷体_GB2312" w:hint="eastAsia"/>
          <w:b/>
          <w:bCs/>
          <w:sz w:val="36"/>
          <w:szCs w:val="36"/>
        </w:rPr>
        <w:t>部门</w:t>
      </w:r>
      <w:r>
        <w:rPr>
          <w:rFonts w:ascii="仿宋_GB2312" w:eastAsia="仿宋_GB2312" w:hAnsi="Times New Roman" w:cs="仿宋_GB2312" w:hint="eastAsia"/>
          <w:sz w:val="32"/>
          <w:szCs w:val="32"/>
        </w:rPr>
        <w:t>机关运行经费支出</w:t>
      </w:r>
      <w:r w:rsidR="00390FB6">
        <w:rPr>
          <w:rFonts w:ascii="仿宋_GB2312" w:eastAsia="仿宋_GB2312" w:hAnsi="Times New Roman" w:cs="仿宋_GB2312" w:hint="eastAsia"/>
          <w:sz w:val="32"/>
          <w:szCs w:val="32"/>
        </w:rPr>
        <w:t>xx</w:t>
      </w:r>
      <w:r>
        <w:rPr>
          <w:rFonts w:ascii="仿宋_GB2312" w:eastAsia="仿宋_GB2312" w:hAnsi="Times New Roman" w:cs="仿宋_GB2312" w:hint="eastAsia"/>
          <w:sz w:val="32"/>
          <w:szCs w:val="32"/>
        </w:rPr>
        <w:t>万元，比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年增加（减少）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万元，增长（降低）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，主要原因是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091282" w:rsidRDefault="002B2DBA">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091282" w:rsidRDefault="002B2DBA">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楷体_GB2312" w:eastAsia="楷体_GB2312" w:hAnsi="Times New Roman" w:cs="楷体_GB2312"/>
          <w:b/>
          <w:bCs/>
          <w:sz w:val="36"/>
          <w:szCs w:val="36"/>
        </w:rPr>
        <w:t>XX</w:t>
      </w:r>
      <w:r>
        <w:rPr>
          <w:rFonts w:ascii="楷体_GB2312" w:eastAsia="楷体_GB2312" w:hAnsi="Times New Roman" w:cs="楷体_GB2312" w:hint="eastAsia"/>
          <w:b/>
          <w:bCs/>
          <w:sz w:val="36"/>
          <w:szCs w:val="36"/>
        </w:rPr>
        <w:t>部门</w:t>
      </w:r>
      <w:r>
        <w:rPr>
          <w:rFonts w:ascii="仿宋_GB2312" w:eastAsia="仿宋_GB2312" w:hAnsi="Times New Roman" w:cs="仿宋_GB2312" w:hint="eastAsia"/>
          <w:sz w:val="32"/>
          <w:szCs w:val="32"/>
        </w:rPr>
        <w:t>政府采购支出总额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091282" w:rsidRDefault="002B2DBA">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091282" w:rsidRDefault="002B2DBA">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31</w:t>
      </w:r>
      <w:r>
        <w:rPr>
          <w:rFonts w:ascii="仿宋_GB2312" w:eastAsia="仿宋_GB2312" w:hAnsi="Times New Roman" w:cs="仿宋_GB2312" w:hint="eastAsia"/>
          <w:sz w:val="32"/>
          <w:szCs w:val="32"/>
        </w:rPr>
        <w:t>日，</w:t>
      </w:r>
      <w:r>
        <w:rPr>
          <w:rFonts w:ascii="楷体_GB2312" w:eastAsia="楷体_GB2312" w:hAnsi="Times New Roman" w:cs="楷体_GB2312"/>
          <w:b/>
          <w:bCs/>
          <w:sz w:val="36"/>
          <w:szCs w:val="36"/>
        </w:rPr>
        <w:t>XX</w:t>
      </w:r>
      <w:r>
        <w:rPr>
          <w:rFonts w:ascii="楷体_GB2312" w:eastAsia="楷体_GB2312" w:hAnsi="Times New Roman" w:cs="楷体_GB2312" w:hint="eastAsia"/>
          <w:b/>
          <w:bCs/>
          <w:sz w:val="36"/>
          <w:szCs w:val="36"/>
        </w:rPr>
        <w:t>部门</w:t>
      </w:r>
      <w:r>
        <w:rPr>
          <w:rFonts w:ascii="仿宋_GB2312" w:eastAsia="仿宋_GB2312" w:hAnsi="Times New Roman" w:cs="仿宋_GB2312" w:hint="eastAsia"/>
          <w:sz w:val="32"/>
          <w:szCs w:val="32"/>
        </w:rPr>
        <w:t>共有车辆</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辆，其中：副省级以上领导干部用车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辆，其他用车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辆；单位价值万元以上大型设备</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台（套）。</w:t>
      </w:r>
    </w:p>
    <w:p w:rsidR="00091282" w:rsidRDefault="002B2DBA">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091282" w:rsidRDefault="002B2DBA">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091282" w:rsidRDefault="002B2DBA">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091282" w:rsidRDefault="002B2DBA">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cs="黑体" w:hint="eastAsia"/>
          <w:sz w:val="32"/>
          <w:szCs w:val="32"/>
        </w:rPr>
        <w:t>一是</w:t>
      </w:r>
      <w:r>
        <w:rPr>
          <w:rFonts w:ascii="仿宋_GB2312" w:eastAsia="仿宋_GB2312" w:hAnsi="Times New Roman" w:cs="仿宋_GB2312"/>
          <w:sz w:val="32"/>
          <w:szCs w:val="32"/>
        </w:rPr>
        <w:t>XX;</w:t>
      </w:r>
      <w:r>
        <w:rPr>
          <w:rFonts w:ascii="黑体" w:eastAsia="黑体" w:hAnsi="Times New Roman" w:cs="黑体" w:hint="eastAsia"/>
          <w:sz w:val="32"/>
          <w:szCs w:val="32"/>
        </w:rPr>
        <w:t>二是</w:t>
      </w:r>
      <w:r>
        <w:rPr>
          <w:rFonts w:ascii="仿宋_GB2312" w:eastAsia="仿宋_GB2312" w:hAnsi="Times New Roman" w:cs="仿宋_GB2312"/>
          <w:sz w:val="32"/>
          <w:szCs w:val="32"/>
        </w:rPr>
        <w:t>XX;</w:t>
      </w:r>
      <w:r>
        <w:rPr>
          <w:rFonts w:ascii="黑体" w:eastAsia="黑体" w:hAnsi="Times New Roman" w:cs="黑体" w:hint="eastAsia"/>
          <w:sz w:val="32"/>
          <w:szCs w:val="32"/>
        </w:rPr>
        <w:t>三是</w:t>
      </w:r>
      <w:r>
        <w:rPr>
          <w:rFonts w:ascii="仿宋_GB2312" w:eastAsia="仿宋_GB2312" w:hAnsi="Times New Roman" w:cs="仿宋_GB2312"/>
          <w:sz w:val="32"/>
          <w:szCs w:val="32"/>
        </w:rPr>
        <w:t>XX;</w:t>
      </w:r>
      <w:r>
        <w:rPr>
          <w:rFonts w:ascii="黑体" w:eastAsia="黑体" w:hAnsi="Times New Roman" w:cs="黑体" w:hint="eastAsia"/>
          <w:sz w:val="32"/>
          <w:szCs w:val="32"/>
        </w:rPr>
        <w:t>四是</w:t>
      </w:r>
      <w:r>
        <w:rPr>
          <w:rFonts w:ascii="仿宋_GB2312" w:eastAsia="仿宋_GB2312" w:hAnsi="Times New Roman" w:cs="仿宋_GB2312" w:hint="eastAsia"/>
          <w:sz w:val="32"/>
          <w:szCs w:val="32"/>
        </w:rPr>
        <w:t>……。</w:t>
      </w:r>
    </w:p>
    <w:p w:rsidR="00091282" w:rsidRDefault="00091282"/>
    <w:sectPr w:rsidR="00091282" w:rsidSect="00091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BA" w:rsidRDefault="002B2DBA" w:rsidP="00A9632A">
      <w:r>
        <w:separator/>
      </w:r>
    </w:p>
  </w:endnote>
  <w:endnote w:type="continuationSeparator" w:id="1">
    <w:p w:rsidR="002B2DBA" w:rsidRDefault="002B2DBA" w:rsidP="00A96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BA" w:rsidRDefault="002B2DBA" w:rsidP="00A9632A">
      <w:r>
        <w:separator/>
      </w:r>
    </w:p>
  </w:footnote>
  <w:footnote w:type="continuationSeparator" w:id="1">
    <w:p w:rsidR="002B2DBA" w:rsidRDefault="002B2DBA" w:rsidP="00A96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57E93C"/>
    <w:multiLevelType w:val="singleLevel"/>
    <w:tmpl w:val="AE57E93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B3"/>
    <w:rsid w:val="00091282"/>
    <w:rsid w:val="00104978"/>
    <w:rsid w:val="001B6E3C"/>
    <w:rsid w:val="00226A78"/>
    <w:rsid w:val="002833B3"/>
    <w:rsid w:val="002A3E4A"/>
    <w:rsid w:val="002A6FC8"/>
    <w:rsid w:val="002B2DBA"/>
    <w:rsid w:val="00390FB6"/>
    <w:rsid w:val="006C7F9A"/>
    <w:rsid w:val="007962FC"/>
    <w:rsid w:val="009E4B14"/>
    <w:rsid w:val="00A9632A"/>
    <w:rsid w:val="00AE67D1"/>
    <w:rsid w:val="5D2378DB"/>
    <w:rsid w:val="656735AD"/>
    <w:rsid w:val="77D94E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8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9128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912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91282"/>
    <w:rPr>
      <w:sz w:val="18"/>
      <w:szCs w:val="18"/>
    </w:rPr>
  </w:style>
  <w:style w:type="character" w:customStyle="1" w:styleId="Char">
    <w:name w:val="页脚 Char"/>
    <w:basedOn w:val="a0"/>
    <w:link w:val="a3"/>
    <w:uiPriority w:val="99"/>
    <w:semiHidden/>
    <w:qFormat/>
    <w:rsid w:val="0009128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2223</Characters>
  <Application>Microsoft Office Word</Application>
  <DocSecurity>0</DocSecurity>
  <Lines>18</Lines>
  <Paragraphs>5</Paragraphs>
  <ScaleCrop>false</ScaleCrop>
  <Company>微软中国</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微软用户</cp:lastModifiedBy>
  <cp:revision>9</cp:revision>
  <dcterms:created xsi:type="dcterms:W3CDTF">2018-08-13T02:09:00Z</dcterms:created>
  <dcterms:modified xsi:type="dcterms:W3CDTF">2019-01-30T00:42:00Z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