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  <w:t>双台子区机关事务服务中心2017年度部门决算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机关事务服务中心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机关事务服务中心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机关事务服务中心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机关事务服务中心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主要职责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负责机关干部就餐工作。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负责财务报账工作。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负责区政府交办的其他事项。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综合服务室工作职责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负责区内各种会议的服务、接待工作。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负责各个办公楼的电话、网络、通信、维护工作。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行政科工作职责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负责各个办公楼的治安、保卫、卫生、放火工作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负责各个办公楼水、电、供暖设备的维护和维修工作。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节能股工作职责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负责区本级公共节能减排工作。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办公室工作职责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负责各种会议的安排、通知和记录，并督促检查会议决议的贯彻执行情况。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负责全系统精神文明建设，思想宣传教育、体育宣传报道工作。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负责机关文电、机要、保密、档案、印章管理等工作；负责信访、政务公开等工作。</w:t>
      </w:r>
    </w:p>
    <w:p>
      <w:pPr>
        <w:ind w:firstLine="630"/>
        <w:rPr>
          <w:rFonts w:hint="eastAsia"/>
          <w:b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负责先进节能技术推广、信息报送、节能宣传和能源消耗数据统计管理工作。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40" w:lineRule="exact"/>
        <w:jc w:val="left"/>
        <w:rPr>
          <w:rFonts w:hint="eastAsia" w:ascii="黑体" w:hAnsi="Times New Roman" w:eastAsia="黑体" w:cs="黑体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ind w:firstLine="723" w:firstLineChars="200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纳入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机关事务服务中心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2017年部门决算编制范围的二级预算单位包括：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723" w:firstLineChars="200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机关事务服务中心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2017年度部门决算公开报表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723" w:firstLineChars="200"/>
        <w:jc w:val="left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机关事务服务中心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2017年度部门决算情况说明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（一）收入总计2353.97万元，包括：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hint="eastAsia" w:ascii="楷体_GB2312" w:hAnsi="宋体" w:eastAsia="楷体_GB2312"/>
          <w:b/>
          <w:sz w:val="32"/>
          <w:szCs w:val="32"/>
        </w:rPr>
        <w:t>2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,348.97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hint="eastAsia" w:ascii="楷体_GB2312" w:hAnsi="宋体" w:eastAsia="楷体_GB2312"/>
          <w:b/>
          <w:sz w:val="32"/>
          <w:szCs w:val="32"/>
        </w:rPr>
        <w:t>2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,348.97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万元，主要是项目支出结转和结余。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（二）支出总计2353.97万元，包括：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</w:t>
      </w:r>
      <w:r>
        <w:rPr>
          <w:rFonts w:hint="eastAsia" w:ascii="仿宋_GB2312" w:hAnsi="宋体" w:eastAsia="仿宋_GB2312"/>
          <w:sz w:val="32"/>
          <w:szCs w:val="32"/>
        </w:rPr>
        <w:t>2000.4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675.24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35.45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1289.71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353.57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维修等</w:t>
      </w:r>
      <w:r>
        <w:rPr>
          <w:rFonts w:hint="eastAsia" w:ascii="仿宋_GB2312" w:hAnsi="Times New Roman" w:eastAsia="仿宋_GB2312" w:cs="仿宋_GB2312"/>
          <w:sz w:val="32"/>
          <w:szCs w:val="32"/>
        </w:rPr>
        <w:t>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机关事务服务中心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,353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万元。基本支出</w:t>
      </w:r>
      <w:r>
        <w:rPr>
          <w:rFonts w:hint="eastAsia" w:ascii="仿宋_GB2312" w:hAnsi="宋体" w:eastAsia="仿宋_GB2312"/>
          <w:sz w:val="32"/>
          <w:szCs w:val="32"/>
        </w:rPr>
        <w:t>2000.4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万元，项目支出348.57万元。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,353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万元，按支出功能分类科目分，包括一般公共服务支出2331.93万元，住房保障支出22.03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一般公共服务支出2331.93万元，包括：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）行政运行1757.57万元。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）一般行政管理事务52.98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 其他政府办公厅（室）及相关机构事务支出521.38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2.住房保障支出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22.03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）住房改革支出22.03万元。</w:t>
      </w:r>
    </w:p>
    <w:p>
      <w:pPr>
        <w:spacing w:line="54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4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spacing w:line="54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2017年度一般公共预算财政拨款安排的“三公”经费支出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124.66</w:t>
      </w:r>
      <w:r>
        <w:rPr>
          <w:rFonts w:hint="eastAsia" w:ascii="仿宋_GB2312" w:hAnsi="宋体" w:eastAsia="仿宋_GB2312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万元，公务接待费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万元，公务用车购置及运行维护费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124.66</w:t>
      </w:r>
      <w:r>
        <w:rPr>
          <w:rFonts w:hint="eastAsia" w:ascii="仿宋_GB2312" w:hAnsi="宋体" w:eastAsia="仿宋_GB2312"/>
          <w:sz w:val="32"/>
          <w:szCs w:val="32"/>
        </w:rPr>
        <w:t>万元。2017年度“三公”经费支出比2016年增加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124.66</w:t>
      </w:r>
      <w:r>
        <w:rPr>
          <w:rFonts w:hint="eastAsia" w:ascii="仿宋_GB2312" w:hAnsi="宋体" w:eastAsia="仿宋_GB2312"/>
          <w:sz w:val="32"/>
          <w:szCs w:val="32"/>
        </w:rPr>
        <w:t>万元，主要是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车改车队合并到本单位</w:t>
      </w:r>
      <w:r>
        <w:rPr>
          <w:rFonts w:hint="eastAsia" w:ascii="仿宋_GB2312" w:hAnsi="宋体" w:eastAsia="仿宋_GB2312"/>
          <w:sz w:val="32"/>
          <w:szCs w:val="32"/>
        </w:rPr>
        <w:t>原因。</w:t>
      </w:r>
    </w:p>
    <w:p>
      <w:pPr>
        <w:spacing w:line="540" w:lineRule="exact"/>
        <w:ind w:firstLine="645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年度公共预算财政拨款安排的“三公”经费支出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：公款招待和出国无；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主要用于公务用车配置和运行维护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124.66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/>
          <w:sz w:val="32"/>
          <w:szCs w:val="32"/>
        </w:rPr>
        <w:t>，其中：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公务用车购置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59.83万元。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运行维护费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64.83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年机关运行经费支出</w:t>
      </w:r>
      <w:r>
        <w:rPr>
          <w:rFonts w:hint="eastAsia" w:ascii="仿宋_GB2312" w:hAnsi="宋体" w:eastAsia="仿宋_GB2312"/>
          <w:sz w:val="32"/>
          <w:szCs w:val="32"/>
        </w:rPr>
        <w:t>2000.4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年增加（减少）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万元，增长（降低）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机关事务服务中心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政府采购支出总额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89.4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89.4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万元，政府采购工程支出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万元。授予中小企业合同金额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，其中：授予小微企业合同金额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机关事务服务中心</w:t>
      </w:r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辆，其中：副省级以上领导干部用车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辆，一般执法执勤用车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辆，特种专业技术用车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辆，其他用车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辆；单位价值万元以上大型设备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autoSpaceDE w:val="0"/>
        <w:autoSpaceDN w:val="0"/>
        <w:adjustRightInd w:val="0"/>
        <w:ind w:firstLine="64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根据财政预算管理要求，我厅（委、局）组织对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年度预算项目支出全面开展绩效自评，共涉及预算支出项目</w:t>
      </w: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个，涉及资金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万元，自评覆盖率（开展绩效自评的项目数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年初批复绩效目标的项目数）达到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，自评平均分（开展绩效自评的项目分数总和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开展绩效自评的项目数）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分。</w:t>
      </w:r>
    </w:p>
    <w:p>
      <w:pPr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通过绩效自评发现预算项目管理主要存在以下问题：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……。下一步将采取以下措施加以改进：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</w:t>
      </w:r>
    </w:p>
    <w:p>
      <w:pPr>
        <w:rPr>
          <w:rFonts w:ascii="仿宋_GB2312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如果没有绩效项目请说明经选择没有列入重点绩效项目</w:t>
      </w:r>
    </w:p>
    <w:p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如有绩效项目请按模板填写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D018A"/>
    <w:multiLevelType w:val="singleLevel"/>
    <w:tmpl w:val="A28D01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120A4CA1"/>
    <w:rsid w:val="12676571"/>
    <w:rsid w:val="18D92AB4"/>
    <w:rsid w:val="1B98332C"/>
    <w:rsid w:val="40D36484"/>
    <w:rsid w:val="60725755"/>
    <w:rsid w:val="79657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0</TotalTime>
  <ScaleCrop>false</ScaleCrop>
  <LinksUpToDate>false</LinksUpToDate>
  <CharactersWithSpaces>2105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我是自作多情的二逼</cp:lastModifiedBy>
  <dcterms:modified xsi:type="dcterms:W3CDTF">2019-01-29T09:38:10Z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