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563B9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商业局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563B95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 w:hint="eastAsia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6F67E2" w:rsidRDefault="006F67E2" w:rsidP="006F67E2">
      <w:pPr>
        <w:rPr>
          <w:rFonts w:hint="eastAsia"/>
          <w:b/>
          <w:sz w:val="18"/>
          <w:szCs w:val="18"/>
        </w:rPr>
      </w:pPr>
      <w:r>
        <w:rPr>
          <w:rFonts w:hint="eastAsia"/>
          <w:bCs/>
          <w:sz w:val="32"/>
          <w:szCs w:val="32"/>
        </w:rPr>
        <w:t>一、工作职责包括以下几个部分：</w:t>
      </w:r>
    </w:p>
    <w:p w:rsidR="006F67E2" w:rsidRDefault="006F67E2" w:rsidP="006F67E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（一）、负责各种会议的安排、通知和记录，并督促检查会议决议的贯彻执行情况。</w:t>
      </w:r>
    </w:p>
    <w:p w:rsidR="006F67E2" w:rsidRDefault="006F67E2" w:rsidP="006F67E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（二）、负责全系统精神文明建设，思想宣传教育工作。</w:t>
      </w:r>
    </w:p>
    <w:p w:rsidR="006F67E2" w:rsidRDefault="006F67E2" w:rsidP="006F67E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（三）、负责机关文电、机要、保密、档案、印章管理等工作；负责信访、政务公开等工作。</w:t>
      </w:r>
    </w:p>
    <w:p w:rsidR="006F67E2" w:rsidRDefault="006F67E2" w:rsidP="006F67E2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（四）、负责消防、综合治理、劳动保险、离退休干部的管理工作</w:t>
      </w:r>
      <w:r>
        <w:rPr>
          <w:rFonts w:hint="eastAsia"/>
          <w:sz w:val="32"/>
          <w:szCs w:val="32"/>
        </w:rPr>
        <w:t>.</w:t>
      </w:r>
    </w:p>
    <w:p w:rsidR="006F67E2" w:rsidRDefault="006F67E2" w:rsidP="006F67E2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、负责处理全系统改制遗留问题。</w:t>
      </w:r>
    </w:p>
    <w:p w:rsidR="006F67E2" w:rsidRPr="006F67E2" w:rsidRDefault="006F67E2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6F67E2">
        <w:rPr>
          <w:rFonts w:ascii="宋体" w:hAnsi="宋体" w:hint="eastAsia"/>
          <w:sz w:val="32"/>
          <w:szCs w:val="32"/>
        </w:rPr>
        <w:t>38.75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6F67E2">
        <w:rPr>
          <w:rFonts w:ascii="宋体" w:hAnsi="宋体" w:hint="eastAsia"/>
          <w:sz w:val="32"/>
          <w:szCs w:val="32"/>
        </w:rPr>
        <w:t>35.14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6F67E2">
        <w:rPr>
          <w:rFonts w:ascii="宋体" w:hAnsi="宋体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6F67E2">
        <w:rPr>
          <w:rFonts w:ascii="宋体" w:hAnsi="宋体" w:hint="eastAsia"/>
          <w:sz w:val="32"/>
          <w:szCs w:val="32"/>
        </w:rPr>
        <w:t>74.88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万元，……。</w:t>
      </w:r>
    </w:p>
    <w:p w:rsidR="006F67E2" w:rsidRDefault="006F67E2" w:rsidP="006F67E2">
      <w:pPr>
        <w:spacing w:line="540" w:lineRule="exact"/>
        <w:ind w:firstLineChars="305" w:firstLine="976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包括一般公共服务支出45万元，社会保障和就业支出25.31万元，住房保障支出4.28万元。</w:t>
      </w:r>
    </w:p>
    <w:p w:rsidR="006F67E2" w:rsidRDefault="006F67E2" w:rsidP="006F67E2">
      <w:pPr>
        <w:numPr>
          <w:ilvl w:val="0"/>
          <w:numId w:val="1"/>
        </w:numPr>
        <w:spacing w:line="54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一般公共服务支出47.40万元</w:t>
      </w:r>
      <w:r>
        <w:rPr>
          <w:rFonts w:ascii="仿宋_GB2312" w:eastAsia="仿宋_GB2312" w:hAnsi="宋体" w:hint="eastAsia"/>
          <w:sz w:val="32"/>
          <w:szCs w:val="32"/>
        </w:rPr>
        <w:t>，包括：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工资福利支出38.75万元；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办公费0.72万元；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差旅费0.28万元；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抚恤金1.79万元；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采暖补贴3.33万元。</w:t>
      </w:r>
    </w:p>
    <w:p w:rsidR="006F67E2" w:rsidRDefault="006F67E2" w:rsidP="006F67E2">
      <w:pPr>
        <w:spacing w:line="5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其他对个人和家庭的补助支出0.13万</w:t>
      </w:r>
    </w:p>
    <w:p w:rsidR="006F67E2" w:rsidRDefault="006F67E2" w:rsidP="006F67E2">
      <w:pPr>
        <w:spacing w:line="540" w:lineRule="exact"/>
        <w:ind w:firstLine="6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2.社会保障和就业支出24.12万元，包括：</w:t>
      </w:r>
    </w:p>
    <w:p w:rsidR="006F67E2" w:rsidRDefault="006F67E2" w:rsidP="006F67E2">
      <w:pPr>
        <w:spacing w:line="540" w:lineRule="exact"/>
        <w:ind w:firstLineChars="300" w:firstLine="9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行政事业单位离退费25.31万元。</w:t>
      </w:r>
    </w:p>
    <w:p w:rsidR="006F67E2" w:rsidRDefault="006F67E2" w:rsidP="006F67E2">
      <w:pPr>
        <w:spacing w:line="540" w:lineRule="exact"/>
        <w:ind w:firstLine="66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 </w:t>
      </w:r>
      <w:r>
        <w:rPr>
          <w:rFonts w:ascii="宋体" w:hAnsi="宋体" w:hint="eastAsia"/>
          <w:sz w:val="32"/>
          <w:szCs w:val="32"/>
        </w:rPr>
        <w:t>住房保障支出4.58万元，</w:t>
      </w:r>
      <w:r>
        <w:rPr>
          <w:rFonts w:ascii="仿宋_GB2312" w:eastAsia="仿宋_GB2312" w:hAnsi="宋体" w:hint="eastAsia"/>
          <w:sz w:val="32"/>
          <w:szCs w:val="32"/>
        </w:rPr>
        <w:t>包括：</w:t>
      </w:r>
    </w:p>
    <w:p w:rsidR="006F67E2" w:rsidRDefault="006F67E2" w:rsidP="006F67E2">
      <w:pPr>
        <w:spacing w:line="540" w:lineRule="exact"/>
        <w:ind w:firstLineChars="305" w:firstLine="976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住房公积金4.58万元。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无公务招待费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年增加（减少）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万元，增长（降低）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6F67E2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6F67E2" w:rsidRDefault="009E4B14" w:rsidP="002833B3">
      <w:pPr>
        <w:rPr>
          <w:rFonts w:ascii="仿宋_GB2312" w:eastAsia="仿宋_GB2312" w:hAnsi="Times New Roman" w:cs="仿宋_GB2312"/>
          <w:sz w:val="32"/>
          <w:szCs w:val="32"/>
        </w:rPr>
      </w:pPr>
      <w:r w:rsidRPr="006F67E2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9E4B14" w:rsidRPr="00563B95" w:rsidRDefault="009E4B14" w:rsidP="002833B3"/>
    <w:sectPr w:rsidR="009E4B14" w:rsidRPr="00563B95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6E8" w:rsidRDefault="00A246E8" w:rsidP="009E4B14">
      <w:r>
        <w:separator/>
      </w:r>
    </w:p>
  </w:endnote>
  <w:endnote w:type="continuationSeparator" w:id="1">
    <w:p w:rsidR="00A246E8" w:rsidRDefault="00A246E8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6E8" w:rsidRDefault="00A246E8" w:rsidP="009E4B14">
      <w:r>
        <w:separator/>
      </w:r>
    </w:p>
  </w:footnote>
  <w:footnote w:type="continuationSeparator" w:id="1">
    <w:p w:rsidR="00A246E8" w:rsidRDefault="00A246E8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0003"/>
    <w:multiLevelType w:val="singleLevel"/>
    <w:tmpl w:val="5994000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B6E3C"/>
    <w:rsid w:val="00226A78"/>
    <w:rsid w:val="002833B3"/>
    <w:rsid w:val="002A3E4A"/>
    <w:rsid w:val="002A6FC8"/>
    <w:rsid w:val="00563B95"/>
    <w:rsid w:val="005E7AED"/>
    <w:rsid w:val="006C7F9A"/>
    <w:rsid w:val="006F67E2"/>
    <w:rsid w:val="007962FC"/>
    <w:rsid w:val="009E4B14"/>
    <w:rsid w:val="00A246E8"/>
    <w:rsid w:val="00AE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8</cp:revision>
  <dcterms:created xsi:type="dcterms:W3CDTF">2018-08-13T02:09:00Z</dcterms:created>
  <dcterms:modified xsi:type="dcterms:W3CDTF">2019-04-16T06:00:00Z</dcterms:modified>
</cp:coreProperties>
</file>