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5B" w:rsidRDefault="0063478A">
      <w:pPr>
        <w:widowControl/>
        <w:shd w:val="clear" w:color="auto" w:fill="FFFFFF"/>
        <w:jc w:val="left"/>
        <w:outlineLvl w:val="1"/>
        <w:rPr>
          <w:rFonts w:ascii="黑体" w:eastAsia="黑体" w:hAnsi="黑体" w:cs="宋体"/>
          <w:color w:val="333333"/>
          <w:spacing w:val="8"/>
          <w:kern w:val="0"/>
          <w:sz w:val="24"/>
          <w:szCs w:val="24"/>
        </w:rPr>
      </w:pPr>
      <w:r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附表</w:t>
      </w:r>
      <w:r>
        <w:rPr>
          <w:rFonts w:ascii="黑体" w:eastAsia="黑体" w:hAnsi="黑体" w:cs="宋体" w:hint="eastAsia"/>
          <w:color w:val="333333"/>
          <w:spacing w:val="8"/>
          <w:kern w:val="0"/>
          <w:sz w:val="24"/>
          <w:szCs w:val="24"/>
        </w:rPr>
        <w:t>1</w:t>
      </w:r>
    </w:p>
    <w:p w:rsidR="00EB405B" w:rsidRDefault="0063478A">
      <w:pPr>
        <w:widowControl/>
        <w:shd w:val="clear" w:color="auto" w:fill="FFFFFF"/>
        <w:jc w:val="center"/>
        <w:outlineLvl w:val="1"/>
        <w:rPr>
          <w:rFonts w:ascii="方正小标宋_GBK" w:eastAsia="方正小标宋_GBK" w:hAnsi="方正小标宋_GBK" w:cs="方正小标宋简体"/>
          <w:color w:val="333333"/>
          <w:spacing w:val="8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盘锦市</w:t>
      </w:r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兴隆台区</w:t>
      </w:r>
      <w:bookmarkStart w:id="0" w:name="_GoBack"/>
      <w:bookmarkEnd w:id="0"/>
      <w:r>
        <w:rPr>
          <w:rFonts w:ascii="方正小标宋_GBK" w:eastAsia="方正小标宋_GBK" w:hAnsi="方正小标宋_GBK" w:cs="方正小标宋简体" w:hint="eastAsia"/>
          <w:color w:val="333333"/>
          <w:spacing w:val="8"/>
          <w:kern w:val="0"/>
          <w:sz w:val="36"/>
          <w:szCs w:val="36"/>
        </w:rPr>
        <w:t>重点产业“卡脖子”关键技术（原材料、加工设备）征集表</w:t>
      </w:r>
    </w:p>
    <w:p w:rsidR="00EB405B" w:rsidRDefault="00EB405B">
      <w:pPr>
        <w:widowControl/>
        <w:jc w:val="left"/>
        <w:outlineLvl w:val="1"/>
        <w:rPr>
          <w:rFonts w:asciiTheme="minorEastAsia" w:hAnsiTheme="minorEastAsia" w:cs="黑体"/>
          <w:color w:val="333333"/>
          <w:spacing w:val="8"/>
          <w:kern w:val="0"/>
          <w:sz w:val="24"/>
          <w:szCs w:val="24"/>
        </w:rPr>
      </w:pPr>
    </w:p>
    <w:p w:rsidR="00EB405B" w:rsidRDefault="0063478A">
      <w:pPr>
        <w:widowControl/>
        <w:jc w:val="left"/>
        <w:outlineLvl w:val="1"/>
        <w:rPr>
          <w:rFonts w:asciiTheme="minorEastAsia" w:hAnsiTheme="minorEastAsia" w:cs="黑体"/>
          <w:color w:val="333333"/>
          <w:spacing w:val="8"/>
          <w:kern w:val="0"/>
          <w:sz w:val="24"/>
          <w:szCs w:val="24"/>
        </w:rPr>
      </w:pP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>填报单位：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 xml:space="preserve">               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黑体"/>
          <w:color w:val="333333"/>
          <w:spacing w:val="8"/>
          <w:kern w:val="0"/>
          <w:sz w:val="24"/>
          <w:szCs w:val="24"/>
        </w:rPr>
        <w:t xml:space="preserve">　　　　　　　　　　　　　　　　　　　　　　　　　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 xml:space="preserve">             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>年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>月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 xml:space="preserve">  </w:t>
      </w:r>
      <w:r>
        <w:rPr>
          <w:rFonts w:asciiTheme="minorEastAsia" w:hAnsiTheme="minorEastAsia" w:cs="黑体" w:hint="eastAsia"/>
          <w:color w:val="333333"/>
          <w:spacing w:val="8"/>
          <w:kern w:val="0"/>
          <w:sz w:val="24"/>
          <w:szCs w:val="24"/>
        </w:rPr>
        <w:t>日</w:t>
      </w:r>
    </w:p>
    <w:tbl>
      <w:tblPr>
        <w:tblStyle w:val="a6"/>
        <w:tblW w:w="13292" w:type="dxa"/>
        <w:tblLayout w:type="fixed"/>
        <w:tblLook w:val="04A0"/>
      </w:tblPr>
      <w:tblGrid>
        <w:gridCol w:w="534"/>
        <w:gridCol w:w="2268"/>
        <w:gridCol w:w="1275"/>
        <w:gridCol w:w="6663"/>
        <w:gridCol w:w="1560"/>
        <w:gridCol w:w="992"/>
      </w:tblGrid>
      <w:tr w:rsidR="00EB405B">
        <w:trPr>
          <w:trHeight w:val="1175"/>
        </w:trPr>
        <w:tc>
          <w:tcPr>
            <w:tcW w:w="534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关键技术名称</w:t>
            </w:r>
          </w:p>
        </w:tc>
        <w:tc>
          <w:tcPr>
            <w:tcW w:w="1275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所属产业门类</w:t>
            </w:r>
          </w:p>
        </w:tc>
        <w:tc>
          <w:tcPr>
            <w:tcW w:w="6663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“卡脖子”的突出问题（关键领域、核心技术、卡脖子之处）</w:t>
            </w:r>
          </w:p>
        </w:tc>
        <w:tc>
          <w:tcPr>
            <w:tcW w:w="1560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同领域国际国内先进技术水平</w:t>
            </w:r>
          </w:p>
        </w:tc>
        <w:tc>
          <w:tcPr>
            <w:tcW w:w="992" w:type="dxa"/>
            <w:vAlign w:val="center"/>
          </w:tcPr>
          <w:p w:rsidR="00EB405B" w:rsidRDefault="0063478A">
            <w:pPr>
              <w:widowControl/>
              <w:spacing w:after="210"/>
              <w:jc w:val="center"/>
              <w:outlineLvl w:val="1"/>
              <w:rPr>
                <w:rFonts w:ascii="黑体" w:eastAsia="黑体" w:hAnsi="黑体" w:cs="黑体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333333"/>
                <w:spacing w:val="8"/>
                <w:kern w:val="0"/>
                <w:sz w:val="24"/>
                <w:szCs w:val="24"/>
              </w:rPr>
              <w:t>其他</w:t>
            </w:r>
          </w:p>
        </w:tc>
      </w:tr>
      <w:tr w:rsidR="00EB405B">
        <w:tc>
          <w:tcPr>
            <w:tcW w:w="534" w:type="dxa"/>
          </w:tcPr>
          <w:p w:rsidR="00EB405B" w:rsidRDefault="0063478A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63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B405B">
        <w:tc>
          <w:tcPr>
            <w:tcW w:w="534" w:type="dxa"/>
          </w:tcPr>
          <w:p w:rsidR="00EB405B" w:rsidRDefault="0063478A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63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B405B">
        <w:tc>
          <w:tcPr>
            <w:tcW w:w="534" w:type="dxa"/>
          </w:tcPr>
          <w:p w:rsidR="00EB405B" w:rsidRDefault="0063478A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spacing w:val="8"/>
                <w:kern w:val="0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63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B405B">
        <w:tc>
          <w:tcPr>
            <w:tcW w:w="534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63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B405B">
        <w:tc>
          <w:tcPr>
            <w:tcW w:w="534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75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663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560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EB405B" w:rsidRDefault="00EB405B">
            <w:pPr>
              <w:widowControl/>
              <w:spacing w:after="210"/>
              <w:jc w:val="left"/>
              <w:outlineLvl w:val="1"/>
              <w:rPr>
                <w:rFonts w:ascii="微软雅黑" w:eastAsia="微软雅黑" w:hAnsi="微软雅黑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EB405B" w:rsidRDefault="0063478A">
      <w:pPr>
        <w:pStyle w:val="a5"/>
        <w:shd w:val="clear" w:color="auto" w:fill="FFFFFF"/>
        <w:spacing w:before="0" w:beforeAutospacing="0" w:after="0" w:afterAutospacing="0" w:line="480" w:lineRule="atLeast"/>
        <w:rPr>
          <w:rFonts w:ascii="仿宋_GB2312" w:eastAsia="仿宋_GB2312" w:hAnsi="仿宋_GB2312" w:cs="仿宋_GB2312"/>
          <w:color w:val="333333"/>
          <w:spacing w:val="8"/>
          <w:sz w:val="20"/>
          <w:szCs w:val="20"/>
        </w:rPr>
      </w:pPr>
      <w:r>
        <w:rPr>
          <w:rFonts w:ascii="仿宋_GB2312" w:eastAsia="仿宋_GB2312" w:hAnsi="仿宋_GB2312" w:cs="仿宋_GB2312" w:hint="eastAsia"/>
          <w:b/>
          <w:color w:val="333333"/>
          <w:spacing w:val="8"/>
          <w:sz w:val="20"/>
          <w:szCs w:val="20"/>
        </w:rPr>
        <w:t>填表说明</w:t>
      </w:r>
      <w:r>
        <w:rPr>
          <w:rFonts w:ascii="仿宋_GB2312" w:eastAsia="仿宋_GB2312" w:hAnsi="仿宋_GB2312" w:cs="仿宋_GB2312" w:hint="eastAsia"/>
          <w:color w:val="333333"/>
          <w:spacing w:val="8"/>
          <w:sz w:val="20"/>
          <w:szCs w:val="20"/>
        </w:rPr>
        <w:t>：重点</w:t>
      </w:r>
      <w:r>
        <w:rPr>
          <w:rFonts w:ascii="仿宋_GB2312" w:eastAsia="仿宋_GB2312" w:hAnsi="仿宋_GB2312" w:cs="仿宋_GB2312"/>
          <w:color w:val="333333"/>
          <w:spacing w:val="8"/>
          <w:sz w:val="20"/>
          <w:szCs w:val="20"/>
        </w:rPr>
        <w:t>填报</w:t>
      </w:r>
      <w:r>
        <w:rPr>
          <w:rFonts w:ascii="仿宋_GB2312" w:eastAsia="仿宋_GB2312" w:hAnsi="仿宋_GB2312" w:cs="仿宋_GB2312" w:hint="eastAsia"/>
          <w:color w:val="333333"/>
          <w:spacing w:val="8"/>
          <w:sz w:val="20"/>
          <w:szCs w:val="20"/>
        </w:rPr>
        <w:t>企业在生产、研发、检测等活动中面临的需要从国外进口而国内无法满足的原材料、加工设备、生产工艺或技术等</w:t>
      </w:r>
      <w:r>
        <w:rPr>
          <w:rFonts w:ascii="仿宋_GB2312" w:eastAsia="仿宋_GB2312" w:hAnsi="仿宋_GB2312" w:cs="仿宋_GB2312"/>
          <w:color w:val="333333"/>
          <w:spacing w:val="8"/>
          <w:sz w:val="20"/>
          <w:szCs w:val="20"/>
        </w:rPr>
        <w:t>等</w:t>
      </w:r>
      <w:r>
        <w:rPr>
          <w:rFonts w:ascii="仿宋_GB2312" w:eastAsia="仿宋_GB2312" w:hAnsi="仿宋_GB2312" w:cs="仿宋_GB2312" w:hint="eastAsia"/>
          <w:color w:val="333333"/>
          <w:spacing w:val="8"/>
          <w:sz w:val="20"/>
          <w:szCs w:val="20"/>
        </w:rPr>
        <w:t>，包括现存的、潜在的“卡脖子”关键技术、原材料及加工设备等。</w:t>
      </w:r>
    </w:p>
    <w:p w:rsidR="00EB405B" w:rsidRDefault="00EB405B"/>
    <w:sectPr w:rsidR="00EB405B" w:rsidSect="00EB405B">
      <w:pgSz w:w="16838" w:h="11906" w:orient="landscape"/>
      <w:pgMar w:top="993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1E7E"/>
    <w:rsid w:val="00230FC9"/>
    <w:rsid w:val="002479B5"/>
    <w:rsid w:val="002640CE"/>
    <w:rsid w:val="00314C74"/>
    <w:rsid w:val="003827C5"/>
    <w:rsid w:val="0042383D"/>
    <w:rsid w:val="00424E91"/>
    <w:rsid w:val="004821AC"/>
    <w:rsid w:val="004A2466"/>
    <w:rsid w:val="005D7E72"/>
    <w:rsid w:val="0063478A"/>
    <w:rsid w:val="00746982"/>
    <w:rsid w:val="008B2A2C"/>
    <w:rsid w:val="00AB1009"/>
    <w:rsid w:val="00D91E7E"/>
    <w:rsid w:val="00EB405B"/>
    <w:rsid w:val="1E1A2321"/>
    <w:rsid w:val="7798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4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B4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EB4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EB4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EB40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4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2019-04-19T01:11:00Z</dcterms:created>
  <dcterms:modified xsi:type="dcterms:W3CDTF">2019-04-19T01:11:00Z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