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3" w:name="_GoBack"/>
      <w:bookmarkStart w:id="0" w:name="_Toc3075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兴隆台区主要经济指标安排情况表</w:t>
      </w:r>
    </w:p>
    <w:bookmarkEnd w:id="3"/>
    <w:tbl>
      <w:tblPr>
        <w:tblStyle w:val="3"/>
        <w:tblpPr w:leftFromText="180" w:rightFromText="180" w:vertAnchor="text" w:horzAnchor="page" w:tblpXSpec="center" w:tblpY="481"/>
        <w:tblOverlap w:val="never"/>
        <w:tblW w:w="8869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46"/>
        <w:gridCol w:w="1128"/>
        <w:gridCol w:w="976"/>
        <w:gridCol w:w="976"/>
        <w:gridCol w:w="957"/>
        <w:gridCol w:w="958"/>
        <w:gridCol w:w="162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  <w:jc w:val="center"/>
        </w:trPr>
        <w:tc>
          <w:tcPr>
            <w:tcW w:w="22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指标名称</w:t>
            </w:r>
          </w:p>
        </w:tc>
        <w:tc>
          <w:tcPr>
            <w:tcW w:w="11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单  位</w:t>
            </w:r>
          </w:p>
        </w:tc>
        <w:tc>
          <w:tcPr>
            <w:tcW w:w="195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2018年完成</w:t>
            </w: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2019年安排</w:t>
            </w:r>
          </w:p>
        </w:tc>
        <w:tc>
          <w:tcPr>
            <w:tcW w:w="16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责任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单位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  <w:jc w:val="center"/>
        </w:trPr>
        <w:tc>
          <w:tcPr>
            <w:tcW w:w="2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总  量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增  速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总量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增速</w:t>
            </w:r>
          </w:p>
        </w:tc>
        <w:tc>
          <w:tcPr>
            <w:tcW w:w="16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  <w:jc w:val="center"/>
        </w:trPr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地区生产总值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亿元、%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352.9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4.6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370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6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区发改局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  <w:jc w:val="center"/>
        </w:trPr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固定资产投资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亿元、%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138.5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-10.8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153.4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10.8</w:t>
            </w:r>
          </w:p>
        </w:tc>
        <w:tc>
          <w:tcPr>
            <w:tcW w:w="16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  <w:jc w:val="center"/>
        </w:trPr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新开工项目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—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—</w:t>
            </w:r>
          </w:p>
        </w:tc>
        <w:tc>
          <w:tcPr>
            <w:tcW w:w="16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  <w:jc w:val="center"/>
        </w:trPr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新竣工项目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—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—</w:t>
            </w:r>
          </w:p>
        </w:tc>
        <w:tc>
          <w:tcPr>
            <w:tcW w:w="16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  <w:jc w:val="center"/>
        </w:trPr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一般公共预算收入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亿元、%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18.2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-3.8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6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区财政局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  <w:jc w:val="center"/>
        </w:trPr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  <w:lang w:bidi="ar"/>
              </w:rPr>
              <w:t>规模以上工业增加值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%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—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4.6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—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6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区工信局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  <w:jc w:val="center"/>
        </w:trPr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社会消费品零售总额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亿元、%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204.1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7.5 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219.4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7.5</w:t>
            </w:r>
          </w:p>
        </w:tc>
        <w:tc>
          <w:tcPr>
            <w:tcW w:w="162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区商务局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  <w:jc w:val="center"/>
        </w:trPr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进出口总额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亿元、%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—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10.4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62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  <w:jc w:val="center"/>
        </w:trPr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实际利用外资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万美元、%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1747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—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4500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—</w:t>
            </w:r>
          </w:p>
        </w:tc>
        <w:tc>
          <w:tcPr>
            <w:tcW w:w="162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区招商中心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  <w:jc w:val="center"/>
        </w:trPr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实际到位内资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亿元、%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65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—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65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持平</w:t>
            </w:r>
          </w:p>
        </w:tc>
        <w:tc>
          <w:tcPr>
            <w:tcW w:w="16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  <w:jc w:val="center"/>
        </w:trPr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签约引进项目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个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—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—</w:t>
            </w:r>
          </w:p>
        </w:tc>
        <w:tc>
          <w:tcPr>
            <w:tcW w:w="16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  <w:jc w:val="center"/>
        </w:trPr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飞地经济项目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—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—</w:t>
            </w:r>
          </w:p>
        </w:tc>
        <w:tc>
          <w:tcPr>
            <w:tcW w:w="162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snapToGrid w:val="0"/>
        <w:jc w:val="left"/>
        <w:textAlignment w:val="center"/>
        <w:outlineLvl w:val="0"/>
        <w:rPr>
          <w:rFonts w:hint="eastAsia" w:ascii="仿宋_GB2312" w:hAnsi="仿宋_GB2312" w:eastAsia="仿宋_GB2312" w:cs="仿宋_GB2312"/>
          <w:sz w:val="44"/>
          <w:szCs w:val="44"/>
        </w:rPr>
      </w:pPr>
    </w:p>
    <w:p>
      <w:pPr>
        <w:snapToGrid w:val="0"/>
        <w:jc w:val="left"/>
        <w:textAlignment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注：2019年地区生产总值计划总量未考虑价格变动因素</w:t>
      </w:r>
      <w:r>
        <w:rPr>
          <w:rFonts w:hint="eastAsia"/>
          <w:color w:val="000000"/>
          <w:kern w:val="0"/>
          <w:sz w:val="28"/>
          <w:szCs w:val="28"/>
          <w:lang w:bidi="ar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兴隆台区地区生产总值支撑性指标分解表</w:t>
      </w:r>
    </w:p>
    <w:tbl>
      <w:tblPr>
        <w:tblStyle w:val="3"/>
        <w:tblpPr w:leftFromText="180" w:rightFromText="180" w:vertAnchor="text" w:horzAnchor="page" w:tblpXSpec="center" w:tblpY="481"/>
        <w:tblOverlap w:val="never"/>
        <w:tblW w:w="8716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5"/>
        <w:gridCol w:w="1966"/>
        <w:gridCol w:w="1128"/>
        <w:gridCol w:w="976"/>
        <w:gridCol w:w="976"/>
        <w:gridCol w:w="957"/>
        <w:gridCol w:w="958"/>
        <w:gridCol w:w="132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4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指标名称</w:t>
            </w:r>
          </w:p>
        </w:tc>
        <w:tc>
          <w:tcPr>
            <w:tcW w:w="11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单  位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2018年完成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2019年安排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责任</w:t>
            </w:r>
          </w:p>
          <w:p>
            <w:pPr>
              <w:widowControl/>
              <w:jc w:val="center"/>
              <w:textAlignment w:val="center"/>
              <w:rPr>
                <w:rFonts w:hint="eastAsia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单位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4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总  量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增  速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总量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增速</w:t>
            </w: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40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地区生产总值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亿元、%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352.9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4.6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370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区发改局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一产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粮食产量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万吨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5.16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—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5.35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3.7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区农业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农村局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蔬菜产量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万吨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0.25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—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0.26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4.1</w:t>
            </w: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猪牛羊出栏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万头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—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1.36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—</w:t>
            </w: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家  禽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万只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29.14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—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30.4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4.32</w:t>
            </w: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牛  奶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吨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391.99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—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405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3.32</w:t>
            </w: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禽  蛋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万吨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0.07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—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0.07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持平</w:t>
            </w: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3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水产品产量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万吨、%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0.174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—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0.2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14.9</w:t>
            </w:r>
          </w:p>
        </w:tc>
        <w:tc>
          <w:tcPr>
            <w:tcW w:w="1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二产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  <w:lang w:bidi="ar"/>
              </w:rPr>
              <w:t>规模以上工业增加值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%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—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4.6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—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区工信局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8"/>
                <w:lang w:bidi="ar"/>
              </w:rPr>
              <w:t>重点培育小升规企业数量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个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—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—</w:t>
            </w: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建筑业总产值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亿元、%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91.61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—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99.4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8.5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住建局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三产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批发业商品销售额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亿元、%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256.76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—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323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25.8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商务局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零售业商品销售额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亿元、%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198.93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—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224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12.6</w:t>
            </w: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住宿业营业额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亿元、%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1.81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—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2.19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21</w:t>
            </w: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餐饮业营业额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亿元、%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29.39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—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37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25.9</w:t>
            </w:r>
          </w:p>
        </w:tc>
        <w:tc>
          <w:tcPr>
            <w:tcW w:w="13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商品房销售面积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万平方米、%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48.53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—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54.6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12.5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住建局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公共财政八项支出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亿元、%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18.27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—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19.6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7.3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财政局</w:t>
            </w:r>
          </w:p>
        </w:tc>
      </w:tr>
    </w:tbl>
    <w:p>
      <w:pPr>
        <w:snapToGrid w:val="0"/>
        <w:jc w:val="center"/>
        <w:textAlignment w:val="center"/>
        <w:outlineLvl w:val="0"/>
        <w:rPr>
          <w:rFonts w:hint="eastAsia" w:ascii="仿宋_GB2312" w:hAnsi="仿宋_GB2312" w:eastAsia="仿宋_GB2312" w:cs="仿宋_GB2312"/>
          <w:sz w:val="44"/>
          <w:szCs w:val="44"/>
        </w:rPr>
      </w:pPr>
    </w:p>
    <w:p>
      <w:pPr>
        <w:snapToGrid w:val="0"/>
        <w:jc w:val="left"/>
        <w:textAlignment w:val="center"/>
        <w:outlineLvl w:val="0"/>
        <w:rPr>
          <w:rFonts w:hint="eastAsia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注：2019年地区生产总值计划总量未考虑价格变动因素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420" w:rightChars="-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420" w:rightChars="-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2019年项目开竣工、飞地经济项目任务分解</w:t>
      </w:r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tbl>
      <w:tblPr>
        <w:tblStyle w:val="3"/>
        <w:tblW w:w="80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5"/>
        <w:gridCol w:w="2070"/>
        <w:gridCol w:w="2083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955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8"/>
                <w:szCs w:val="28"/>
              </w:rPr>
            </w:pPr>
            <w:bookmarkStart w:id="1" w:name="_Toc7273"/>
            <w:bookmarkStart w:id="2" w:name="_Toc470812322"/>
            <w:r>
              <w:rPr>
                <w:rFonts w:hAnsi="宋体"/>
                <w:b/>
                <w:color w:val="000000"/>
                <w:kern w:val="0"/>
                <w:sz w:val="28"/>
                <w:szCs w:val="28"/>
              </w:rPr>
              <w:t>地</w:t>
            </w:r>
            <w:r>
              <w:rPr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Ansi="宋体"/>
                <w:b/>
                <w:color w:val="000000"/>
                <w:kern w:val="0"/>
                <w:sz w:val="28"/>
                <w:szCs w:val="28"/>
              </w:rPr>
              <w:t>区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Ansi="宋体"/>
                <w:b/>
                <w:color w:val="000000"/>
                <w:kern w:val="0"/>
                <w:sz w:val="28"/>
                <w:szCs w:val="28"/>
              </w:rPr>
              <w:t>项目开工</w:t>
            </w:r>
          </w:p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Ansi="宋体"/>
                <w:b/>
                <w:color w:val="000000"/>
                <w:kern w:val="0"/>
                <w:sz w:val="28"/>
                <w:szCs w:val="28"/>
              </w:rPr>
              <w:t>项目竣工</w:t>
            </w:r>
          </w:p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8"/>
                <w:szCs w:val="28"/>
              </w:rPr>
              <w:t>飞地经济项目</w:t>
            </w:r>
            <w:r>
              <w:rPr>
                <w:rFonts w:hAnsi="宋体"/>
                <w:b/>
                <w:bCs/>
                <w:color w:val="000000"/>
                <w:kern w:val="0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95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全区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高新区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区工信局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区商务局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区住建局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区招商中心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3</w:t>
            </w:r>
          </w:p>
        </w:tc>
      </w:tr>
      <w:bookmarkEnd w:id="1"/>
      <w:bookmarkEnd w:id="2"/>
    </w:tbl>
    <w:p>
      <w:pPr>
        <w:rPr>
          <w:rFonts w:hint="eastAsia" w:eastAsia="楷体"/>
          <w:sz w:val="32"/>
          <w:szCs w:val="32"/>
        </w:rPr>
      </w:pPr>
    </w:p>
    <w:p>
      <w:pPr>
        <w:rPr>
          <w:rFonts w:hint="eastAsia" w:eastAsia="楷体"/>
          <w:sz w:val="32"/>
          <w:szCs w:val="32"/>
        </w:rPr>
      </w:pPr>
    </w:p>
    <w:p>
      <w:pPr>
        <w:rPr>
          <w:rFonts w:hint="eastAsia" w:eastAsia="楷体"/>
          <w:sz w:val="32"/>
          <w:szCs w:val="32"/>
        </w:rPr>
      </w:pPr>
    </w:p>
    <w:p>
      <w:pPr>
        <w:rPr>
          <w:rFonts w:hint="eastAsia" w:eastAsia="楷体"/>
          <w:sz w:val="32"/>
          <w:szCs w:val="32"/>
        </w:rPr>
      </w:pPr>
    </w:p>
    <w:p>
      <w:pPr>
        <w:rPr>
          <w:rFonts w:hint="eastAsia" w:eastAsia="楷体"/>
          <w:sz w:val="32"/>
          <w:szCs w:val="32"/>
        </w:rPr>
      </w:pPr>
    </w:p>
    <w:p>
      <w:pPr>
        <w:rPr>
          <w:rFonts w:hint="eastAsia" w:eastAsia="楷体"/>
          <w:sz w:val="32"/>
          <w:szCs w:val="32"/>
        </w:rPr>
      </w:pPr>
    </w:p>
    <w:p>
      <w:pPr>
        <w:rPr>
          <w:rFonts w:hint="eastAsia" w:eastAsia="楷体"/>
          <w:sz w:val="32"/>
          <w:szCs w:val="32"/>
        </w:rPr>
      </w:pPr>
    </w:p>
    <w:p>
      <w:pPr>
        <w:rPr>
          <w:rFonts w:hint="eastAsia" w:eastAsia="楷体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2019年固定资产投资任务分解表</w:t>
      </w:r>
    </w:p>
    <w:p>
      <w:pPr>
        <w:rPr>
          <w:rFonts w:hint="eastAsia" w:eastAsia="楷体"/>
          <w:sz w:val="32"/>
          <w:szCs w:val="32"/>
        </w:rPr>
      </w:pPr>
    </w:p>
    <w:tbl>
      <w:tblPr>
        <w:tblStyle w:val="3"/>
        <w:tblW w:w="10086" w:type="dxa"/>
        <w:jc w:val="center"/>
        <w:tblInd w:w="-9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269"/>
        <w:gridCol w:w="1275"/>
        <w:gridCol w:w="993"/>
        <w:gridCol w:w="957"/>
        <w:gridCol w:w="1048"/>
        <w:gridCol w:w="851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836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地 区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单位</w:t>
            </w: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2018年完成</w:t>
            </w: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2019年计划</w:t>
            </w:r>
          </w:p>
        </w:tc>
        <w:tc>
          <w:tcPr>
            <w:tcW w:w="2126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8"/>
                <w:szCs w:val="28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836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总量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增速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总量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增速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836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全区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亿元、%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138.5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-10.8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153.4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10.8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发改局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836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油区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亿元、%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82.3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-11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836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区本级，其中：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亿元、%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56.2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-10.7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67.4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发改局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69" w:type="dxa"/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高新区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亿元、%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15.5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-72.7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93.5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高新区经发局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6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长城钻探、园区外工业项目、油田三产企业等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亿元、%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—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—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—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工信局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6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房地产、基础设施及其他项目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亿元、%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—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—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32.4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—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住建局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发改局</w:t>
            </w:r>
          </w:p>
        </w:tc>
      </w:tr>
    </w:tbl>
    <w:p>
      <w:pPr>
        <w:rPr>
          <w:rFonts w:hint="eastAsia" w:eastAsia="楷体"/>
          <w:sz w:val="32"/>
          <w:szCs w:val="32"/>
        </w:rPr>
      </w:pPr>
    </w:p>
    <w:p>
      <w:pPr>
        <w:rPr>
          <w:rFonts w:hint="eastAsia" w:eastAsia="楷体"/>
          <w:sz w:val="32"/>
          <w:szCs w:val="32"/>
        </w:rPr>
      </w:pPr>
    </w:p>
    <w:p>
      <w:pPr>
        <w:rPr>
          <w:rFonts w:hint="eastAsia" w:eastAsia="楷体"/>
          <w:sz w:val="32"/>
          <w:szCs w:val="32"/>
        </w:rPr>
      </w:pPr>
    </w:p>
    <w:p>
      <w:pPr>
        <w:rPr>
          <w:rFonts w:hint="eastAsia" w:eastAsia="楷体"/>
          <w:sz w:val="32"/>
          <w:szCs w:val="32"/>
        </w:rPr>
      </w:pPr>
    </w:p>
    <w:p>
      <w:pPr>
        <w:rPr>
          <w:rFonts w:hint="eastAsia" w:eastAsia="楷体"/>
          <w:sz w:val="32"/>
          <w:szCs w:val="32"/>
        </w:rPr>
      </w:pPr>
    </w:p>
    <w:p>
      <w:pPr>
        <w:rPr>
          <w:rFonts w:hint="eastAsia" w:eastAsia="楷体"/>
          <w:sz w:val="32"/>
          <w:szCs w:val="32"/>
        </w:rPr>
      </w:pPr>
    </w:p>
    <w:p>
      <w:pPr>
        <w:rPr>
          <w:rFonts w:hint="eastAsia" w:eastAsia="楷体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2019年招商引资、内外资任务分解表</w:t>
      </w:r>
    </w:p>
    <w:p>
      <w:pPr>
        <w:ind w:firstLine="640" w:firstLineChars="200"/>
        <w:rPr>
          <w:rFonts w:eastAsia="仿宋_GB2312"/>
          <w:sz w:val="32"/>
          <w:szCs w:val="32"/>
        </w:rPr>
      </w:pPr>
    </w:p>
    <w:tbl>
      <w:tblPr>
        <w:tblStyle w:val="3"/>
        <w:tblW w:w="9895" w:type="dxa"/>
        <w:jc w:val="center"/>
        <w:tblInd w:w="-18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1372"/>
        <w:gridCol w:w="1210"/>
        <w:gridCol w:w="1954"/>
        <w:gridCol w:w="2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83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21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8"/>
                <w:szCs w:val="28"/>
              </w:rPr>
              <w:t>全区</w:t>
            </w:r>
          </w:p>
        </w:tc>
        <w:tc>
          <w:tcPr>
            <w:tcW w:w="195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8"/>
                <w:szCs w:val="28"/>
              </w:rPr>
              <w:t>区本级</w:t>
            </w:r>
          </w:p>
        </w:tc>
        <w:tc>
          <w:tcPr>
            <w:tcW w:w="252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8"/>
                <w:szCs w:val="28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83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8"/>
                <w:szCs w:val="28"/>
              </w:rPr>
              <w:t>签约项目数量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个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252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83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8"/>
                <w:szCs w:val="28"/>
              </w:rPr>
              <w:t>亿元以上</w:t>
            </w:r>
            <w:r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  <w:t>项目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个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52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83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8"/>
                <w:szCs w:val="28"/>
              </w:rPr>
              <w:t>5亿元以上</w:t>
            </w:r>
            <w:r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  <w:t>项目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个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52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83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10亿元以上项目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个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52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834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实际到位内资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亿元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65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252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83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实际利用外资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万美元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4500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3500</w:t>
            </w:r>
          </w:p>
        </w:tc>
        <w:tc>
          <w:tcPr>
            <w:tcW w:w="252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83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责任单位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区招商中心</w:t>
            </w:r>
          </w:p>
        </w:tc>
        <w:tc>
          <w:tcPr>
            <w:tcW w:w="252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高新区管委会</w:t>
            </w:r>
          </w:p>
        </w:tc>
      </w:tr>
    </w:tbl>
    <w:p>
      <w:pPr>
        <w:rPr>
          <w:rFonts w:hint="eastAsia" w:eastAsia="楷体"/>
          <w:sz w:val="32"/>
          <w:szCs w:val="32"/>
        </w:rPr>
      </w:pPr>
    </w:p>
    <w:p>
      <w:pPr>
        <w:rPr>
          <w:rFonts w:hint="eastAsia" w:eastAsia="楷体"/>
          <w:sz w:val="32"/>
          <w:szCs w:val="32"/>
        </w:rPr>
      </w:pPr>
    </w:p>
    <w:p>
      <w:pPr>
        <w:rPr>
          <w:rFonts w:hint="eastAsia" w:eastAsia="楷体"/>
          <w:sz w:val="32"/>
          <w:szCs w:val="32"/>
        </w:rPr>
      </w:pPr>
    </w:p>
    <w:p>
      <w:pPr>
        <w:rPr>
          <w:rFonts w:hint="eastAsia" w:eastAsia="楷体"/>
          <w:sz w:val="32"/>
          <w:szCs w:val="32"/>
        </w:rPr>
      </w:pPr>
    </w:p>
    <w:p>
      <w:pPr>
        <w:rPr>
          <w:rFonts w:hint="eastAsia" w:eastAsia="楷体"/>
          <w:sz w:val="32"/>
          <w:szCs w:val="32"/>
        </w:rPr>
      </w:pPr>
    </w:p>
    <w:p>
      <w:pPr>
        <w:rPr>
          <w:rFonts w:hint="eastAsia" w:eastAsia="楷体"/>
          <w:sz w:val="32"/>
          <w:szCs w:val="32"/>
        </w:rPr>
      </w:pPr>
    </w:p>
    <w:p>
      <w:pPr>
        <w:rPr>
          <w:rFonts w:hint="eastAsia" w:eastAsia="楷体"/>
          <w:sz w:val="32"/>
          <w:szCs w:val="32"/>
        </w:rPr>
      </w:pPr>
    </w:p>
    <w:p>
      <w:pPr>
        <w:rPr>
          <w:rFonts w:hint="eastAsia" w:eastAsia="楷体"/>
          <w:sz w:val="32"/>
          <w:szCs w:val="32"/>
        </w:rPr>
      </w:pPr>
    </w:p>
    <w:p>
      <w:pPr>
        <w:rPr>
          <w:rFonts w:hint="eastAsia" w:eastAsia="楷体"/>
          <w:sz w:val="32"/>
          <w:szCs w:val="32"/>
        </w:rPr>
      </w:pPr>
    </w:p>
    <w:p>
      <w:pPr>
        <w:rPr>
          <w:rFonts w:hint="eastAsia" w:eastAsia="楷体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2019年外贸进出口指标分解表</w:t>
      </w:r>
    </w:p>
    <w:p>
      <w:pPr>
        <w:snapToGrid w:val="0"/>
        <w:jc w:val="center"/>
        <w:textAlignment w:val="center"/>
        <w:outlineLvl w:val="0"/>
        <w:rPr>
          <w:rFonts w:hint="eastAsia" w:eastAsia="方正小标宋_GBK"/>
          <w:sz w:val="44"/>
          <w:szCs w:val="44"/>
        </w:rPr>
      </w:pPr>
    </w:p>
    <w:tbl>
      <w:tblPr>
        <w:tblStyle w:val="3"/>
        <w:tblW w:w="84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0"/>
        <w:gridCol w:w="2740"/>
        <w:gridCol w:w="27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全区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指标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增速%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高新区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5.2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商务局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5.2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总计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10.4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10%</w:t>
            </w:r>
          </w:p>
        </w:tc>
      </w:tr>
    </w:tbl>
    <w:p>
      <w:pPr>
        <w:rPr>
          <w:rFonts w:hint="eastAsia" w:eastAsia="楷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宋体"/>
    <w:panose1 w:val="020B0300000000000000"/>
    <w:charset w:val="86"/>
    <w:family w:val="swiss"/>
    <w:pitch w:val="default"/>
    <w:sig w:usb0="00000000" w:usb1="00000000" w:usb2="00000016" w:usb3="00000000" w:csb0="00060007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A4bVggbAgAAIQQAAA4A&#10;AAAAAAAAAQAgAAAAHwEAAGRycy9lMm9Eb2MueG1sUEsFBgAAAAAGAAYAWQEAAKw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06859"/>
    <w:rsid w:val="3FF0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2019-06-20T02:30:00Z</dcterms:created>
  <dc:creator>坝上开的狗尾巴花</dc:creator>
  <cp:lastModifiedBy>坝上开的狗尾巴花</cp:lastModifiedBy>
  <dcterms:modified xsi:type="dcterms:W3CDTF">2019-06-20T02:31:48Z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