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/>
        <w:jc w:val="center"/>
        <w:rPr>
          <w:color w:val="333333"/>
          <w:sz w:val="24"/>
        </w:rPr>
      </w:pPr>
      <w:r>
        <w:rPr>
          <w:rFonts w:ascii="宋体" w:hAnsi="宋体" w:eastAsia="宋体" w:cs="宋体"/>
          <w:color w:val="333333"/>
          <w:kern w:val="0"/>
          <w:sz w:val="44"/>
          <w:szCs w:val="44"/>
        </w:rPr>
        <w:t>201</w:t>
      </w:r>
      <w:r>
        <w:rPr>
          <w:rFonts w:hint="eastAsia" w:ascii="宋体" w:hAnsi="宋体" w:eastAsia="宋体" w:cs="宋体"/>
          <w:color w:val="333333"/>
          <w:kern w:val="0"/>
          <w:sz w:val="44"/>
          <w:szCs w:val="44"/>
          <w:lang w:val="en-US" w:eastAsia="zh-CN"/>
        </w:rPr>
        <w:t>8</w:t>
      </w:r>
      <w:r>
        <w:rPr>
          <w:rFonts w:ascii="宋体" w:hAnsi="宋体" w:eastAsia="宋体" w:cs="宋体"/>
          <w:color w:val="333333"/>
          <w:kern w:val="0"/>
          <w:sz w:val="44"/>
          <w:szCs w:val="44"/>
        </w:rPr>
        <w:t>年</w:t>
      </w:r>
      <w:r>
        <w:rPr>
          <w:rFonts w:hint="eastAsia" w:ascii="宋体" w:hAnsi="宋体" w:eastAsia="宋体" w:cs="宋体"/>
          <w:color w:val="333333"/>
          <w:kern w:val="0"/>
          <w:sz w:val="44"/>
          <w:szCs w:val="44"/>
        </w:rPr>
        <w:t>辽河口</w:t>
      </w:r>
      <w:r>
        <w:rPr>
          <w:rFonts w:ascii="宋体" w:hAnsi="宋体" w:eastAsia="宋体" w:cs="宋体"/>
          <w:color w:val="333333"/>
          <w:kern w:val="0"/>
          <w:sz w:val="44"/>
          <w:szCs w:val="44"/>
        </w:rPr>
        <w:t>本级“三公”经费</w:t>
      </w:r>
    </w:p>
    <w:p>
      <w:pPr>
        <w:widowControl/>
        <w:jc w:val="center"/>
        <w:rPr>
          <w:color w:val="333333"/>
          <w:sz w:val="24"/>
        </w:rPr>
      </w:pPr>
      <w:r>
        <w:rPr>
          <w:rFonts w:ascii="宋体" w:hAnsi="宋体" w:eastAsia="宋体" w:cs="宋体"/>
          <w:color w:val="333333"/>
          <w:kern w:val="0"/>
          <w:sz w:val="44"/>
          <w:szCs w:val="44"/>
        </w:rPr>
        <w:t>预算汇总情况说明</w:t>
      </w:r>
    </w:p>
    <w:p>
      <w:pPr>
        <w:widowControl/>
        <w:ind w:firstLine="640"/>
        <w:jc w:val="left"/>
        <w:rPr>
          <w:color w:val="333333"/>
          <w:sz w:val="24"/>
        </w:rPr>
      </w:pPr>
      <w:r>
        <w:rPr>
          <w:rFonts w:ascii="宋体" w:hAnsi="宋体" w:eastAsia="宋体" w:cs="宋体"/>
          <w:color w:val="333333"/>
          <w:kern w:val="0"/>
          <w:sz w:val="32"/>
          <w:szCs w:val="32"/>
        </w:rPr>
        <w:t>201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8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辽河口本级部门仅为盘锦辽河口管委会一家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，使当年财政拨款安排的“三公”经费预算为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83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万元。其中，公务接待费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5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万元，公务用车购置及运行费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78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万元（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均为公务用车运行费用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）。比201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7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预算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减少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16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万元，下降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16.2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%。其中，公务接待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5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万元，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与上年水平持平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；公务用车购置及运行费减少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16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万元，下降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  <w:lang w:val="en-US" w:eastAsia="zh-CN"/>
        </w:rPr>
        <w:t>20.5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%。“三公”经费下降的主要原因是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积极响应、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执行中央八项规定，严格控制公务接待费用，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公车改革后,公车运行费用下降</w:t>
      </w:r>
      <w:r>
        <w:rPr>
          <w:rFonts w:ascii="宋体" w:hAnsi="宋体" w:eastAsia="宋体" w:cs="宋体"/>
          <w:color w:val="333333"/>
          <w:kern w:val="0"/>
          <w:sz w:val="32"/>
          <w:szCs w:val="32"/>
        </w:rPr>
        <w:t>，确保“三公”经费只减不增。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53CAD"/>
    <w:rsid w:val="00453CAD"/>
    <w:rsid w:val="00771F65"/>
    <w:rsid w:val="00991E03"/>
    <w:rsid w:val="2DB42585"/>
    <w:rsid w:val="370B4A7E"/>
    <w:rsid w:val="3B183DCD"/>
    <w:rsid w:val="6FED602A"/>
    <w:rsid w:val="7C532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37</Words>
  <Characters>213</Characters>
  <Lines>1</Lines>
  <Paragraphs>1</Paragraphs>
  <TotalTime>15</TotalTime>
  <ScaleCrop>false</ScaleCrop>
  <LinksUpToDate>false</LinksUpToDate>
  <CharactersWithSpaces>249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杨雪</cp:lastModifiedBy>
  <dcterms:modified xsi:type="dcterms:W3CDTF">2018-07-30T06:14:26Z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