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年6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月23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tbl_1(1_4_1_3_2);
</file>