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盘锦市市场监督管理</w:t>
      </w:r>
    </w:p>
    <w:p>
      <w:pPr>
        <w:jc w:val="center"/>
        <w:rPr>
          <w:rFonts w:ascii="仿宋" w:hAnsi="仿宋" w:eastAsia="仿宋"/>
          <w:b/>
          <w:sz w:val="44"/>
          <w:szCs w:val="44"/>
        </w:rPr>
      </w:pPr>
      <w:r>
        <w:rPr>
          <w:rFonts w:hint="eastAsia" w:asciiTheme="minorEastAsia" w:hAnsiTheme="minorEastAsia"/>
          <w:b/>
          <w:sz w:val="44"/>
          <w:szCs w:val="44"/>
        </w:rPr>
        <w:t xml:space="preserve"> 重大执法决定法制审核规定</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第一条【目的和依据】</w:t>
      </w:r>
      <w:r>
        <w:rPr>
          <w:rFonts w:hint="eastAsia" w:ascii="仿宋" w:hAnsi="仿宋" w:eastAsia="仿宋"/>
          <w:sz w:val="32"/>
          <w:szCs w:val="32"/>
        </w:rPr>
        <w:t xml:space="preserve"> 为加强重大行政执法行为的监督，依法保护行政相对人的合法权益，根据《关于全面推行行政执法公示制度执法全过程记录制度重大执法决定法制审核制度的指导意见》等有关要求，制定本规定。</w:t>
      </w:r>
    </w:p>
    <w:p>
      <w:pPr>
        <w:ind w:firstLine="645"/>
        <w:rPr>
          <w:rFonts w:ascii="仿宋" w:hAnsi="仿宋" w:eastAsia="仿宋"/>
          <w:sz w:val="32"/>
          <w:szCs w:val="32"/>
        </w:rPr>
      </w:pPr>
      <w:r>
        <w:rPr>
          <w:rFonts w:hint="eastAsia" w:ascii="仿宋" w:hAnsi="仿宋" w:eastAsia="仿宋"/>
          <w:b/>
          <w:sz w:val="32"/>
          <w:szCs w:val="32"/>
        </w:rPr>
        <w:t>第二条【适用范围】</w:t>
      </w:r>
      <w:r>
        <w:rPr>
          <w:rFonts w:hint="eastAsia" w:ascii="仿宋" w:hAnsi="仿宋" w:eastAsia="仿宋"/>
          <w:sz w:val="32"/>
          <w:szCs w:val="32"/>
        </w:rPr>
        <w:t xml:space="preserve"> 在本市行政区域内市场监督管理部门实施减少或损害公民、法人及其他组织财产和利益的行政处罚、行政强制等重大执法决定，适用本规定。</w:t>
      </w:r>
    </w:p>
    <w:p>
      <w:pPr>
        <w:ind w:firstLine="645"/>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w:t>
      </w:r>
      <w:r>
        <w:rPr>
          <w:rFonts w:hint="eastAsia" w:ascii="仿宋" w:hAnsi="仿宋" w:eastAsia="仿宋"/>
          <w:b/>
          <w:sz w:val="32"/>
          <w:szCs w:val="32"/>
        </w:rPr>
        <w:t>审核机构</w:t>
      </w:r>
      <w:r>
        <w:rPr>
          <w:rFonts w:hint="eastAsia" w:ascii="仿宋" w:hAnsi="仿宋" w:eastAsia="仿宋"/>
          <w:sz w:val="32"/>
          <w:szCs w:val="32"/>
        </w:rPr>
        <w:t>】 重大执法决定法制审核由市场监督管理部门法制机构负责实施，未设置法制机构的，应配备专门机构、专门人员负责审核。</w:t>
      </w:r>
    </w:p>
    <w:p>
      <w:pPr>
        <w:ind w:firstLine="645"/>
        <w:rPr>
          <w:rFonts w:ascii="仿宋" w:hAnsi="仿宋" w:eastAsia="仿宋"/>
          <w:sz w:val="32"/>
          <w:szCs w:val="32"/>
        </w:rPr>
      </w:pPr>
      <w:r>
        <w:rPr>
          <w:rFonts w:hint="eastAsia" w:ascii="仿宋" w:hAnsi="仿宋" w:eastAsia="仿宋"/>
          <w:sz w:val="32"/>
          <w:szCs w:val="32"/>
        </w:rPr>
        <w:t>县、区市场监督管理部门派出机构以县、区市场监督管理部门的名义实施行政处罚、行政强制等重大执法决定的，由县、区市场监督管理部门的法制机构、法制人员负责审核。</w:t>
      </w:r>
    </w:p>
    <w:p>
      <w:pPr>
        <w:ind w:firstLine="645"/>
        <w:rPr>
          <w:rFonts w:ascii="仿宋" w:hAnsi="仿宋" w:eastAsia="仿宋"/>
          <w:sz w:val="32"/>
          <w:szCs w:val="32"/>
        </w:rPr>
      </w:pPr>
      <w:r>
        <w:rPr>
          <w:rFonts w:hint="eastAsia" w:ascii="仿宋" w:hAnsi="仿宋" w:eastAsia="仿宋"/>
          <w:b/>
          <w:sz w:val="32"/>
          <w:szCs w:val="32"/>
        </w:rPr>
        <w:t xml:space="preserve">第四条【审核人员条件】 </w:t>
      </w:r>
      <w:r>
        <w:rPr>
          <w:rFonts w:hint="eastAsia" w:ascii="仿宋" w:hAnsi="仿宋" w:eastAsia="仿宋"/>
          <w:sz w:val="32"/>
          <w:szCs w:val="32"/>
        </w:rPr>
        <w:t>担任重大执法决定法制审核员应同时具备以下条件：</w:t>
      </w:r>
    </w:p>
    <w:p>
      <w:pPr>
        <w:ind w:firstLine="645"/>
        <w:rPr>
          <w:rFonts w:ascii="仿宋" w:hAnsi="仿宋" w:eastAsia="仿宋"/>
          <w:sz w:val="32"/>
          <w:szCs w:val="32"/>
        </w:rPr>
      </w:pPr>
      <w:r>
        <w:rPr>
          <w:rFonts w:hint="eastAsia" w:ascii="仿宋" w:hAnsi="仿宋" w:eastAsia="仿宋"/>
          <w:sz w:val="32"/>
          <w:szCs w:val="32"/>
        </w:rPr>
        <w:t>（一）政治素质高，拥护中国共产党的领导，拥护党的理论和路线方针政策；</w:t>
      </w:r>
    </w:p>
    <w:p>
      <w:pPr>
        <w:ind w:firstLine="645"/>
        <w:rPr>
          <w:rFonts w:ascii="仿宋" w:hAnsi="仿宋" w:eastAsia="仿宋"/>
          <w:sz w:val="32"/>
          <w:szCs w:val="32"/>
        </w:rPr>
      </w:pPr>
      <w:r>
        <w:rPr>
          <w:rFonts w:hint="eastAsia" w:ascii="仿宋" w:hAnsi="仿宋" w:eastAsia="仿宋"/>
          <w:sz w:val="32"/>
          <w:szCs w:val="32"/>
        </w:rPr>
        <w:t>（二）忠于宪法、遵守法律，具有良好的社会责任感，较强的沟通协调能力；</w:t>
      </w:r>
    </w:p>
    <w:p>
      <w:pPr>
        <w:ind w:firstLine="645"/>
        <w:rPr>
          <w:rFonts w:ascii="仿宋" w:hAnsi="仿宋" w:eastAsia="仿宋"/>
          <w:sz w:val="32"/>
          <w:szCs w:val="32"/>
        </w:rPr>
      </w:pPr>
      <w:r>
        <w:rPr>
          <w:rFonts w:hint="eastAsia" w:ascii="仿宋" w:hAnsi="仿宋" w:eastAsia="仿宋"/>
          <w:sz w:val="32"/>
          <w:szCs w:val="32"/>
        </w:rPr>
        <w:t>（三）通过国家统一法律职业资格考试或律师资格考试；</w:t>
      </w:r>
    </w:p>
    <w:p>
      <w:pPr>
        <w:ind w:firstLine="645"/>
        <w:rPr>
          <w:rFonts w:ascii="仿宋" w:hAnsi="仿宋" w:eastAsia="仿宋"/>
          <w:sz w:val="32"/>
          <w:szCs w:val="32"/>
        </w:rPr>
      </w:pPr>
      <w:r>
        <w:rPr>
          <w:rFonts w:hint="eastAsia" w:ascii="仿宋" w:hAnsi="仿宋" w:eastAsia="仿宋"/>
          <w:sz w:val="32"/>
          <w:szCs w:val="32"/>
        </w:rPr>
        <w:t>（四）严格遵纪守法，未受过行政处分，未受过行政处罚。</w:t>
      </w:r>
    </w:p>
    <w:p>
      <w:pPr>
        <w:ind w:firstLine="645"/>
        <w:rPr>
          <w:rFonts w:ascii="仿宋" w:hAnsi="仿宋" w:eastAsia="仿宋"/>
          <w:sz w:val="32"/>
          <w:szCs w:val="32"/>
        </w:rPr>
      </w:pPr>
      <w:r>
        <w:rPr>
          <w:rFonts w:hint="eastAsia" w:ascii="仿宋" w:hAnsi="仿宋" w:eastAsia="仿宋"/>
          <w:sz w:val="32"/>
          <w:szCs w:val="32"/>
        </w:rPr>
        <w:t>市场监督管理部门中非初次从事案件审核的人员，可不受本条第三项规定约束。</w:t>
      </w:r>
    </w:p>
    <w:p>
      <w:pPr>
        <w:ind w:firstLine="645"/>
        <w:rPr>
          <w:rFonts w:ascii="仿宋" w:hAnsi="仿宋" w:eastAsia="仿宋"/>
          <w:sz w:val="32"/>
          <w:szCs w:val="32"/>
        </w:rPr>
      </w:pPr>
      <w:r>
        <w:rPr>
          <w:rFonts w:hint="eastAsia" w:ascii="仿宋" w:hAnsi="仿宋" w:eastAsia="仿宋"/>
          <w:b/>
          <w:sz w:val="32"/>
          <w:szCs w:val="32"/>
        </w:rPr>
        <w:t xml:space="preserve">第五条【审核人员配备】 </w:t>
      </w:r>
      <w:r>
        <w:rPr>
          <w:rFonts w:hint="eastAsia" w:ascii="仿宋" w:hAnsi="仿宋" w:eastAsia="仿宋"/>
          <w:sz w:val="32"/>
          <w:szCs w:val="32"/>
        </w:rPr>
        <w:t>市场监督管理部门应将具有法律专业背景的人员调整充实到法制审核岗位上。</w:t>
      </w:r>
    </w:p>
    <w:p>
      <w:pPr>
        <w:ind w:firstLine="645"/>
        <w:rPr>
          <w:rFonts w:ascii="仿宋" w:hAnsi="仿宋" w:eastAsia="仿宋"/>
          <w:sz w:val="32"/>
          <w:szCs w:val="32"/>
        </w:rPr>
      </w:pPr>
      <w:r>
        <w:rPr>
          <w:rFonts w:hint="eastAsia" w:ascii="仿宋" w:hAnsi="仿宋" w:eastAsia="仿宋"/>
          <w:sz w:val="32"/>
          <w:szCs w:val="32"/>
        </w:rPr>
        <w:t>市场监督管理部门中从事法制审核的人员不少于本单位执法人员总数的5%。</w:t>
      </w:r>
    </w:p>
    <w:p>
      <w:pPr>
        <w:ind w:firstLine="645"/>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w:t>
      </w:r>
      <w:r>
        <w:rPr>
          <w:rFonts w:hint="eastAsia" w:ascii="仿宋" w:hAnsi="仿宋" w:eastAsia="仿宋"/>
          <w:b/>
          <w:sz w:val="32"/>
          <w:szCs w:val="32"/>
        </w:rPr>
        <w:t>法律顾问、公职律师意见</w:t>
      </w:r>
      <w:r>
        <w:rPr>
          <w:rFonts w:hint="eastAsia" w:ascii="仿宋" w:hAnsi="仿宋" w:eastAsia="仿宋"/>
          <w:sz w:val="32"/>
          <w:szCs w:val="32"/>
        </w:rPr>
        <w:t>】 市场监督管理部门聘请法律顾问、公职律师的，法制审核过程中应征求法律顾问、公职律师意见。</w:t>
      </w:r>
    </w:p>
    <w:p>
      <w:pPr>
        <w:ind w:firstLine="645"/>
        <w:rPr>
          <w:rFonts w:ascii="仿宋" w:hAnsi="仿宋" w:eastAsia="仿宋"/>
          <w:sz w:val="32"/>
          <w:szCs w:val="32"/>
        </w:rPr>
      </w:pPr>
      <w:r>
        <w:rPr>
          <w:rFonts w:hint="eastAsia" w:ascii="仿宋" w:hAnsi="仿宋" w:eastAsia="仿宋"/>
          <w:sz w:val="32"/>
          <w:szCs w:val="32"/>
        </w:rPr>
        <w:t>市场监督管理部门没有公职律师和法制审核的专业人员，并且未外聘法律顾问的，对拟作出涉及重大公共利益，可能造成重大社会影响或引发社会风险的执法决定，执法机构与审核机构意见又有分歧，可以申请征求上级市场监督管理部门外聘法律顾问、公职律师意见。</w:t>
      </w:r>
    </w:p>
    <w:p>
      <w:pPr>
        <w:ind w:firstLine="645"/>
        <w:rPr>
          <w:rFonts w:ascii="仿宋" w:hAnsi="仿宋" w:eastAsia="仿宋"/>
          <w:sz w:val="32"/>
          <w:szCs w:val="32"/>
        </w:rPr>
      </w:pPr>
      <w:r>
        <w:rPr>
          <w:rFonts w:hint="eastAsia" w:ascii="仿宋" w:hAnsi="仿宋" w:eastAsia="仿宋"/>
          <w:b/>
          <w:sz w:val="32"/>
          <w:szCs w:val="32"/>
        </w:rPr>
        <w:t xml:space="preserve">第七条【审核范围】 </w:t>
      </w:r>
      <w:r>
        <w:rPr>
          <w:rFonts w:hint="eastAsia" w:ascii="仿宋" w:hAnsi="仿宋" w:eastAsia="仿宋"/>
          <w:sz w:val="32"/>
          <w:szCs w:val="32"/>
        </w:rPr>
        <w:t>本规定所称的重大执法决定包括以下内容：</w:t>
      </w:r>
    </w:p>
    <w:p>
      <w:pPr>
        <w:ind w:firstLine="645"/>
        <w:rPr>
          <w:rFonts w:ascii="仿宋" w:hAnsi="仿宋" w:eastAsia="仿宋"/>
          <w:b w:val="0"/>
          <w:bCs/>
          <w:sz w:val="32"/>
          <w:szCs w:val="32"/>
        </w:rPr>
      </w:pPr>
      <w:bookmarkStart w:id="0" w:name="_GoBack"/>
      <w:r>
        <w:rPr>
          <w:rFonts w:hint="eastAsia" w:ascii="仿宋" w:hAnsi="仿宋" w:eastAsia="仿宋"/>
          <w:b w:val="0"/>
          <w:bCs/>
          <w:sz w:val="32"/>
          <w:szCs w:val="32"/>
        </w:rPr>
        <w:t>（一）拟对公民处以50元以上罚款，对法人或其他组织处以1000元以上罚款；</w:t>
      </w:r>
    </w:p>
    <w:bookmarkEnd w:id="0"/>
    <w:p>
      <w:pPr>
        <w:ind w:firstLine="645"/>
        <w:rPr>
          <w:rFonts w:ascii="仿宋" w:hAnsi="仿宋" w:eastAsia="仿宋"/>
          <w:sz w:val="32"/>
          <w:szCs w:val="32"/>
        </w:rPr>
      </w:pPr>
      <w:r>
        <w:rPr>
          <w:rFonts w:hint="eastAsia" w:ascii="仿宋" w:hAnsi="仿宋" w:eastAsia="仿宋"/>
          <w:sz w:val="32"/>
          <w:szCs w:val="32"/>
        </w:rPr>
        <w:t>（二）拟对自然人、法人或者其他组织作出没收违法所得和非法财物价值达到第一项所列数额的行政处罚；</w:t>
      </w:r>
    </w:p>
    <w:p>
      <w:pPr>
        <w:ind w:firstLine="645"/>
        <w:rPr>
          <w:rFonts w:ascii="仿宋" w:hAnsi="仿宋" w:eastAsia="仿宋"/>
          <w:sz w:val="32"/>
          <w:szCs w:val="32"/>
        </w:rPr>
      </w:pPr>
      <w:r>
        <w:rPr>
          <w:rFonts w:hint="eastAsia" w:ascii="仿宋" w:hAnsi="仿宋" w:eastAsia="仿宋"/>
          <w:sz w:val="32"/>
          <w:szCs w:val="32"/>
        </w:rPr>
        <w:t>（三）拟责令停产停业；</w:t>
      </w:r>
    </w:p>
    <w:p>
      <w:pPr>
        <w:ind w:firstLine="645"/>
        <w:rPr>
          <w:rFonts w:ascii="仿宋" w:hAnsi="仿宋" w:eastAsia="仿宋"/>
          <w:sz w:val="32"/>
          <w:szCs w:val="32"/>
        </w:rPr>
      </w:pPr>
      <w:r>
        <w:rPr>
          <w:rFonts w:hint="eastAsia" w:ascii="仿宋" w:hAnsi="仿宋" w:eastAsia="仿宋"/>
          <w:sz w:val="32"/>
          <w:szCs w:val="32"/>
        </w:rPr>
        <w:t>（四）拟作出吊销许可证或执照；</w:t>
      </w:r>
    </w:p>
    <w:p>
      <w:pPr>
        <w:ind w:firstLine="645"/>
        <w:rPr>
          <w:rFonts w:ascii="仿宋" w:hAnsi="仿宋" w:eastAsia="仿宋"/>
          <w:sz w:val="32"/>
          <w:szCs w:val="32"/>
        </w:rPr>
      </w:pPr>
      <w:r>
        <w:rPr>
          <w:rFonts w:hint="eastAsia" w:ascii="仿宋" w:hAnsi="仿宋" w:eastAsia="仿宋"/>
          <w:sz w:val="32"/>
          <w:szCs w:val="32"/>
        </w:rPr>
        <w:t>（五）拟拍卖或依法处理查封的场所、设施或者扣押的财物；</w:t>
      </w:r>
    </w:p>
    <w:p>
      <w:pPr>
        <w:ind w:firstLine="645"/>
        <w:rPr>
          <w:rFonts w:ascii="仿宋" w:hAnsi="仿宋" w:eastAsia="仿宋"/>
          <w:sz w:val="32"/>
          <w:szCs w:val="32"/>
        </w:rPr>
      </w:pPr>
      <w:r>
        <w:rPr>
          <w:rFonts w:hint="eastAsia" w:ascii="仿宋" w:hAnsi="仿宋" w:eastAsia="仿宋"/>
          <w:sz w:val="32"/>
          <w:szCs w:val="32"/>
        </w:rPr>
        <w:t>（六）经过听证程序的；</w:t>
      </w:r>
    </w:p>
    <w:p>
      <w:pPr>
        <w:ind w:firstLine="645"/>
        <w:rPr>
          <w:rFonts w:ascii="仿宋" w:hAnsi="仿宋" w:eastAsia="仿宋"/>
          <w:sz w:val="32"/>
          <w:szCs w:val="32"/>
        </w:rPr>
      </w:pPr>
      <w:r>
        <w:rPr>
          <w:rFonts w:hint="eastAsia" w:ascii="仿宋" w:hAnsi="仿宋" w:eastAsia="仿宋"/>
          <w:sz w:val="32"/>
          <w:szCs w:val="32"/>
        </w:rPr>
        <w:t>（七）拟作出涉及重大公共利益，可能造成重大社会影响或引发社会风险的；</w:t>
      </w:r>
    </w:p>
    <w:p>
      <w:pPr>
        <w:ind w:firstLine="645"/>
        <w:rPr>
          <w:rFonts w:ascii="仿宋" w:hAnsi="仿宋" w:eastAsia="仿宋"/>
          <w:sz w:val="32"/>
          <w:szCs w:val="32"/>
        </w:rPr>
      </w:pPr>
      <w:r>
        <w:rPr>
          <w:rFonts w:hint="eastAsia" w:ascii="仿宋" w:hAnsi="仿宋" w:eastAsia="仿宋"/>
          <w:sz w:val="32"/>
          <w:szCs w:val="32"/>
        </w:rPr>
        <w:t>（八）拟作出的直接关系行政相对人或第三人重大权益的；</w:t>
      </w:r>
    </w:p>
    <w:p>
      <w:pPr>
        <w:ind w:firstLine="645"/>
        <w:rPr>
          <w:rFonts w:ascii="仿宋" w:hAnsi="仿宋" w:eastAsia="仿宋"/>
          <w:sz w:val="32"/>
          <w:szCs w:val="32"/>
        </w:rPr>
      </w:pPr>
      <w:r>
        <w:rPr>
          <w:rFonts w:hint="eastAsia" w:ascii="仿宋" w:hAnsi="仿宋" w:eastAsia="仿宋"/>
          <w:sz w:val="32"/>
          <w:szCs w:val="32"/>
        </w:rPr>
        <w:t>（九）拟作出的其他重大、复杂、疑难的行政执法决定。</w:t>
      </w:r>
    </w:p>
    <w:p>
      <w:pPr>
        <w:ind w:firstLine="645"/>
        <w:rPr>
          <w:rFonts w:ascii="仿宋" w:hAnsi="仿宋" w:eastAsia="仿宋"/>
          <w:sz w:val="32"/>
          <w:szCs w:val="32"/>
        </w:rPr>
      </w:pPr>
      <w:r>
        <w:rPr>
          <w:rFonts w:hint="eastAsia" w:ascii="仿宋" w:hAnsi="仿宋" w:eastAsia="仿宋"/>
          <w:sz w:val="32"/>
          <w:szCs w:val="32"/>
        </w:rPr>
        <w:t>市人大常委会或者人民政府对前款第一项、第二项所列罚没数额有具体规定的，可以从其规定。</w:t>
      </w:r>
    </w:p>
    <w:p>
      <w:pPr>
        <w:ind w:firstLine="645"/>
        <w:rPr>
          <w:rFonts w:ascii="仿宋" w:hAnsi="仿宋" w:eastAsia="仿宋"/>
          <w:sz w:val="32"/>
          <w:szCs w:val="32"/>
        </w:rPr>
      </w:pPr>
      <w:r>
        <w:rPr>
          <w:rFonts w:hint="eastAsia" w:ascii="仿宋" w:hAnsi="仿宋" w:eastAsia="仿宋"/>
          <w:b/>
          <w:sz w:val="32"/>
          <w:szCs w:val="32"/>
        </w:rPr>
        <w:t>第八条【法制审核目录清单】</w:t>
      </w:r>
      <w:r>
        <w:rPr>
          <w:rFonts w:hint="eastAsia" w:ascii="仿宋" w:hAnsi="仿宋" w:eastAsia="仿宋"/>
          <w:sz w:val="32"/>
          <w:szCs w:val="32"/>
        </w:rPr>
        <w:t>市场监督管理部门应根据第七条规定制定本部门的重大执法决定法制审核目录清单。</w:t>
      </w:r>
    </w:p>
    <w:p>
      <w:pPr>
        <w:ind w:firstLine="645"/>
        <w:rPr>
          <w:rFonts w:ascii="仿宋" w:hAnsi="仿宋" w:eastAsia="仿宋"/>
          <w:sz w:val="32"/>
          <w:szCs w:val="32"/>
        </w:rPr>
      </w:pPr>
      <w:r>
        <w:rPr>
          <w:rFonts w:hint="eastAsia" w:ascii="仿宋" w:hAnsi="仿宋" w:eastAsia="仿宋"/>
          <w:sz w:val="32"/>
          <w:szCs w:val="32"/>
        </w:rPr>
        <w:t>上级市场监督管理部门应加强对下级市场监督管理部门法制审核目录清单编制工作的指导。</w:t>
      </w:r>
    </w:p>
    <w:p>
      <w:pPr>
        <w:ind w:firstLine="645"/>
        <w:rPr>
          <w:rFonts w:ascii="仿宋" w:hAnsi="仿宋" w:eastAsia="仿宋"/>
          <w:sz w:val="32"/>
          <w:szCs w:val="32"/>
        </w:rPr>
      </w:pPr>
      <w:r>
        <w:rPr>
          <w:rFonts w:hint="eastAsia" w:ascii="仿宋" w:hAnsi="仿宋" w:eastAsia="仿宋"/>
          <w:b/>
          <w:sz w:val="32"/>
          <w:szCs w:val="32"/>
        </w:rPr>
        <w:t>第九条【送审程序】</w:t>
      </w:r>
      <w:r>
        <w:rPr>
          <w:rFonts w:hint="eastAsia" w:ascii="仿宋" w:hAnsi="仿宋" w:eastAsia="仿宋"/>
          <w:sz w:val="32"/>
          <w:szCs w:val="32"/>
        </w:rPr>
        <w:t xml:space="preserve"> 执法机构应当提交以下书面材料进行法制审核：</w:t>
      </w:r>
    </w:p>
    <w:p>
      <w:pPr>
        <w:ind w:firstLine="645"/>
        <w:rPr>
          <w:rFonts w:ascii="仿宋" w:hAnsi="仿宋" w:eastAsia="仿宋"/>
          <w:sz w:val="32"/>
          <w:szCs w:val="32"/>
        </w:rPr>
      </w:pPr>
      <w:r>
        <w:rPr>
          <w:rFonts w:hint="eastAsia" w:ascii="仿宋" w:hAnsi="仿宋" w:eastAsia="仿宋"/>
          <w:sz w:val="32"/>
          <w:szCs w:val="32"/>
        </w:rPr>
        <w:t>（一）报请法制审核申请书</w:t>
      </w:r>
    </w:p>
    <w:p>
      <w:pPr>
        <w:ind w:firstLine="645"/>
        <w:rPr>
          <w:rFonts w:ascii="仿宋" w:hAnsi="仿宋" w:eastAsia="仿宋"/>
          <w:sz w:val="32"/>
          <w:szCs w:val="32"/>
        </w:rPr>
      </w:pPr>
      <w:r>
        <w:rPr>
          <w:rFonts w:hint="eastAsia" w:ascii="仿宋" w:hAnsi="仿宋" w:eastAsia="仿宋"/>
          <w:sz w:val="32"/>
          <w:szCs w:val="32"/>
        </w:rPr>
        <w:t>（二）拟作出的重大执法决定的情况说明，包括案件基本事实、适用依据、调查取证和听证、自由裁量等情况；</w:t>
      </w:r>
    </w:p>
    <w:p>
      <w:pPr>
        <w:ind w:firstLine="645"/>
        <w:rPr>
          <w:rFonts w:ascii="仿宋" w:hAnsi="仿宋" w:eastAsia="仿宋"/>
          <w:sz w:val="32"/>
          <w:szCs w:val="32"/>
        </w:rPr>
      </w:pPr>
      <w:r>
        <w:rPr>
          <w:rFonts w:hint="eastAsia" w:ascii="仿宋" w:hAnsi="仿宋" w:eastAsia="仿宋"/>
          <w:sz w:val="32"/>
          <w:szCs w:val="32"/>
        </w:rPr>
        <w:t>（三）拟作出的重大执法决定文书；</w:t>
      </w:r>
    </w:p>
    <w:p>
      <w:pPr>
        <w:ind w:firstLine="645"/>
        <w:rPr>
          <w:rFonts w:ascii="仿宋" w:hAnsi="仿宋" w:eastAsia="仿宋"/>
          <w:sz w:val="32"/>
          <w:szCs w:val="32"/>
        </w:rPr>
      </w:pPr>
      <w:r>
        <w:rPr>
          <w:rFonts w:hint="eastAsia" w:ascii="仿宋" w:hAnsi="仿宋" w:eastAsia="仿宋"/>
          <w:sz w:val="32"/>
          <w:szCs w:val="32"/>
        </w:rPr>
        <w:t>（四）案件证据材料；</w:t>
      </w:r>
    </w:p>
    <w:p>
      <w:pPr>
        <w:ind w:firstLine="645"/>
        <w:rPr>
          <w:rFonts w:ascii="仿宋" w:hAnsi="仿宋" w:eastAsia="仿宋"/>
          <w:sz w:val="32"/>
          <w:szCs w:val="32"/>
        </w:rPr>
      </w:pPr>
      <w:r>
        <w:rPr>
          <w:rFonts w:hint="eastAsia" w:ascii="仿宋" w:hAnsi="仿宋" w:eastAsia="仿宋"/>
          <w:sz w:val="32"/>
          <w:szCs w:val="32"/>
        </w:rPr>
        <w:t>（五）报请征求上级部门法律顾问、公职律师意见的，还应当提供执法机构与审核机构意见分歧的情况说明，说明分歧意见的理由、依据等；</w:t>
      </w:r>
    </w:p>
    <w:p>
      <w:pPr>
        <w:ind w:firstLine="645"/>
        <w:rPr>
          <w:rFonts w:ascii="仿宋" w:hAnsi="仿宋" w:eastAsia="仿宋"/>
          <w:sz w:val="32"/>
          <w:szCs w:val="32"/>
        </w:rPr>
      </w:pPr>
      <w:r>
        <w:rPr>
          <w:rFonts w:hint="eastAsia" w:ascii="仿宋" w:hAnsi="仿宋" w:eastAsia="仿宋"/>
          <w:sz w:val="32"/>
          <w:szCs w:val="32"/>
        </w:rPr>
        <w:t>（六）其他需要说明的资料。</w:t>
      </w:r>
    </w:p>
    <w:p>
      <w:pPr>
        <w:ind w:firstLine="645"/>
        <w:rPr>
          <w:rFonts w:ascii="仿宋" w:hAnsi="仿宋" w:eastAsia="仿宋"/>
          <w:sz w:val="32"/>
          <w:szCs w:val="32"/>
        </w:rPr>
      </w:pPr>
      <w:r>
        <w:rPr>
          <w:rFonts w:hint="eastAsia" w:ascii="仿宋" w:hAnsi="仿宋" w:eastAsia="仿宋"/>
          <w:sz w:val="32"/>
          <w:szCs w:val="32"/>
        </w:rPr>
        <w:t>送审机构不得以征求意见方式代替启动法制审核程序。</w:t>
      </w:r>
    </w:p>
    <w:p>
      <w:pPr>
        <w:ind w:firstLine="645"/>
        <w:rPr>
          <w:rFonts w:ascii="仿宋" w:hAnsi="仿宋" w:eastAsia="仿宋"/>
          <w:sz w:val="32"/>
          <w:szCs w:val="32"/>
        </w:rPr>
      </w:pPr>
      <w:r>
        <w:rPr>
          <w:rFonts w:hint="eastAsia" w:ascii="仿宋" w:hAnsi="仿宋" w:eastAsia="仿宋"/>
          <w:b/>
          <w:sz w:val="32"/>
          <w:szCs w:val="32"/>
        </w:rPr>
        <w:t>第十条【法制审核内容】</w:t>
      </w:r>
      <w:r>
        <w:rPr>
          <w:rFonts w:hint="eastAsia" w:ascii="仿宋" w:hAnsi="仿宋" w:eastAsia="仿宋"/>
          <w:sz w:val="32"/>
          <w:szCs w:val="32"/>
        </w:rPr>
        <w:t xml:space="preserve"> 法制机构应从以下几个方面进行法制审核：</w:t>
      </w:r>
    </w:p>
    <w:p>
      <w:pPr>
        <w:ind w:firstLine="645"/>
        <w:rPr>
          <w:rFonts w:ascii="仿宋" w:hAnsi="仿宋" w:eastAsia="仿宋"/>
          <w:sz w:val="32"/>
          <w:szCs w:val="32"/>
        </w:rPr>
      </w:pPr>
      <w:r>
        <w:rPr>
          <w:rFonts w:hint="eastAsia" w:ascii="仿宋" w:hAnsi="仿宋" w:eastAsia="仿宋"/>
          <w:sz w:val="32"/>
          <w:szCs w:val="32"/>
        </w:rPr>
        <w:t>（一）案件是否有管辖权；</w:t>
      </w:r>
    </w:p>
    <w:p>
      <w:pPr>
        <w:ind w:firstLine="645"/>
        <w:rPr>
          <w:rFonts w:ascii="仿宋" w:hAnsi="仿宋" w:eastAsia="仿宋"/>
          <w:sz w:val="32"/>
          <w:szCs w:val="32"/>
        </w:rPr>
      </w:pPr>
      <w:r>
        <w:rPr>
          <w:rFonts w:hint="eastAsia" w:ascii="仿宋" w:hAnsi="仿宋" w:eastAsia="仿宋"/>
          <w:sz w:val="32"/>
          <w:szCs w:val="32"/>
        </w:rPr>
        <w:t>（二）执法主体是否适格，执法人员是否具有执法资格，是否超越或者滥用职权；</w:t>
      </w:r>
    </w:p>
    <w:p>
      <w:pPr>
        <w:ind w:firstLine="645"/>
        <w:rPr>
          <w:rFonts w:ascii="仿宋" w:hAnsi="仿宋" w:eastAsia="仿宋"/>
          <w:sz w:val="32"/>
          <w:szCs w:val="32"/>
        </w:rPr>
      </w:pPr>
      <w:r>
        <w:rPr>
          <w:rFonts w:hint="eastAsia" w:ascii="仿宋" w:hAnsi="仿宋" w:eastAsia="仿宋"/>
          <w:sz w:val="32"/>
          <w:szCs w:val="32"/>
        </w:rPr>
        <w:t>（三）违法事实是否清楚，证据是否确实充分；</w:t>
      </w:r>
    </w:p>
    <w:p>
      <w:pPr>
        <w:ind w:firstLine="645"/>
        <w:rPr>
          <w:rFonts w:ascii="仿宋" w:hAnsi="仿宋" w:eastAsia="仿宋"/>
          <w:sz w:val="32"/>
          <w:szCs w:val="32"/>
        </w:rPr>
      </w:pPr>
      <w:r>
        <w:rPr>
          <w:rFonts w:hint="eastAsia" w:ascii="仿宋" w:hAnsi="仿宋" w:eastAsia="仿宋"/>
          <w:sz w:val="32"/>
          <w:szCs w:val="32"/>
        </w:rPr>
        <w:t>（四）适用法律法规是否准确；</w:t>
      </w:r>
    </w:p>
    <w:p>
      <w:pPr>
        <w:ind w:firstLine="645"/>
        <w:rPr>
          <w:rFonts w:ascii="仿宋" w:hAnsi="仿宋" w:eastAsia="仿宋"/>
          <w:sz w:val="32"/>
          <w:szCs w:val="32"/>
        </w:rPr>
      </w:pPr>
      <w:r>
        <w:rPr>
          <w:rFonts w:hint="eastAsia" w:ascii="仿宋" w:hAnsi="仿宋" w:eastAsia="仿宋"/>
          <w:sz w:val="32"/>
          <w:szCs w:val="32"/>
        </w:rPr>
        <w:t>（五）案件当事人的权利是否得到保障；</w:t>
      </w:r>
    </w:p>
    <w:p>
      <w:pPr>
        <w:ind w:firstLine="645"/>
        <w:rPr>
          <w:rFonts w:ascii="仿宋" w:hAnsi="仿宋" w:eastAsia="仿宋"/>
          <w:sz w:val="32"/>
          <w:szCs w:val="32"/>
        </w:rPr>
      </w:pPr>
      <w:r>
        <w:rPr>
          <w:rFonts w:hint="eastAsia" w:ascii="仿宋" w:hAnsi="仿宋" w:eastAsia="仿宋"/>
          <w:sz w:val="32"/>
          <w:szCs w:val="32"/>
        </w:rPr>
        <w:t>（六）执法决定的裁量是否合理、适当；</w:t>
      </w:r>
    </w:p>
    <w:p>
      <w:pPr>
        <w:ind w:firstLine="645"/>
        <w:rPr>
          <w:rFonts w:ascii="仿宋" w:hAnsi="仿宋" w:eastAsia="仿宋"/>
          <w:sz w:val="32"/>
          <w:szCs w:val="32"/>
        </w:rPr>
      </w:pPr>
      <w:r>
        <w:rPr>
          <w:rFonts w:hint="eastAsia" w:ascii="仿宋" w:hAnsi="仿宋" w:eastAsia="仿宋"/>
          <w:sz w:val="32"/>
          <w:szCs w:val="32"/>
        </w:rPr>
        <w:t>（七）执法程序是否合法、完整；</w:t>
      </w:r>
    </w:p>
    <w:p>
      <w:pPr>
        <w:ind w:firstLine="645"/>
        <w:rPr>
          <w:rFonts w:ascii="仿宋" w:hAnsi="仿宋" w:eastAsia="仿宋"/>
          <w:sz w:val="32"/>
          <w:szCs w:val="32"/>
        </w:rPr>
      </w:pPr>
      <w:r>
        <w:rPr>
          <w:rFonts w:hint="eastAsia" w:ascii="仿宋" w:hAnsi="仿宋" w:eastAsia="仿宋"/>
          <w:sz w:val="32"/>
          <w:szCs w:val="32"/>
        </w:rPr>
        <w:t>（八）执法文书是否完备、规范；</w:t>
      </w:r>
    </w:p>
    <w:p>
      <w:pPr>
        <w:ind w:firstLine="645"/>
        <w:rPr>
          <w:rFonts w:ascii="仿宋" w:hAnsi="仿宋" w:eastAsia="仿宋"/>
          <w:sz w:val="32"/>
          <w:szCs w:val="32"/>
        </w:rPr>
      </w:pPr>
      <w:r>
        <w:rPr>
          <w:rFonts w:hint="eastAsia" w:ascii="仿宋" w:hAnsi="仿宋" w:eastAsia="仿宋"/>
          <w:sz w:val="32"/>
          <w:szCs w:val="32"/>
        </w:rPr>
        <w:t>（九）违法行为是否涉嫌犯罪，是否需要移送司法机关。</w:t>
      </w:r>
    </w:p>
    <w:p>
      <w:pPr>
        <w:ind w:firstLine="645"/>
        <w:rPr>
          <w:rFonts w:ascii="仿宋" w:hAnsi="仿宋" w:eastAsia="仿宋"/>
          <w:sz w:val="32"/>
          <w:szCs w:val="32"/>
        </w:rPr>
      </w:pPr>
      <w:r>
        <w:rPr>
          <w:rFonts w:hint="eastAsia" w:ascii="仿宋" w:hAnsi="仿宋" w:eastAsia="仿宋"/>
          <w:b/>
          <w:sz w:val="32"/>
          <w:szCs w:val="32"/>
        </w:rPr>
        <w:t>第十一条【法制审核期限】</w:t>
      </w:r>
      <w:r>
        <w:rPr>
          <w:rFonts w:hint="eastAsia" w:ascii="仿宋" w:hAnsi="仿宋" w:eastAsia="仿宋"/>
          <w:sz w:val="32"/>
          <w:szCs w:val="32"/>
        </w:rPr>
        <w:t xml:space="preserve"> 法制机构应当自收到材料之日起10个工作日内完成审核，提出审核意见。</w:t>
      </w:r>
    </w:p>
    <w:p>
      <w:pPr>
        <w:ind w:firstLine="645"/>
        <w:rPr>
          <w:rFonts w:ascii="仿宋" w:hAnsi="仿宋" w:eastAsia="仿宋"/>
          <w:sz w:val="32"/>
          <w:szCs w:val="32"/>
        </w:rPr>
      </w:pPr>
      <w:r>
        <w:rPr>
          <w:rFonts w:hint="eastAsia" w:ascii="仿宋" w:hAnsi="仿宋" w:eastAsia="仿宋"/>
          <w:sz w:val="32"/>
          <w:szCs w:val="32"/>
        </w:rPr>
        <w:t>对下级市场监督管理部门报送的法制审核材料，上级市场监督管理部门法制审核机构应当自收到材料之日起5个工作日内征求本部门法律顾问、公职律师意见，整理形成法律顾问、公职律师意见并反馈下级市场监督管理部门。</w:t>
      </w:r>
    </w:p>
    <w:p>
      <w:pPr>
        <w:ind w:firstLine="645"/>
        <w:rPr>
          <w:rFonts w:ascii="仿宋" w:hAnsi="仿宋" w:eastAsia="仿宋"/>
          <w:sz w:val="32"/>
          <w:szCs w:val="32"/>
        </w:rPr>
      </w:pPr>
      <w:r>
        <w:rPr>
          <w:rFonts w:hint="eastAsia" w:ascii="仿宋" w:hAnsi="仿宋" w:eastAsia="仿宋"/>
          <w:sz w:val="32"/>
          <w:szCs w:val="32"/>
        </w:rPr>
        <w:t>下级市场监督管理部门或本部门执法机构报送材料不齐全的，自补齐材料之日起计算。</w:t>
      </w:r>
    </w:p>
    <w:p>
      <w:pPr>
        <w:ind w:firstLine="645"/>
        <w:rPr>
          <w:rFonts w:ascii="仿宋" w:hAnsi="仿宋" w:eastAsia="仿宋"/>
          <w:sz w:val="32"/>
          <w:szCs w:val="32"/>
        </w:rPr>
      </w:pPr>
      <w:r>
        <w:rPr>
          <w:rFonts w:hint="eastAsia" w:ascii="仿宋" w:hAnsi="仿宋" w:eastAsia="仿宋"/>
          <w:sz w:val="32"/>
          <w:szCs w:val="32"/>
        </w:rPr>
        <w:t>案件复杂的，经分管法制工作领导批准可以延长3个工作日。</w:t>
      </w:r>
    </w:p>
    <w:p>
      <w:pPr>
        <w:ind w:firstLine="645"/>
        <w:rPr>
          <w:rFonts w:ascii="仿宋" w:hAnsi="仿宋" w:eastAsia="仿宋"/>
          <w:sz w:val="32"/>
          <w:szCs w:val="32"/>
        </w:rPr>
      </w:pPr>
      <w:r>
        <w:rPr>
          <w:rFonts w:hint="eastAsia" w:ascii="仿宋" w:hAnsi="仿宋" w:eastAsia="仿宋"/>
          <w:b/>
          <w:sz w:val="32"/>
          <w:szCs w:val="32"/>
        </w:rPr>
        <w:t xml:space="preserve">第十二条【法制审核意见】 </w:t>
      </w:r>
      <w:r>
        <w:rPr>
          <w:rFonts w:hint="eastAsia" w:ascii="仿宋" w:hAnsi="仿宋" w:eastAsia="仿宋"/>
          <w:sz w:val="32"/>
          <w:szCs w:val="32"/>
        </w:rPr>
        <w:t>法制机构审核后，根据不同情况提出相应的书面法制审核意见：</w:t>
      </w:r>
    </w:p>
    <w:p>
      <w:pPr>
        <w:ind w:firstLine="645"/>
        <w:rPr>
          <w:rFonts w:ascii="仿宋" w:hAnsi="仿宋" w:eastAsia="仿宋"/>
          <w:sz w:val="32"/>
          <w:szCs w:val="32"/>
        </w:rPr>
      </w:pPr>
      <w:r>
        <w:rPr>
          <w:rFonts w:hint="eastAsia" w:ascii="仿宋" w:hAnsi="仿宋" w:eastAsia="仿宋"/>
          <w:sz w:val="32"/>
          <w:szCs w:val="32"/>
        </w:rPr>
        <w:t>（一）案件认定事实清楚、证据确凿、依据准确、程序合法、裁量适当的，提出同意意见；</w:t>
      </w:r>
    </w:p>
    <w:p>
      <w:pPr>
        <w:ind w:firstLine="645"/>
        <w:rPr>
          <w:rFonts w:ascii="仿宋" w:hAnsi="仿宋" w:eastAsia="仿宋"/>
          <w:sz w:val="32"/>
          <w:szCs w:val="32"/>
        </w:rPr>
      </w:pPr>
      <w:r>
        <w:rPr>
          <w:rFonts w:hint="eastAsia" w:ascii="仿宋" w:hAnsi="仿宋" w:eastAsia="仿宋"/>
          <w:sz w:val="32"/>
          <w:szCs w:val="32"/>
        </w:rPr>
        <w:t>（二）行政行为不能成立的，提出不同意意见；</w:t>
      </w:r>
    </w:p>
    <w:p>
      <w:pPr>
        <w:ind w:firstLine="645"/>
        <w:rPr>
          <w:rFonts w:ascii="仿宋" w:hAnsi="仿宋" w:eastAsia="仿宋"/>
          <w:sz w:val="32"/>
          <w:szCs w:val="32"/>
        </w:rPr>
      </w:pPr>
      <w:r>
        <w:rPr>
          <w:rFonts w:hint="eastAsia" w:ascii="仿宋" w:hAnsi="仿宋" w:eastAsia="仿宋"/>
          <w:sz w:val="32"/>
          <w:szCs w:val="32"/>
        </w:rPr>
        <w:t>（三）适用依据不准确、自由裁量不当、执法文书不规范的，提出变更意见；</w:t>
      </w:r>
    </w:p>
    <w:p>
      <w:pPr>
        <w:ind w:firstLine="645"/>
        <w:rPr>
          <w:rFonts w:ascii="仿宋" w:hAnsi="仿宋" w:eastAsia="仿宋"/>
          <w:sz w:val="32"/>
          <w:szCs w:val="32"/>
        </w:rPr>
      </w:pPr>
      <w:r>
        <w:rPr>
          <w:rFonts w:hint="eastAsia" w:ascii="仿宋" w:hAnsi="仿宋" w:eastAsia="仿宋"/>
          <w:sz w:val="32"/>
          <w:szCs w:val="32"/>
        </w:rPr>
        <w:t>（四）执法程序违法的，提出纠正意见；</w:t>
      </w:r>
    </w:p>
    <w:p>
      <w:pPr>
        <w:ind w:firstLine="645"/>
        <w:rPr>
          <w:rFonts w:ascii="仿宋" w:hAnsi="仿宋" w:eastAsia="仿宋"/>
          <w:sz w:val="32"/>
          <w:szCs w:val="32"/>
        </w:rPr>
      </w:pPr>
      <w:r>
        <w:rPr>
          <w:rFonts w:hint="eastAsia" w:ascii="仿宋" w:hAnsi="仿宋" w:eastAsia="仿宋"/>
          <w:sz w:val="32"/>
          <w:szCs w:val="32"/>
        </w:rPr>
        <w:t>（五）事实不清、证据不足的，提出退回补充意见；</w:t>
      </w:r>
    </w:p>
    <w:p>
      <w:pPr>
        <w:ind w:firstLine="645"/>
        <w:rPr>
          <w:rFonts w:ascii="仿宋" w:hAnsi="仿宋" w:eastAsia="仿宋"/>
          <w:sz w:val="32"/>
          <w:szCs w:val="32"/>
        </w:rPr>
      </w:pPr>
      <w:r>
        <w:rPr>
          <w:rFonts w:hint="eastAsia" w:ascii="仿宋" w:hAnsi="仿宋" w:eastAsia="仿宋"/>
          <w:sz w:val="32"/>
          <w:szCs w:val="32"/>
        </w:rPr>
        <w:t>（六）超出本机关管辖范围或者需要移送司法机关的，提出移送意见。</w:t>
      </w:r>
    </w:p>
    <w:p>
      <w:pPr>
        <w:ind w:firstLine="645"/>
        <w:rPr>
          <w:rFonts w:ascii="仿宋" w:hAnsi="仿宋" w:eastAsia="仿宋"/>
          <w:sz w:val="32"/>
          <w:szCs w:val="32"/>
        </w:rPr>
      </w:pPr>
      <w:r>
        <w:rPr>
          <w:rFonts w:hint="eastAsia" w:ascii="仿宋" w:hAnsi="仿宋" w:eastAsia="仿宋"/>
          <w:b/>
          <w:sz w:val="32"/>
          <w:szCs w:val="32"/>
        </w:rPr>
        <w:t>第十三条【法制审核机构意见的处理】</w:t>
      </w:r>
      <w:r>
        <w:rPr>
          <w:rFonts w:hint="eastAsia" w:ascii="仿宋" w:hAnsi="仿宋" w:eastAsia="仿宋"/>
          <w:sz w:val="32"/>
          <w:szCs w:val="32"/>
        </w:rPr>
        <w:t xml:space="preserve"> 执法机构应当认真研究法制机构提出的意见，报市场监督管理部门负责人审查决定。</w:t>
      </w:r>
    </w:p>
    <w:p>
      <w:pPr>
        <w:ind w:firstLine="645"/>
        <w:rPr>
          <w:rFonts w:ascii="仿宋" w:hAnsi="仿宋" w:eastAsia="仿宋"/>
          <w:sz w:val="32"/>
          <w:szCs w:val="32"/>
        </w:rPr>
      </w:pPr>
      <w:r>
        <w:rPr>
          <w:rFonts w:hint="eastAsia" w:ascii="仿宋" w:hAnsi="仿宋" w:eastAsia="仿宋"/>
          <w:sz w:val="32"/>
          <w:szCs w:val="32"/>
        </w:rPr>
        <w:t>执法机构对法制审核意见有异议的，可以提出书面申请，要求法制机构复审一次。经复审，执法机构仍不同意法制审核意见的，分别提交分管局领导决定。分管局领导意见不一致的，由部门主要领导召开部门负责人会议集体讨论决定。</w:t>
      </w:r>
    </w:p>
    <w:p>
      <w:pPr>
        <w:ind w:firstLine="645"/>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w:t>
      </w:r>
      <w:r>
        <w:rPr>
          <w:rFonts w:hint="eastAsia" w:ascii="仿宋" w:hAnsi="仿宋" w:eastAsia="仿宋"/>
          <w:b/>
          <w:sz w:val="32"/>
          <w:szCs w:val="32"/>
        </w:rPr>
        <w:t>审核意见存档</w:t>
      </w:r>
      <w:r>
        <w:rPr>
          <w:rFonts w:hint="eastAsia" w:ascii="仿宋" w:hAnsi="仿宋" w:eastAsia="仿宋"/>
          <w:sz w:val="32"/>
          <w:szCs w:val="32"/>
        </w:rPr>
        <w:t>】法制机构审核形成的法制审核意见书应当随执法案卷存档。</w:t>
      </w:r>
    </w:p>
    <w:p>
      <w:pPr>
        <w:ind w:firstLine="645"/>
        <w:rPr>
          <w:rFonts w:ascii="仿宋" w:hAnsi="仿宋" w:eastAsia="仿宋"/>
          <w:sz w:val="32"/>
          <w:szCs w:val="32"/>
        </w:rPr>
      </w:pPr>
      <w:r>
        <w:rPr>
          <w:rFonts w:hint="eastAsia" w:ascii="仿宋" w:hAnsi="仿宋" w:eastAsia="仿宋"/>
          <w:b/>
          <w:sz w:val="32"/>
          <w:szCs w:val="32"/>
        </w:rPr>
        <w:t>第十五条【执法机构责任】</w:t>
      </w:r>
      <w:r>
        <w:rPr>
          <w:rFonts w:hint="eastAsia" w:ascii="仿宋" w:hAnsi="仿宋" w:eastAsia="仿宋"/>
          <w:sz w:val="32"/>
          <w:szCs w:val="32"/>
        </w:rPr>
        <w:t xml:space="preserve"> 执法机构应当真实客观全面报送审核材料。因报送的材料虚假或者不齐备，造成重大执法决定违法的，由执法机构依法承担责任。</w:t>
      </w:r>
    </w:p>
    <w:p>
      <w:pPr>
        <w:ind w:firstLine="645"/>
        <w:rPr>
          <w:rFonts w:ascii="仿宋" w:hAnsi="仿宋" w:eastAsia="仿宋"/>
          <w:sz w:val="32"/>
          <w:szCs w:val="32"/>
        </w:rPr>
      </w:pPr>
      <w:r>
        <w:rPr>
          <w:rFonts w:hint="eastAsia" w:ascii="仿宋" w:hAnsi="仿宋" w:eastAsia="仿宋"/>
          <w:b/>
          <w:sz w:val="32"/>
          <w:szCs w:val="32"/>
        </w:rPr>
        <w:t>第十六条【法制审核责任】</w:t>
      </w:r>
      <w:r>
        <w:rPr>
          <w:rFonts w:hint="eastAsia" w:ascii="仿宋" w:hAnsi="仿宋" w:eastAsia="仿宋"/>
          <w:sz w:val="32"/>
          <w:szCs w:val="32"/>
        </w:rPr>
        <w:t xml:space="preserve"> 法制机构审核时应当严格履行职责，因弄虚作假、隐瞒事实造成重大执法决定违法的，由法制机构依法承担责任。</w:t>
      </w:r>
    </w:p>
    <w:p>
      <w:pPr>
        <w:ind w:firstLine="645"/>
        <w:rPr>
          <w:rFonts w:ascii="仿宋" w:hAnsi="仿宋" w:eastAsia="仿宋"/>
          <w:sz w:val="32"/>
          <w:szCs w:val="32"/>
        </w:rPr>
      </w:pPr>
      <w:r>
        <w:rPr>
          <w:rFonts w:hint="eastAsia" w:ascii="仿宋" w:hAnsi="仿宋" w:eastAsia="仿宋"/>
          <w:b/>
          <w:sz w:val="32"/>
          <w:szCs w:val="32"/>
        </w:rPr>
        <w:t xml:space="preserve">第十七条【负责人审批责任】 </w:t>
      </w:r>
      <w:r>
        <w:rPr>
          <w:rFonts w:hint="eastAsia" w:ascii="仿宋" w:hAnsi="仿宋" w:eastAsia="仿宋"/>
          <w:sz w:val="32"/>
          <w:szCs w:val="32"/>
        </w:rPr>
        <w:t>市场监督管理部门主要负责人是推动落实本部门重大执法决定法制审核制度的第一责任人，对本部门作出的行政执法决定负责。</w:t>
      </w:r>
    </w:p>
    <w:p>
      <w:pPr>
        <w:ind w:firstLine="645"/>
        <w:rPr>
          <w:rFonts w:ascii="仿宋" w:hAnsi="仿宋" w:eastAsia="仿宋"/>
          <w:sz w:val="32"/>
          <w:szCs w:val="32"/>
        </w:rPr>
      </w:pPr>
      <w:r>
        <w:rPr>
          <w:rFonts w:hint="eastAsia" w:ascii="仿宋" w:hAnsi="仿宋" w:eastAsia="仿宋"/>
          <w:sz w:val="32"/>
          <w:szCs w:val="32"/>
        </w:rPr>
        <w:t>对应当经法制机构审核的重大执法决定事项，未经审核或审核未通过的，市场监督管理部门部门负责人不得审批；违反本规定审批造成重大执法决定错误的，由审批负责人依法承担责任。</w:t>
      </w:r>
    </w:p>
    <w:p>
      <w:pPr>
        <w:ind w:firstLine="645"/>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w:t>
      </w:r>
      <w:r>
        <w:rPr>
          <w:rFonts w:hint="eastAsia" w:ascii="仿宋" w:hAnsi="仿宋" w:eastAsia="仿宋"/>
          <w:b/>
          <w:sz w:val="32"/>
          <w:szCs w:val="32"/>
        </w:rPr>
        <w:t>滥用职权责任</w:t>
      </w:r>
      <w:r>
        <w:rPr>
          <w:rFonts w:hint="eastAsia" w:ascii="仿宋" w:hAnsi="仿宋" w:eastAsia="仿宋"/>
          <w:sz w:val="32"/>
          <w:szCs w:val="32"/>
        </w:rPr>
        <w:t>】 法制审核过程中，执法人员、法制审核人员和审批负责人滥用职权、玩忽职守、徇私枉法等，导致行政执法错误的，应依法依纪追究责任。</w:t>
      </w:r>
    </w:p>
    <w:p>
      <w:pPr>
        <w:ind w:firstLine="645"/>
        <w:rPr>
          <w:rFonts w:ascii="仿宋" w:hAnsi="仿宋" w:eastAsia="仿宋"/>
          <w:sz w:val="32"/>
          <w:szCs w:val="32"/>
        </w:rPr>
      </w:pPr>
      <w:r>
        <w:rPr>
          <w:rFonts w:hint="eastAsia" w:ascii="仿宋" w:hAnsi="仿宋" w:eastAsia="仿宋"/>
          <w:b/>
          <w:sz w:val="32"/>
          <w:szCs w:val="32"/>
        </w:rPr>
        <w:t xml:space="preserve">第十九条【上级部门监督职责】 </w:t>
      </w:r>
      <w:r>
        <w:rPr>
          <w:rFonts w:hint="eastAsia" w:ascii="仿宋" w:hAnsi="仿宋" w:eastAsia="仿宋"/>
          <w:sz w:val="32"/>
          <w:szCs w:val="32"/>
        </w:rPr>
        <w:t>市场监督管理部门不施行法制审核制度的，由上级市场监督管理部门责令纠正。</w:t>
      </w:r>
    </w:p>
    <w:p>
      <w:pPr>
        <w:ind w:firstLine="645"/>
        <w:rPr>
          <w:rFonts w:ascii="仿宋" w:hAnsi="仿宋" w:eastAsia="仿宋"/>
          <w:sz w:val="32"/>
          <w:szCs w:val="32"/>
        </w:rPr>
      </w:pPr>
      <w:r>
        <w:rPr>
          <w:rFonts w:hint="eastAsia" w:ascii="仿宋" w:hAnsi="仿宋" w:eastAsia="仿宋"/>
          <w:sz w:val="32"/>
          <w:szCs w:val="32"/>
        </w:rPr>
        <w:t>经责令纠正拒不改正的，上级市场监督管理部门应当将有关情况形成书面报告，依法向监察部门提出书面处理建议。</w:t>
      </w:r>
    </w:p>
    <w:p>
      <w:pPr>
        <w:ind w:firstLine="643" w:firstLineChars="200"/>
        <w:rPr>
          <w:rFonts w:ascii="仿宋" w:hAnsi="仿宋" w:eastAsia="仿宋"/>
          <w:sz w:val="32"/>
          <w:szCs w:val="32"/>
        </w:rPr>
      </w:pPr>
      <w:r>
        <w:rPr>
          <w:rFonts w:hint="eastAsia" w:ascii="仿宋" w:hAnsi="仿宋" w:eastAsia="仿宋"/>
          <w:b/>
          <w:sz w:val="32"/>
          <w:szCs w:val="32"/>
        </w:rPr>
        <w:t>第二十条【解释权】</w:t>
      </w:r>
      <w:r>
        <w:rPr>
          <w:rFonts w:hint="eastAsia" w:ascii="仿宋" w:hAnsi="仿宋" w:eastAsia="仿宋"/>
          <w:sz w:val="32"/>
          <w:szCs w:val="32"/>
        </w:rPr>
        <w:t xml:space="preserve"> 本规定由市市场监督管理局负责解释。</w:t>
      </w:r>
    </w:p>
    <w:p>
      <w:pPr>
        <w:ind w:firstLine="645"/>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w:t>
      </w:r>
      <w:r>
        <w:rPr>
          <w:rFonts w:hint="eastAsia" w:ascii="仿宋" w:hAnsi="仿宋" w:eastAsia="仿宋"/>
          <w:b/>
          <w:sz w:val="32"/>
          <w:szCs w:val="32"/>
        </w:rPr>
        <w:t>施行时间</w:t>
      </w:r>
      <w:r>
        <w:rPr>
          <w:rFonts w:hint="eastAsia" w:ascii="仿宋" w:hAnsi="仿宋" w:eastAsia="仿宋"/>
          <w:sz w:val="32"/>
          <w:szCs w:val="32"/>
        </w:rPr>
        <w:t xml:space="preserve">】 本规定自印发之日起施行。 </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768988"/>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67CE"/>
    <w:rsid w:val="00006E03"/>
    <w:rsid w:val="00013827"/>
    <w:rsid w:val="000164DF"/>
    <w:rsid w:val="00026B8E"/>
    <w:rsid w:val="00042EE7"/>
    <w:rsid w:val="00071BE7"/>
    <w:rsid w:val="000937F6"/>
    <w:rsid w:val="000B1302"/>
    <w:rsid w:val="000B3B74"/>
    <w:rsid w:val="000B7647"/>
    <w:rsid w:val="000C3F41"/>
    <w:rsid w:val="000C6F29"/>
    <w:rsid w:val="000C759C"/>
    <w:rsid w:val="000C7B84"/>
    <w:rsid w:val="000D0D7A"/>
    <w:rsid w:val="000D6184"/>
    <w:rsid w:val="00100F6D"/>
    <w:rsid w:val="00104047"/>
    <w:rsid w:val="001065D8"/>
    <w:rsid w:val="00114D8F"/>
    <w:rsid w:val="001213B2"/>
    <w:rsid w:val="00134B8E"/>
    <w:rsid w:val="00135556"/>
    <w:rsid w:val="0013603B"/>
    <w:rsid w:val="00136765"/>
    <w:rsid w:val="0013744F"/>
    <w:rsid w:val="0014051B"/>
    <w:rsid w:val="0014181A"/>
    <w:rsid w:val="00147ADB"/>
    <w:rsid w:val="00155C38"/>
    <w:rsid w:val="001562F7"/>
    <w:rsid w:val="00161200"/>
    <w:rsid w:val="00165B70"/>
    <w:rsid w:val="00166C23"/>
    <w:rsid w:val="00173EAA"/>
    <w:rsid w:val="0018742C"/>
    <w:rsid w:val="00191548"/>
    <w:rsid w:val="001941B9"/>
    <w:rsid w:val="00197F76"/>
    <w:rsid w:val="001A7E7D"/>
    <w:rsid w:val="001B137F"/>
    <w:rsid w:val="001C755B"/>
    <w:rsid w:val="001E2502"/>
    <w:rsid w:val="001E4C5A"/>
    <w:rsid w:val="00207195"/>
    <w:rsid w:val="002100A6"/>
    <w:rsid w:val="00211B0B"/>
    <w:rsid w:val="0021263B"/>
    <w:rsid w:val="002159BB"/>
    <w:rsid w:val="00226175"/>
    <w:rsid w:val="00226835"/>
    <w:rsid w:val="00256CB9"/>
    <w:rsid w:val="002653FC"/>
    <w:rsid w:val="00265752"/>
    <w:rsid w:val="002662E6"/>
    <w:rsid w:val="00275EFF"/>
    <w:rsid w:val="00290D67"/>
    <w:rsid w:val="002958A0"/>
    <w:rsid w:val="002A0954"/>
    <w:rsid w:val="002A1B1B"/>
    <w:rsid w:val="002A3CCF"/>
    <w:rsid w:val="002A4B84"/>
    <w:rsid w:val="002B23A4"/>
    <w:rsid w:val="002D6AA4"/>
    <w:rsid w:val="002D7133"/>
    <w:rsid w:val="002E3865"/>
    <w:rsid w:val="002E3B48"/>
    <w:rsid w:val="00303947"/>
    <w:rsid w:val="00306564"/>
    <w:rsid w:val="00322535"/>
    <w:rsid w:val="00324B35"/>
    <w:rsid w:val="00333B74"/>
    <w:rsid w:val="0033404F"/>
    <w:rsid w:val="00341C1C"/>
    <w:rsid w:val="00345737"/>
    <w:rsid w:val="003516B7"/>
    <w:rsid w:val="0035691E"/>
    <w:rsid w:val="003574DB"/>
    <w:rsid w:val="00364610"/>
    <w:rsid w:val="00365BE9"/>
    <w:rsid w:val="00373818"/>
    <w:rsid w:val="00374CF8"/>
    <w:rsid w:val="00377C84"/>
    <w:rsid w:val="00382897"/>
    <w:rsid w:val="003920B8"/>
    <w:rsid w:val="00396673"/>
    <w:rsid w:val="003B5CD1"/>
    <w:rsid w:val="003C0C0D"/>
    <w:rsid w:val="003C3AB1"/>
    <w:rsid w:val="003D4160"/>
    <w:rsid w:val="003E23D4"/>
    <w:rsid w:val="003E59A3"/>
    <w:rsid w:val="003F0B11"/>
    <w:rsid w:val="003F0D9E"/>
    <w:rsid w:val="003F49A1"/>
    <w:rsid w:val="00401D20"/>
    <w:rsid w:val="004022C2"/>
    <w:rsid w:val="00404A6C"/>
    <w:rsid w:val="00410672"/>
    <w:rsid w:val="00415D9D"/>
    <w:rsid w:val="00425A23"/>
    <w:rsid w:val="00427159"/>
    <w:rsid w:val="00435C9B"/>
    <w:rsid w:val="004433A8"/>
    <w:rsid w:val="00453726"/>
    <w:rsid w:val="004572D0"/>
    <w:rsid w:val="0046009D"/>
    <w:rsid w:val="00463154"/>
    <w:rsid w:val="00472BF3"/>
    <w:rsid w:val="00473446"/>
    <w:rsid w:val="00477C2F"/>
    <w:rsid w:val="004900D9"/>
    <w:rsid w:val="00494730"/>
    <w:rsid w:val="004B12A4"/>
    <w:rsid w:val="004D6FB5"/>
    <w:rsid w:val="004E122E"/>
    <w:rsid w:val="004E6D1C"/>
    <w:rsid w:val="004F7B1B"/>
    <w:rsid w:val="00503668"/>
    <w:rsid w:val="005063C0"/>
    <w:rsid w:val="00522C40"/>
    <w:rsid w:val="005300C6"/>
    <w:rsid w:val="00532AE7"/>
    <w:rsid w:val="00532D2B"/>
    <w:rsid w:val="00557FED"/>
    <w:rsid w:val="00560793"/>
    <w:rsid w:val="00562BC3"/>
    <w:rsid w:val="00563CB1"/>
    <w:rsid w:val="00564366"/>
    <w:rsid w:val="0058069E"/>
    <w:rsid w:val="00584C86"/>
    <w:rsid w:val="00586FFB"/>
    <w:rsid w:val="005A13AF"/>
    <w:rsid w:val="005B07BE"/>
    <w:rsid w:val="005D3C67"/>
    <w:rsid w:val="005F1F62"/>
    <w:rsid w:val="00612A9E"/>
    <w:rsid w:val="00616BD2"/>
    <w:rsid w:val="006219F0"/>
    <w:rsid w:val="00632E38"/>
    <w:rsid w:val="0063343F"/>
    <w:rsid w:val="00644737"/>
    <w:rsid w:val="00644E05"/>
    <w:rsid w:val="00645360"/>
    <w:rsid w:val="00646AEE"/>
    <w:rsid w:val="006626FA"/>
    <w:rsid w:val="00667361"/>
    <w:rsid w:val="006721E4"/>
    <w:rsid w:val="00680338"/>
    <w:rsid w:val="00684166"/>
    <w:rsid w:val="00685AA0"/>
    <w:rsid w:val="006B3D29"/>
    <w:rsid w:val="006B3D64"/>
    <w:rsid w:val="006B67CE"/>
    <w:rsid w:val="006C0CD4"/>
    <w:rsid w:val="006C15F5"/>
    <w:rsid w:val="006C2A2E"/>
    <w:rsid w:val="006C55FC"/>
    <w:rsid w:val="006C62EB"/>
    <w:rsid w:val="006C6B9A"/>
    <w:rsid w:val="006D527A"/>
    <w:rsid w:val="006E3296"/>
    <w:rsid w:val="006E5077"/>
    <w:rsid w:val="006F00A8"/>
    <w:rsid w:val="006F1C43"/>
    <w:rsid w:val="006F7E10"/>
    <w:rsid w:val="00706FB6"/>
    <w:rsid w:val="0074514D"/>
    <w:rsid w:val="007460CC"/>
    <w:rsid w:val="007478F4"/>
    <w:rsid w:val="00750FFB"/>
    <w:rsid w:val="00751870"/>
    <w:rsid w:val="00756EA8"/>
    <w:rsid w:val="00756F28"/>
    <w:rsid w:val="007571C7"/>
    <w:rsid w:val="00764F65"/>
    <w:rsid w:val="00766511"/>
    <w:rsid w:val="007800D4"/>
    <w:rsid w:val="00780912"/>
    <w:rsid w:val="007851BB"/>
    <w:rsid w:val="0078716A"/>
    <w:rsid w:val="00787480"/>
    <w:rsid w:val="00787666"/>
    <w:rsid w:val="00787DBD"/>
    <w:rsid w:val="0079678C"/>
    <w:rsid w:val="007A5419"/>
    <w:rsid w:val="007B0476"/>
    <w:rsid w:val="007C54A7"/>
    <w:rsid w:val="007C78A2"/>
    <w:rsid w:val="007D0585"/>
    <w:rsid w:val="007D28E7"/>
    <w:rsid w:val="007E0BA1"/>
    <w:rsid w:val="007E4343"/>
    <w:rsid w:val="007E540E"/>
    <w:rsid w:val="00830F6E"/>
    <w:rsid w:val="008313F3"/>
    <w:rsid w:val="00836B3A"/>
    <w:rsid w:val="008543B7"/>
    <w:rsid w:val="008576AD"/>
    <w:rsid w:val="008677F0"/>
    <w:rsid w:val="0087322D"/>
    <w:rsid w:val="00873324"/>
    <w:rsid w:val="00873981"/>
    <w:rsid w:val="00884683"/>
    <w:rsid w:val="00885987"/>
    <w:rsid w:val="00885DC5"/>
    <w:rsid w:val="00895F91"/>
    <w:rsid w:val="008A720B"/>
    <w:rsid w:val="008B2BB8"/>
    <w:rsid w:val="008C01A9"/>
    <w:rsid w:val="008C3F3D"/>
    <w:rsid w:val="008C4409"/>
    <w:rsid w:val="008D0349"/>
    <w:rsid w:val="008D099B"/>
    <w:rsid w:val="008D4ED7"/>
    <w:rsid w:val="008D513C"/>
    <w:rsid w:val="009006FA"/>
    <w:rsid w:val="00913AA0"/>
    <w:rsid w:val="00913B19"/>
    <w:rsid w:val="009178DC"/>
    <w:rsid w:val="00926B9C"/>
    <w:rsid w:val="00931457"/>
    <w:rsid w:val="00936955"/>
    <w:rsid w:val="009423DC"/>
    <w:rsid w:val="0094414A"/>
    <w:rsid w:val="009452A4"/>
    <w:rsid w:val="00950EBF"/>
    <w:rsid w:val="0095152C"/>
    <w:rsid w:val="0095561B"/>
    <w:rsid w:val="00957824"/>
    <w:rsid w:val="0095788C"/>
    <w:rsid w:val="00960BA6"/>
    <w:rsid w:val="00965FC3"/>
    <w:rsid w:val="009757E9"/>
    <w:rsid w:val="0097748D"/>
    <w:rsid w:val="0099394E"/>
    <w:rsid w:val="009957FF"/>
    <w:rsid w:val="009A4F71"/>
    <w:rsid w:val="009B400A"/>
    <w:rsid w:val="009B4516"/>
    <w:rsid w:val="009C5CBB"/>
    <w:rsid w:val="009D2ABA"/>
    <w:rsid w:val="009D4C03"/>
    <w:rsid w:val="009E20E4"/>
    <w:rsid w:val="009F4C52"/>
    <w:rsid w:val="009F62C2"/>
    <w:rsid w:val="00A00F0A"/>
    <w:rsid w:val="00A13931"/>
    <w:rsid w:val="00A22843"/>
    <w:rsid w:val="00A235DF"/>
    <w:rsid w:val="00A31570"/>
    <w:rsid w:val="00A40573"/>
    <w:rsid w:val="00A5123C"/>
    <w:rsid w:val="00A523D9"/>
    <w:rsid w:val="00A574C7"/>
    <w:rsid w:val="00A6383D"/>
    <w:rsid w:val="00A64D92"/>
    <w:rsid w:val="00A66949"/>
    <w:rsid w:val="00A66D50"/>
    <w:rsid w:val="00A712FA"/>
    <w:rsid w:val="00A77D3E"/>
    <w:rsid w:val="00A87FF4"/>
    <w:rsid w:val="00A90041"/>
    <w:rsid w:val="00A93BB0"/>
    <w:rsid w:val="00AB52E3"/>
    <w:rsid w:val="00AB5F4E"/>
    <w:rsid w:val="00AB6D7E"/>
    <w:rsid w:val="00AC4389"/>
    <w:rsid w:val="00AD2499"/>
    <w:rsid w:val="00AD6A83"/>
    <w:rsid w:val="00AD6B76"/>
    <w:rsid w:val="00AD748F"/>
    <w:rsid w:val="00AE3C57"/>
    <w:rsid w:val="00AF003C"/>
    <w:rsid w:val="00AF182E"/>
    <w:rsid w:val="00AF2C41"/>
    <w:rsid w:val="00B04582"/>
    <w:rsid w:val="00B04D0F"/>
    <w:rsid w:val="00B16EBF"/>
    <w:rsid w:val="00B31311"/>
    <w:rsid w:val="00B32928"/>
    <w:rsid w:val="00B42631"/>
    <w:rsid w:val="00B46B36"/>
    <w:rsid w:val="00B56573"/>
    <w:rsid w:val="00B61BFF"/>
    <w:rsid w:val="00B659A7"/>
    <w:rsid w:val="00B65E01"/>
    <w:rsid w:val="00B847BE"/>
    <w:rsid w:val="00B87C56"/>
    <w:rsid w:val="00B96A0A"/>
    <w:rsid w:val="00B97289"/>
    <w:rsid w:val="00BA19D3"/>
    <w:rsid w:val="00BB4DC0"/>
    <w:rsid w:val="00BC39D5"/>
    <w:rsid w:val="00BD0E35"/>
    <w:rsid w:val="00BD290F"/>
    <w:rsid w:val="00BD6606"/>
    <w:rsid w:val="00BD7438"/>
    <w:rsid w:val="00C058EB"/>
    <w:rsid w:val="00C102E6"/>
    <w:rsid w:val="00C10C9A"/>
    <w:rsid w:val="00C21229"/>
    <w:rsid w:val="00C22278"/>
    <w:rsid w:val="00C241B2"/>
    <w:rsid w:val="00C2663E"/>
    <w:rsid w:val="00C27A05"/>
    <w:rsid w:val="00C339AE"/>
    <w:rsid w:val="00C35663"/>
    <w:rsid w:val="00C43780"/>
    <w:rsid w:val="00C452DD"/>
    <w:rsid w:val="00C52152"/>
    <w:rsid w:val="00C56E70"/>
    <w:rsid w:val="00C60ADF"/>
    <w:rsid w:val="00C84FA0"/>
    <w:rsid w:val="00C9187D"/>
    <w:rsid w:val="00CB2952"/>
    <w:rsid w:val="00CB3179"/>
    <w:rsid w:val="00CB7A68"/>
    <w:rsid w:val="00CC681E"/>
    <w:rsid w:val="00CD3D64"/>
    <w:rsid w:val="00CD7EA7"/>
    <w:rsid w:val="00CE31DB"/>
    <w:rsid w:val="00CE6081"/>
    <w:rsid w:val="00CF79F6"/>
    <w:rsid w:val="00D07D06"/>
    <w:rsid w:val="00D12BCC"/>
    <w:rsid w:val="00D1669E"/>
    <w:rsid w:val="00D2746C"/>
    <w:rsid w:val="00D33348"/>
    <w:rsid w:val="00D375D4"/>
    <w:rsid w:val="00D43276"/>
    <w:rsid w:val="00D548E1"/>
    <w:rsid w:val="00D55704"/>
    <w:rsid w:val="00D70D3A"/>
    <w:rsid w:val="00D7168A"/>
    <w:rsid w:val="00D836CF"/>
    <w:rsid w:val="00D83788"/>
    <w:rsid w:val="00D90EF6"/>
    <w:rsid w:val="00D9108C"/>
    <w:rsid w:val="00D91C89"/>
    <w:rsid w:val="00DA13F0"/>
    <w:rsid w:val="00DB358D"/>
    <w:rsid w:val="00DB4715"/>
    <w:rsid w:val="00DB55C3"/>
    <w:rsid w:val="00DB7CE1"/>
    <w:rsid w:val="00DC1348"/>
    <w:rsid w:val="00DD10A7"/>
    <w:rsid w:val="00DD1EC9"/>
    <w:rsid w:val="00DD4700"/>
    <w:rsid w:val="00DD51C8"/>
    <w:rsid w:val="00DE6079"/>
    <w:rsid w:val="00E04D65"/>
    <w:rsid w:val="00E10204"/>
    <w:rsid w:val="00E21212"/>
    <w:rsid w:val="00E524B4"/>
    <w:rsid w:val="00E56AE4"/>
    <w:rsid w:val="00E60C5C"/>
    <w:rsid w:val="00E73EC2"/>
    <w:rsid w:val="00E83263"/>
    <w:rsid w:val="00E95EE9"/>
    <w:rsid w:val="00E96946"/>
    <w:rsid w:val="00E979C3"/>
    <w:rsid w:val="00EB1149"/>
    <w:rsid w:val="00EB1369"/>
    <w:rsid w:val="00EB2B20"/>
    <w:rsid w:val="00EE64C4"/>
    <w:rsid w:val="00EE7140"/>
    <w:rsid w:val="00EF1F53"/>
    <w:rsid w:val="00EF6F63"/>
    <w:rsid w:val="00EF7F0F"/>
    <w:rsid w:val="00F12411"/>
    <w:rsid w:val="00F142B6"/>
    <w:rsid w:val="00F34896"/>
    <w:rsid w:val="00F442CE"/>
    <w:rsid w:val="00F5394E"/>
    <w:rsid w:val="00F763FC"/>
    <w:rsid w:val="00F765E6"/>
    <w:rsid w:val="00F82FD0"/>
    <w:rsid w:val="00F97832"/>
    <w:rsid w:val="00FA0CDB"/>
    <w:rsid w:val="00FB093B"/>
    <w:rsid w:val="00FB0AAA"/>
    <w:rsid w:val="00FC2009"/>
    <w:rsid w:val="00FE3AC9"/>
    <w:rsid w:val="4F2A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uiPriority w:val="99"/>
  </w:style>
  <w:style w:type="character" w:customStyle="1" w:styleId="14">
    <w:name w:val="批注主题 Char"/>
    <w:basedOn w:val="13"/>
    <w:link w:val="6"/>
    <w:semiHidden/>
    <w:qFormat/>
    <w:uiPriority w:val="99"/>
    <w:rPr>
      <w:b/>
      <w:bCs/>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D1F09-2391-430D-91FB-0A2758402729}">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2378</Characters>
  <Lines>19</Lines>
  <Paragraphs>5</Paragraphs>
  <TotalTime>34</TotalTime>
  <ScaleCrop>false</ScaleCrop>
  <LinksUpToDate>false</LinksUpToDate>
  <CharactersWithSpaces>2790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2019-05-21T06:56:00Z</dcterms:created>
  <dc:creator>蔡青茹</dc:creator>
  <cp:lastModifiedBy>明天</cp:lastModifiedBy>
  <cp:lastPrinted>2019-06-17T03:22:29Z</cp:lastPrinted>
  <dcterms:modified xsi:type="dcterms:W3CDTF">2019-06-17T03:23:53Z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