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exact"/>
        <w:ind w:left="0" w:right="0"/>
        <w:jc w:val="center"/>
      </w:pPr>
      <w:r>
        <w:rPr>
          <w:rFonts w:hint="eastAsia"/>
          <w:lang w:val="en-US" w:eastAsia="zh-CN"/>
        </w:rPr>
        <w:t xml:space="preserve">      </w:t>
      </w:r>
      <w:r>
        <w:rPr>
          <w:rFonts w:ascii="华文中宋" w:hAnsi="华文中宋" w:eastAsia="华文中宋" w:cs="华文中宋"/>
          <w:kern w:val="0"/>
          <w:sz w:val="44"/>
          <w:szCs w:val="44"/>
          <w:lang w:val="en-US" w:eastAsia="zh-CN" w:bidi="ar"/>
        </w:rPr>
        <w:t>盘锦市本级</w:t>
      </w:r>
      <w:r>
        <w:rPr>
          <w:rFonts w:hint="eastAsia" w:ascii="华文中宋" w:hAnsi="华文中宋" w:eastAsia="华文中宋" w:cs="华文中宋"/>
          <w:kern w:val="0"/>
          <w:sz w:val="44"/>
          <w:szCs w:val="44"/>
          <w:lang w:val="en-US" w:eastAsia="zh-CN" w:bidi="ar"/>
        </w:rPr>
        <w:t>2020年建设用地供应计划</w:t>
      </w:r>
    </w:p>
    <w:p>
      <w:pPr>
        <w:keepNext w:val="0"/>
        <w:keepLines w:val="0"/>
        <w:widowControl/>
        <w:suppressLineNumbers w:val="0"/>
        <w:spacing w:before="0" w:beforeAutospacing="0" w:after="0" w:afterAutospacing="0" w:line="600" w:lineRule="exact"/>
        <w:ind w:left="0" w:right="0" w:firstLine="640" w:firstLineChars="200"/>
        <w:jc w:val="left"/>
      </w:pPr>
      <w:r>
        <w:rPr>
          <w:rFonts w:ascii="仿宋" w:hAnsi="仿宋" w:eastAsia="仿宋" w:cs="仿宋"/>
          <w:kern w:val="0"/>
          <w:sz w:val="32"/>
          <w:szCs w:val="32"/>
          <w:lang w:val="en-US" w:eastAsia="zh-CN" w:bidi="ar"/>
        </w:rPr>
        <w:t> </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0"/>
          <w:sz w:val="32"/>
          <w:szCs w:val="32"/>
          <w:lang w:val="en-US" w:eastAsia="zh-CN" w:bidi="ar"/>
        </w:rPr>
        <w:t>按照原国土资源部《国有建设用地供应计划编制规范（试行）》，为加强国有建设用地的供地计划管理，实现以土地利用方式的转变促进发展方式的转变，保障盘锦市社会经济发展提供用地，结合全市土地市场需求，制定本计划。</w:t>
      </w:r>
    </w:p>
    <w:p>
      <w:pPr>
        <w:keepNext w:val="0"/>
        <w:keepLines w:val="0"/>
        <w:widowControl/>
        <w:suppressLineNumbers w:val="0"/>
        <w:spacing w:before="0" w:beforeAutospacing="0" w:after="0" w:afterAutospacing="0" w:line="600" w:lineRule="exact"/>
        <w:ind w:left="0" w:right="0" w:firstLine="640" w:firstLineChars="200"/>
        <w:jc w:val="left"/>
      </w:pPr>
      <w:r>
        <w:rPr>
          <w:rFonts w:ascii="黑体" w:hAnsi="宋体" w:eastAsia="黑体" w:cs="黑体"/>
          <w:kern w:val="0"/>
          <w:sz w:val="32"/>
          <w:szCs w:val="32"/>
          <w:lang w:val="en-US" w:eastAsia="zh-CN" w:bidi="ar"/>
        </w:rPr>
        <w:t>一、指导思想和原则</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0"/>
          <w:sz w:val="32"/>
          <w:szCs w:val="32"/>
          <w:lang w:val="en-US" w:eastAsia="zh-CN" w:bidi="ar"/>
        </w:rPr>
        <w:t>全面贯彻习近平新时代中国特色社会主义思想，增强土地要素在供给侧结构性改革中的基础作用，确保盘锦经济社会全面协调持续发展和土地资源节约集约利用，促进经济结构调整和经济增长方式转变，促进城乡统筹、合理布局、优化发展、合理配置建设用地，有力调控房地产用地市场。</w:t>
      </w:r>
    </w:p>
    <w:p>
      <w:pPr>
        <w:keepNext w:val="0"/>
        <w:keepLines w:val="0"/>
        <w:widowControl/>
        <w:suppressLineNumbers w:val="0"/>
        <w:spacing w:before="0" w:beforeAutospacing="0" w:after="0" w:afterAutospacing="0" w:line="600" w:lineRule="exact"/>
        <w:ind w:left="0" w:right="0" w:firstLine="640" w:firstLineChars="200"/>
        <w:jc w:val="left"/>
      </w:pPr>
      <w:r>
        <w:rPr>
          <w:rFonts w:ascii="楷体" w:hAnsi="楷体" w:eastAsia="楷体" w:cs="楷体"/>
          <w:kern w:val="0"/>
          <w:sz w:val="32"/>
          <w:szCs w:val="32"/>
          <w:lang w:val="en-US" w:eastAsia="zh-CN" w:bidi="ar"/>
        </w:rPr>
        <w:t>（一）盘活存量、控制总量。</w:t>
      </w:r>
      <w:r>
        <w:rPr>
          <w:rFonts w:hint="eastAsia" w:ascii="仿宋" w:hAnsi="仿宋" w:eastAsia="仿宋" w:cs="仿宋"/>
          <w:kern w:val="0"/>
          <w:sz w:val="32"/>
          <w:szCs w:val="32"/>
          <w:lang w:val="en-US" w:eastAsia="zh-CN" w:bidi="ar"/>
        </w:rPr>
        <w:t>严格依据土地利用总体规划、城市规划及土地利用年度计划，从严控制总量。严格对标国家标准对具体建设项目用地规模的审查和控制。控制新增建设用地，保护基本农田，优先利用存量建设用地，集约和节约利用土地，使土地市场保持持续、健康、协调发展。</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（二）优化建设用地供应结构。</w:t>
      </w:r>
      <w:r>
        <w:rPr>
          <w:rFonts w:hint="eastAsia" w:ascii="仿宋" w:hAnsi="仿宋" w:eastAsia="仿宋" w:cs="仿宋"/>
          <w:kern w:val="0"/>
          <w:sz w:val="32"/>
          <w:szCs w:val="32"/>
          <w:lang w:val="en-US" w:eastAsia="zh-CN" w:bidi="ar"/>
        </w:rPr>
        <w:t>紧密结合盘锦市经济和社会发展需要，按照“适度控制总量，着力挖潜存量”的原则，优先保证交通、基础设施、廉租房、经济适用房等民生工程项目用地的供给。加强供地项目的规划审查管理，具体项目供地必须按规定权限进行土地利用总体规划和城市总体规划的审查。对违反产业政策，属于限制和禁止类的建设项目不予供地。除法律、法规、规章规定可以划拨用地外，一律采取有偿使用方式供地。</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（四）城乡统筹。</w:t>
      </w:r>
      <w:r>
        <w:rPr>
          <w:rFonts w:hint="eastAsia" w:ascii="仿宋" w:hAnsi="仿宋" w:eastAsia="仿宋" w:cs="仿宋"/>
          <w:kern w:val="0"/>
          <w:sz w:val="32"/>
          <w:szCs w:val="32"/>
          <w:lang w:val="en-US" w:eastAsia="zh-CN" w:bidi="ar"/>
        </w:rPr>
        <w:t>全方位打破城乡二元结构的瓶颈制约，强化农村地区土地利用管理，实现城乡规划、产业发展、基础设施、公共服务、就业保障一体化建设。结合推进全市“美丽乡村”建设，努力促进农业向规模化集中、工业向园区集中、农村居民向小集镇集中，形成城乡统筹、以城带乡、优势互补的土地利用空间格局。</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（五）探索集体经营性建设用地入市。</w:t>
      </w:r>
      <w:r>
        <w:rPr>
          <w:rFonts w:hint="eastAsia" w:ascii="仿宋" w:hAnsi="仿宋" w:eastAsia="仿宋" w:cs="仿宋"/>
          <w:kern w:val="0"/>
          <w:sz w:val="32"/>
          <w:szCs w:val="32"/>
          <w:lang w:val="en-US" w:eastAsia="zh-CN" w:bidi="ar"/>
        </w:rPr>
        <w:t>按照国家和省工作部署，有序推进集体经营性建设用地入市，待国家和省相关配套法规和制度规范出台后，积极开展工作。相关土地的供应计划另行编制实施。</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黑体" w:hAnsi="宋体" w:eastAsia="黑体" w:cs="黑体"/>
          <w:kern w:val="0"/>
          <w:sz w:val="32"/>
          <w:szCs w:val="32"/>
          <w:lang w:val="en-US" w:eastAsia="zh-CN" w:bidi="ar"/>
        </w:rPr>
        <w:t>二、2020年计划指标</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0"/>
          <w:sz w:val="32"/>
          <w:szCs w:val="32"/>
          <w:lang w:val="en-US" w:eastAsia="zh-CN" w:bidi="ar"/>
        </w:rPr>
        <w:t>按照我市实施“十三五”规划需求，结合国家振兴东北老工业基地战略，以差别化用地政策，保障重大项目用地，优先保障辽东湾新区项目用地，按照县改区过渡期政策，将大洼区土地供应计划纳入市本级，具体实施由大洼区自行组织。加强对房地产用地实施宏观调控，按照保护耕地、保障发展、优先支持城市基础设施和重点产业建设项目用地，对生产性服务业用地、商业用地、物流产业用地给予优先保障。</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0"/>
          <w:sz w:val="32"/>
          <w:szCs w:val="32"/>
          <w:lang w:val="en-US" w:eastAsia="zh-CN" w:bidi="ar"/>
        </w:rPr>
        <w:t>市本级建设项目用地供应总量为1460公顷。其中：兴隆台区供地总量62公顷；双台子区供地总量50公顷；大洼区供地总量301公顷；辽东湾新区供地总量1047公顷。按照土地用途划分：商业用地100公顷，工业用地1136公顷，居住用地102公顷，交通和公共管理服务用地122公顷。</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黑体" w:hAnsi="宋体" w:eastAsia="黑体" w:cs="黑体"/>
          <w:kern w:val="0"/>
          <w:sz w:val="32"/>
          <w:szCs w:val="32"/>
          <w:lang w:val="en-US" w:eastAsia="zh-CN" w:bidi="ar"/>
        </w:rPr>
        <w:t>三、政策导向</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（一）全面推进区域城市化和城市现代化进程。</w:t>
      </w:r>
      <w:r>
        <w:rPr>
          <w:rFonts w:hint="eastAsia" w:ascii="仿宋" w:hAnsi="仿宋" w:eastAsia="仿宋" w:cs="仿宋"/>
          <w:kern w:val="0"/>
          <w:sz w:val="32"/>
          <w:szCs w:val="32"/>
          <w:lang w:val="en-US" w:eastAsia="zh-CN" w:bidi="ar"/>
        </w:rPr>
        <w:t>强化城市功能，完善设施、打造环境、塑造形象、提升功能，提升中心城市现代化、国际化水平。开辟新型城市化道路，高起点、高质量开发建设一批区位优势明显、城镇布局合理、带动效应较强的重点商业服务业项目。</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（二）保证全市重点产业项目建设用地供应。</w:t>
      </w:r>
      <w:r>
        <w:rPr>
          <w:rFonts w:hint="eastAsia" w:ascii="仿宋" w:hAnsi="仿宋" w:eastAsia="仿宋" w:cs="仿宋"/>
          <w:kern w:val="0"/>
          <w:sz w:val="32"/>
          <w:szCs w:val="32"/>
          <w:lang w:val="en-US" w:eastAsia="zh-CN" w:bidi="ar"/>
        </w:rPr>
        <w:t>鼓励和支持新产业新业态项目、高新技术产业、现代制造业、现代物流业项目建设用地供应，对列入“中国制造2025”、《战略性新兴产业重点产品和服务指导目录》的项目用地，应保尽保。优先保障工业标准厂房建设，支持高端、高效、高辐射力、低耗能、低污染产业项目建设用地供应，严禁高耗能、高污染、资源消耗型的产业项目建设用地供应。在土地供应前，应当在“全国污染地块土壤环境管理系统”查询土地污染信息，对纳入系统管理的土地，要严格按照污染地块管理。</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（三）促进房地产用地结构调整。</w:t>
      </w:r>
      <w:r>
        <w:rPr>
          <w:rFonts w:hint="eastAsia" w:ascii="仿宋" w:hAnsi="仿宋" w:eastAsia="仿宋" w:cs="仿宋"/>
          <w:kern w:val="0"/>
          <w:sz w:val="32"/>
          <w:szCs w:val="32"/>
          <w:lang w:val="en-US" w:eastAsia="zh-CN" w:bidi="ar"/>
        </w:rPr>
        <w:t>各地区要研究制定未开发房地产用地的用途转换方案，通过调整土地用途、规划条件，引导未开发房地产用地转型利用，用于国家支持的新兴产业、养老产业、文化产业、旅游产业、体育产业、服务业等项目用途的开发建设。支持居家养老项目配套设施用地需求。</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(四)鼓励存量土地再开发利用。</w:t>
      </w:r>
      <w:r>
        <w:rPr>
          <w:rFonts w:hint="eastAsia" w:ascii="仿宋" w:hAnsi="仿宋" w:eastAsia="仿宋" w:cs="仿宋"/>
          <w:kern w:val="0"/>
          <w:sz w:val="32"/>
          <w:szCs w:val="32"/>
          <w:lang w:val="en-US" w:eastAsia="zh-CN" w:bidi="ar"/>
        </w:rPr>
        <w:t>对利用存量工业用地基础设施、公益设施用地开发建设，提高土地利用强度和利用效率，经城市规划主管部门审核原则上不再补缴土地出让金。对利用低效利用的划拨土地和旧厂房兴办生产性服务业、物流配送等鼓励产业，发展新产业、新业态项目，不涉及土地权属变更，可按原土地用途进行过渡期管理。</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黑体" w:hAnsi="宋体" w:eastAsia="黑体" w:cs="黑体"/>
          <w:kern w:val="0"/>
          <w:sz w:val="32"/>
          <w:szCs w:val="32"/>
          <w:lang w:val="en-US" w:eastAsia="zh-CN" w:bidi="ar"/>
        </w:rPr>
        <w:t>四、保障措施</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（一）落实供地计划的地块公布机制,稳定市场预期。</w:t>
      </w:r>
      <w:r>
        <w:rPr>
          <w:rFonts w:hint="eastAsia" w:ascii="仿宋" w:hAnsi="仿宋" w:eastAsia="仿宋" w:cs="仿宋"/>
          <w:kern w:val="0"/>
          <w:sz w:val="32"/>
          <w:szCs w:val="32"/>
          <w:lang w:val="en-US" w:eastAsia="zh-CN" w:bidi="ar"/>
        </w:rPr>
        <w:t>各地区要对土地供应计划安排建议方案，将年内拟供应土地落到地块。对于未列入计划的地块，原则上不予办理土地供应手续，但对已经完成地块前期开发的经营性用地、城市功能性设施用地、新产业新业态用地在供地总量不突破的前提下，需要调整供地结构的，各区政府应依据计划执行和土地供需情况等向市自然资源局提出计划修订方案，经汇总审核并报批后调整向社会公布。</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（二）加强计划实施过程的沟通和协调。</w:t>
      </w:r>
      <w:r>
        <w:rPr>
          <w:rFonts w:hint="eastAsia" w:ascii="仿宋" w:hAnsi="仿宋" w:eastAsia="仿宋" w:cs="仿宋"/>
          <w:kern w:val="0"/>
          <w:sz w:val="32"/>
          <w:szCs w:val="32"/>
          <w:lang w:val="en-US" w:eastAsia="zh-CN" w:bidi="ar"/>
        </w:rPr>
        <w:t>要定期协调解决计划实施中存在的问题，对列入计划的项目加快审批，推进计划实施。各区、经济区政府和市有关行业主管部门要充分发挥实施土地供应计划的主体作用，加强规划设计、征地拆迁等前期工作协调，及时主动沟通，共同研究解决计划实施过程中遇到的困难和问题，确保计划的实施。</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（三）加强计划的动态跟踪管理和通报。</w:t>
      </w:r>
      <w:r>
        <w:rPr>
          <w:rFonts w:hint="eastAsia" w:ascii="仿宋" w:hAnsi="仿宋" w:eastAsia="仿宋" w:cs="仿宋"/>
          <w:kern w:val="0"/>
          <w:sz w:val="32"/>
          <w:szCs w:val="32"/>
          <w:lang w:val="en-US" w:eastAsia="zh-CN" w:bidi="ar"/>
        </w:rPr>
        <w:t>要及时总结计划执行情况，定期向社会通报计划执行情况，对因特殊原因影响供应计划安排的，应会同相关部门和相关区政府做好计划调整工作，及时做出说明。</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楷体" w:hAnsi="楷体" w:eastAsia="楷体" w:cs="楷体"/>
          <w:kern w:val="0"/>
          <w:sz w:val="32"/>
          <w:szCs w:val="32"/>
          <w:lang w:val="en-US" w:eastAsia="zh-CN" w:bidi="ar"/>
        </w:rPr>
        <w:t>（四）强化土地供应前期审核和踏勘。</w:t>
      </w:r>
      <w:r>
        <w:rPr>
          <w:rFonts w:hint="eastAsia" w:ascii="仿宋" w:hAnsi="仿宋" w:eastAsia="仿宋" w:cs="仿宋"/>
          <w:kern w:val="0"/>
          <w:sz w:val="32"/>
          <w:szCs w:val="32"/>
          <w:lang w:val="en-US" w:eastAsia="zh-CN" w:bidi="ar"/>
        </w:rPr>
        <w:t>强化土地储备管理职能，逐步实现对拟出让宗地由土地储备机构先期储备，完成地块内前期开发、地块外基础设施建设后，在场地通平条件前期开发工程完成后再推向市场。</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0"/>
          <w:sz w:val="32"/>
          <w:szCs w:val="32"/>
          <w:lang w:val="en-US" w:eastAsia="zh-CN" w:bidi="ar"/>
        </w:rPr>
        <w:t> </w:t>
      </w:r>
    </w:p>
    <w:p>
      <w:pPr>
        <w:keepNext w:val="0"/>
        <w:keepLines w:val="0"/>
        <w:widowControl/>
        <w:suppressLineNumbers w:val="0"/>
        <w:spacing w:before="0" w:beforeAutospacing="0" w:after="0" w:afterAutospacing="0" w:line="600" w:lineRule="exact"/>
        <w:ind w:left="0" w:right="0" w:firstLine="640" w:firstLineChars="200"/>
        <w:jc w:val="left"/>
      </w:pPr>
      <w:r>
        <w:rPr>
          <w:rFonts w:hint="eastAsia" w:ascii="仿宋" w:hAnsi="仿宋" w:eastAsia="仿宋" w:cs="仿宋"/>
          <w:kern w:val="0"/>
          <w:sz w:val="32"/>
          <w:szCs w:val="32"/>
          <w:lang w:val="en-US" w:eastAsia="zh-CN" w:bidi="ar"/>
        </w:rPr>
        <w:t> </w:t>
      </w:r>
    </w:p>
    <w:p>
      <w:pPr>
        <w:keepNext w:val="0"/>
        <w:keepLines w:val="0"/>
        <w:widowControl/>
        <w:suppressLineNumbers w:val="0"/>
        <w:wordWrap w:val="0"/>
        <w:spacing w:before="0" w:beforeAutospacing="0" w:after="0" w:afterAutospacing="0" w:line="600" w:lineRule="exact"/>
        <w:ind w:left="0" w:right="0" w:firstLine="640" w:firstLineChars="200"/>
        <w:jc w:val="right"/>
      </w:pPr>
      <w:r>
        <w:rPr>
          <w:rFonts w:hint="eastAsia" w:ascii="仿宋" w:hAnsi="仿宋" w:eastAsia="仿宋" w:cs="仿宋"/>
          <w:kern w:val="0"/>
          <w:sz w:val="32"/>
          <w:szCs w:val="32"/>
          <w:lang w:val="en-US" w:eastAsia="zh-CN" w:bidi="ar"/>
        </w:rPr>
        <w:t xml:space="preserve">盘锦市自然资源局       </w:t>
      </w:r>
    </w:p>
    <w:p>
      <w:pPr>
        <w:keepNext w:val="0"/>
        <w:keepLines w:val="0"/>
        <w:widowControl/>
        <w:suppressLineNumbers w:val="0"/>
        <w:wordWrap w:val="0"/>
        <w:spacing w:before="0" w:beforeAutospacing="0" w:after="0" w:afterAutospacing="0" w:line="600" w:lineRule="exact"/>
        <w:ind w:left="0" w:right="0" w:firstLine="640" w:firstLineChars="200"/>
        <w:jc w:val="right"/>
        <w:rPr>
          <w:rFonts w:hint="eastAsia" w:ascii="仿宋" w:hAnsi="仿宋" w:eastAsia="仿宋" w:cs="仿宋"/>
          <w:kern w:val="2"/>
          <w:sz w:val="32"/>
          <w:szCs w:val="32"/>
          <w:bdr w:val="none" w:color="auto" w:sz="0" w:space="0"/>
          <w:lang w:val="en-US" w:eastAsia="zh-CN" w:bidi="ar"/>
        </w:rPr>
        <w:sectPr>
          <w:pgSz w:w="12242" w:h="15842"/>
          <w:pgMar w:top="1440" w:right="1800" w:bottom="1440" w:left="1800" w:header="851" w:footer="992" w:gutter="0"/>
          <w:cols w:space="425" w:num="1"/>
          <w:docGrid w:type="lines" w:linePitch="312" w:charSpace="0"/>
        </w:sectPr>
      </w:pPr>
      <w:r>
        <w:rPr>
          <w:rFonts w:hint="eastAsia" w:ascii="仿宋" w:hAnsi="仿宋" w:eastAsia="仿宋" w:cs="仿宋"/>
          <w:kern w:val="0"/>
          <w:sz w:val="32"/>
          <w:szCs w:val="32"/>
          <w:lang w:val="en-US" w:eastAsia="zh-CN" w:bidi="ar"/>
        </w:rPr>
        <w:t xml:space="preserve">2020年3月31日       </w:t>
      </w:r>
    </w:p>
    <w:p>
      <w:pPr>
        <w:keepNext w:val="0"/>
        <w:keepLines w:val="0"/>
        <w:widowControl/>
        <w:suppressLineNumbers w:val="0"/>
        <w:shd w:val="clear" w:fill="FFFFFF"/>
        <w:spacing w:before="0" w:beforeAutospacing="0" w:after="0" w:afterAutospacing="0"/>
        <w:ind w:left="0" w:right="0"/>
        <w:jc w:val="center"/>
      </w:pPr>
      <w:bookmarkStart w:id="0" w:name="_GoBack"/>
      <w:bookmarkEnd w:id="0"/>
      <w:r>
        <w:rPr>
          <w:rFonts w:ascii="黑体" w:hAnsi="宋体" w:eastAsia="黑体" w:cs="黑体"/>
          <w:color w:val="000000"/>
          <w:kern w:val="0"/>
          <w:sz w:val="36"/>
          <w:szCs w:val="36"/>
          <w:shd w:val="clear" w:fill="FFFFFF"/>
          <w:lang w:val="en-US" w:eastAsia="zh-CN" w:bidi="ar"/>
        </w:rPr>
        <w:t>盘锦市</w:t>
      </w:r>
      <w:r>
        <w:rPr>
          <w:rFonts w:hint="eastAsia" w:ascii="黑体" w:hAnsi="宋体" w:eastAsia="黑体" w:cs="黑体"/>
          <w:color w:val="000000"/>
          <w:kern w:val="0"/>
          <w:sz w:val="36"/>
          <w:szCs w:val="36"/>
          <w:shd w:val="clear" w:fill="FFFFFF"/>
          <w:lang w:val="en-US" w:eastAsia="zh-CN" w:bidi="ar"/>
        </w:rPr>
        <w:t>2020年度土地供应计划结构汇总表</w:t>
      </w:r>
    </w:p>
    <w:p>
      <w:pPr>
        <w:keepNext w:val="0"/>
        <w:keepLines w:val="0"/>
        <w:widowControl/>
        <w:suppressLineNumbers w:val="0"/>
        <w:shd w:val="clear" w:fill="FFFFFF"/>
        <w:spacing w:before="0" w:beforeAutospacing="0" w:after="0" w:afterAutospacing="0"/>
        <w:ind w:left="0" w:right="0"/>
        <w:jc w:val="right"/>
      </w:pPr>
      <w:r>
        <w:rPr>
          <w:rFonts w:ascii="仿宋_GB2312" w:hAnsi="宋体" w:eastAsia="仿宋_GB2312" w:cs="仿宋_GB2312"/>
          <w:color w:val="000000"/>
          <w:kern w:val="0"/>
          <w:sz w:val="32"/>
          <w:szCs w:val="32"/>
          <w:shd w:val="clear" w:fill="FFFFFF"/>
          <w:lang w:val="en-US" w:eastAsia="zh-CN" w:bidi="ar"/>
        </w:rPr>
        <w:t>单位：公顷</w:t>
      </w:r>
    </w:p>
    <w:tbl>
      <w:tblPr>
        <w:tblW w:w="13795" w:type="dxa"/>
        <w:tblInd w:w="-165" w:type="dxa"/>
        <w:shd w:val="clear" w:color="auto" w:fill="FFFFFF"/>
        <w:tblLayout w:type="autofit"/>
        <w:tblCellMar>
          <w:top w:w="0" w:type="dxa"/>
          <w:left w:w="0" w:type="dxa"/>
          <w:bottom w:w="0" w:type="dxa"/>
          <w:right w:w="0" w:type="dxa"/>
        </w:tblCellMar>
      </w:tblPr>
      <w:tblGrid>
        <w:gridCol w:w="1339"/>
        <w:gridCol w:w="1159"/>
        <w:gridCol w:w="1159"/>
        <w:gridCol w:w="1159"/>
        <w:gridCol w:w="1023"/>
        <w:gridCol w:w="1038"/>
        <w:gridCol w:w="1038"/>
        <w:gridCol w:w="1038"/>
        <w:gridCol w:w="1039"/>
        <w:gridCol w:w="950"/>
        <w:gridCol w:w="950"/>
        <w:gridCol w:w="950"/>
        <w:gridCol w:w="953"/>
      </w:tblGrid>
      <w:tr>
        <w:tblPrEx>
          <w:shd w:val="clear" w:color="auto" w:fill="FFFFFF"/>
          <w:tblCellMar>
            <w:top w:w="0" w:type="dxa"/>
            <w:left w:w="0" w:type="dxa"/>
            <w:bottom w:w="0" w:type="dxa"/>
            <w:right w:w="0" w:type="dxa"/>
          </w:tblCellMar>
        </w:tblPrEx>
        <w:trPr>
          <w:trHeight w:val="285" w:hRule="atLeast"/>
        </w:trPr>
        <w:tc>
          <w:tcPr>
            <w:tcW w:w="1339" w:type="dxa"/>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地 区</w:t>
            </w:r>
          </w:p>
        </w:tc>
        <w:tc>
          <w:tcPr>
            <w:tcW w:w="115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合计</w:t>
            </w:r>
          </w:p>
        </w:tc>
        <w:tc>
          <w:tcPr>
            <w:tcW w:w="115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商服用地</w:t>
            </w:r>
          </w:p>
        </w:tc>
        <w:tc>
          <w:tcPr>
            <w:tcW w:w="1159"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工矿仓储用地</w:t>
            </w:r>
          </w:p>
        </w:tc>
        <w:tc>
          <w:tcPr>
            <w:tcW w:w="5176" w:type="dxa"/>
            <w:gridSpan w:val="5"/>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住 宅 用 地</w:t>
            </w:r>
          </w:p>
        </w:tc>
        <w:tc>
          <w:tcPr>
            <w:tcW w:w="950"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公共管理与公共服务用地</w:t>
            </w:r>
          </w:p>
        </w:tc>
        <w:tc>
          <w:tcPr>
            <w:tcW w:w="950"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交通运输用地</w:t>
            </w:r>
          </w:p>
        </w:tc>
        <w:tc>
          <w:tcPr>
            <w:tcW w:w="950"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水域及水利设施用地</w:t>
            </w:r>
          </w:p>
        </w:tc>
        <w:tc>
          <w:tcPr>
            <w:tcW w:w="953"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特殊用地</w:t>
            </w:r>
          </w:p>
        </w:tc>
      </w:tr>
      <w:tr>
        <w:tblPrEx>
          <w:shd w:val="clear" w:color="auto" w:fill="FFFFFF"/>
          <w:tblCellMar>
            <w:top w:w="0" w:type="dxa"/>
            <w:left w:w="0" w:type="dxa"/>
            <w:bottom w:w="0" w:type="dxa"/>
            <w:right w:w="0" w:type="dxa"/>
          </w:tblCellMar>
        </w:tblPrEx>
        <w:trPr>
          <w:trHeight w:val="1020" w:hRule="atLeast"/>
        </w:trPr>
        <w:tc>
          <w:tcPr>
            <w:tcW w:w="1339" w:type="dxa"/>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宋体" w:hAnsi="宋体" w:eastAsia="宋体" w:cs="宋体"/>
                <w:sz w:val="21"/>
                <w:szCs w:val="21"/>
              </w:rPr>
            </w:pPr>
          </w:p>
        </w:tc>
        <w:tc>
          <w:tcPr>
            <w:tcW w:w="115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宋体" w:hAnsi="宋体" w:eastAsia="宋体" w:cs="宋体"/>
                <w:sz w:val="21"/>
                <w:szCs w:val="21"/>
              </w:rPr>
            </w:pPr>
          </w:p>
        </w:tc>
        <w:tc>
          <w:tcPr>
            <w:tcW w:w="115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宋体" w:hAnsi="宋体" w:eastAsia="宋体" w:cs="宋体"/>
                <w:sz w:val="21"/>
                <w:szCs w:val="21"/>
              </w:rPr>
            </w:pPr>
          </w:p>
        </w:tc>
        <w:tc>
          <w:tcPr>
            <w:tcW w:w="1159"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bottom w:w="15" w:type="dxa"/>
              <w:right w:w="15" w:type="dxa"/>
            </w:tcMar>
            <w:vAlign w:val="center"/>
          </w:tcPr>
          <w:p>
            <w:pPr>
              <w:rPr>
                <w:rFonts w:hint="eastAsia" w:ascii="宋体" w:hAnsi="宋体" w:eastAsia="宋体" w:cs="宋体"/>
                <w:sz w:val="21"/>
                <w:szCs w:val="21"/>
              </w:rPr>
            </w:pPr>
          </w:p>
        </w:tc>
        <w:tc>
          <w:tcPr>
            <w:tcW w:w="102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小 计</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廉租房及公共租赁房用地</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经济适用房用地</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棚改及中小套型商品房用地　　</w:t>
            </w:r>
          </w:p>
        </w:tc>
        <w:tc>
          <w:tcPr>
            <w:tcW w:w="10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黑体" w:hAnsi="宋体" w:eastAsia="黑体" w:cs="黑体"/>
                <w:color w:val="000000"/>
                <w:kern w:val="0"/>
                <w:sz w:val="20"/>
                <w:szCs w:val="20"/>
                <w:bdr w:val="none" w:color="auto" w:sz="0" w:space="0"/>
                <w:lang w:val="en-US" w:eastAsia="zh-CN" w:bidi="ar"/>
              </w:rPr>
              <w:t>其他商品房用地</w:t>
            </w:r>
          </w:p>
        </w:tc>
        <w:tc>
          <w:tcPr>
            <w:tcW w:w="950"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sz w:val="21"/>
                <w:szCs w:val="21"/>
              </w:rPr>
            </w:pPr>
          </w:p>
        </w:tc>
        <w:tc>
          <w:tcPr>
            <w:tcW w:w="950"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sz w:val="21"/>
                <w:szCs w:val="21"/>
              </w:rPr>
            </w:pPr>
          </w:p>
        </w:tc>
        <w:tc>
          <w:tcPr>
            <w:tcW w:w="950"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sz w:val="21"/>
                <w:szCs w:val="21"/>
              </w:rPr>
            </w:pPr>
          </w:p>
        </w:tc>
        <w:tc>
          <w:tcPr>
            <w:tcW w:w="953"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hAnsi="宋体" w:eastAsia="宋体" w:cs="宋体"/>
                <w:sz w:val="21"/>
                <w:szCs w:val="21"/>
              </w:rPr>
            </w:pPr>
          </w:p>
        </w:tc>
      </w:tr>
      <w:tr>
        <w:tblPrEx>
          <w:shd w:val="clear" w:color="auto" w:fill="FFFFFF"/>
          <w:tblCellMar>
            <w:top w:w="0" w:type="dxa"/>
            <w:left w:w="0" w:type="dxa"/>
            <w:bottom w:w="0" w:type="dxa"/>
            <w:right w:w="0" w:type="dxa"/>
          </w:tblCellMar>
        </w:tblPrEx>
        <w:trPr>
          <w:trHeight w:val="571" w:hRule="atLeast"/>
        </w:trPr>
        <w:tc>
          <w:tcPr>
            <w:tcW w:w="133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双台子区</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ascii="Calibri" w:hAnsi="Calibri" w:eastAsia="宋体" w:cs="Calibri"/>
                <w:kern w:val="0"/>
                <w:sz w:val="24"/>
                <w:szCs w:val="24"/>
                <w:bdr w:val="none" w:color="auto" w:sz="0" w:space="0"/>
                <w:lang w:val="en-US" w:eastAsia="zh-CN" w:bidi="ar"/>
              </w:rPr>
              <w:t>50</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2</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26</w:t>
            </w:r>
          </w:p>
        </w:tc>
        <w:tc>
          <w:tcPr>
            <w:tcW w:w="102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7</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7</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3</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12</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95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shd w:val="clear" w:color="auto" w:fill="FFFFFF"/>
          <w:tblCellMar>
            <w:top w:w="0" w:type="dxa"/>
            <w:left w:w="0" w:type="dxa"/>
            <w:bottom w:w="0" w:type="dxa"/>
            <w:right w:w="0" w:type="dxa"/>
          </w:tblCellMar>
        </w:tblPrEx>
        <w:trPr>
          <w:trHeight w:val="571" w:hRule="atLeast"/>
        </w:trPr>
        <w:tc>
          <w:tcPr>
            <w:tcW w:w="133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兴隆台区</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62</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3.6</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11</w:t>
            </w:r>
          </w:p>
        </w:tc>
        <w:tc>
          <w:tcPr>
            <w:tcW w:w="102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20.8</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20.8</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17.3</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9.3</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95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shd w:val="clear" w:color="auto" w:fill="FFFFFF"/>
          <w:tblCellMar>
            <w:top w:w="0" w:type="dxa"/>
            <w:left w:w="0" w:type="dxa"/>
            <w:bottom w:w="0" w:type="dxa"/>
            <w:right w:w="0" w:type="dxa"/>
          </w:tblCellMar>
        </w:tblPrEx>
        <w:trPr>
          <w:trHeight w:val="571" w:hRule="atLeast"/>
        </w:trPr>
        <w:tc>
          <w:tcPr>
            <w:tcW w:w="133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大洼区</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301</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80</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77</w:t>
            </w:r>
          </w:p>
        </w:tc>
        <w:tc>
          <w:tcPr>
            <w:tcW w:w="102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74</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74</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69</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95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shd w:val="clear" w:color="auto" w:fill="FFFFFF"/>
          <w:tblCellMar>
            <w:top w:w="0" w:type="dxa"/>
            <w:left w:w="0" w:type="dxa"/>
            <w:bottom w:w="0" w:type="dxa"/>
            <w:right w:w="0" w:type="dxa"/>
          </w:tblCellMar>
        </w:tblPrEx>
        <w:trPr>
          <w:trHeight w:val="571" w:hRule="atLeast"/>
        </w:trPr>
        <w:tc>
          <w:tcPr>
            <w:tcW w:w="133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辽东湾新区</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1047</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14</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1022</w:t>
            </w:r>
          </w:p>
        </w:tc>
        <w:tc>
          <w:tcPr>
            <w:tcW w:w="102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4</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7</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c>
          <w:tcPr>
            <w:tcW w:w="95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0</w:t>
            </w:r>
          </w:p>
        </w:tc>
      </w:tr>
      <w:tr>
        <w:tblPrEx>
          <w:shd w:val="clear" w:color="auto" w:fill="FFFFFF"/>
          <w:tblCellMar>
            <w:top w:w="0" w:type="dxa"/>
            <w:left w:w="0" w:type="dxa"/>
            <w:bottom w:w="0" w:type="dxa"/>
            <w:right w:w="0" w:type="dxa"/>
          </w:tblCellMar>
        </w:tblPrEx>
        <w:trPr>
          <w:trHeight w:val="571" w:hRule="atLeast"/>
        </w:trPr>
        <w:tc>
          <w:tcPr>
            <w:tcW w:w="133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bdr w:val="none" w:color="auto" w:sz="0" w:space="0"/>
                <w:lang w:val="en-US" w:eastAsia="zh-CN" w:bidi="ar"/>
              </w:rPr>
              <w:t>合计　</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1460</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99.6</w:t>
            </w:r>
          </w:p>
        </w:tc>
        <w:tc>
          <w:tcPr>
            <w:tcW w:w="115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1136</w:t>
            </w:r>
          </w:p>
        </w:tc>
        <w:tc>
          <w:tcPr>
            <w:tcW w:w="102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101.8</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10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101.8</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25.3</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97.3</w:t>
            </w:r>
          </w:p>
        </w:tc>
        <w:tc>
          <w:tcPr>
            <w:tcW w:w="9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c>
          <w:tcPr>
            <w:tcW w:w="95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4"/>
                <w:szCs w:val="24"/>
                <w:bdr w:val="none" w:color="auto" w:sz="0" w:space="0"/>
                <w:lang w:val="en-US" w:eastAsia="zh-CN" w:bidi="ar"/>
              </w:rPr>
              <w:t>0</w:t>
            </w:r>
          </w:p>
        </w:tc>
      </w:tr>
    </w:tbl>
    <w:p>
      <w:pPr>
        <w:keepNext w:val="0"/>
        <w:keepLines w:val="0"/>
        <w:widowControl/>
        <w:suppressLineNumbers w:val="0"/>
        <w:shd w:val="clear" w:fill="FFFFFF"/>
        <w:spacing w:before="0" w:beforeAutospacing="0" w:after="0" w:afterAutospacing="0"/>
        <w:ind w:left="0" w:right="0"/>
        <w:jc w:val="left"/>
      </w:pPr>
      <w:r>
        <w:rPr>
          <w:rFonts w:hint="eastAsia" w:ascii="宋体" w:hAnsi="宋体" w:eastAsia="宋体" w:cs="宋体"/>
          <w:color w:val="000000"/>
          <w:kern w:val="0"/>
          <w:sz w:val="24"/>
          <w:szCs w:val="21"/>
          <w:shd w:val="clear" w:fill="FFFFFF"/>
          <w:lang w:val="en-US" w:eastAsia="zh-CN" w:bidi="ar"/>
        </w:rPr>
        <w:t> </w:t>
      </w:r>
    </w:p>
    <w:p>
      <w:pPr>
        <w:keepNext w:val="0"/>
        <w:keepLines w:val="0"/>
        <w:widowControl/>
        <w:suppressLineNumbers w:val="0"/>
        <w:spacing w:before="0" w:beforeAutospacing="0" w:after="0" w:afterAutospacing="0" w:line="600" w:lineRule="exact"/>
        <w:ind w:left="0" w:right="0"/>
        <w:jc w:val="left"/>
      </w:pPr>
      <w:r>
        <w:rPr>
          <w:rFonts w:hint="eastAsia" w:ascii="仿宋" w:hAnsi="仿宋" w:eastAsia="仿宋" w:cs="仿宋"/>
          <w:kern w:val="0"/>
          <w:sz w:val="32"/>
          <w:szCs w:val="32"/>
          <w:lang w:val="en-US" w:eastAsia="zh-CN" w:bidi="ar"/>
        </w:rPr>
        <w:t> </w:t>
      </w:r>
    </w:p>
    <w:p>
      <w:pPr>
        <w:rPr>
          <w:rFonts w:hint="default" w:asciiTheme="minorEastAsia" w:hAnsiTheme="minorEastAsia" w:eastAsiaTheme="minorEastAsia" w:cstheme="minorEastAsia"/>
          <w:sz w:val="32"/>
          <w:szCs w:val="32"/>
          <w:lang w:val="en-US" w:eastAsia="zh-CN"/>
        </w:rPr>
      </w:pPr>
    </w:p>
    <w:p>
      <w:pPr>
        <w:ind w:firstLine="640" w:firstLineChars="200"/>
        <w:rPr>
          <w:rFonts w:hint="default" w:asciiTheme="minorEastAsia" w:hAnsiTheme="minorEastAsia" w:eastAsiaTheme="minorEastAsia" w:cstheme="minor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27A30"/>
    <w:rsid w:val="05373A38"/>
    <w:rsid w:val="1949337E"/>
    <w:rsid w:val="28845B4D"/>
    <w:rsid w:val="6FAA115F"/>
    <w:rsid w:val="71E2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
    <w:basedOn w:val="1"/>
    <w:next w:val="1"/>
    <w:uiPriority w:val="0"/>
    <w:pPr>
      <w:pBdr>
        <w:bottom w:val="single" w:color="auto" w:sz="6" w:space="1"/>
      </w:pBdr>
      <w:jc w:val="center"/>
    </w:pPr>
    <w:rPr>
      <w:rFonts w:ascii="Arial" w:eastAsia="宋体"/>
      <w:vanish/>
      <w:sz w:val="16"/>
    </w:rPr>
  </w:style>
  <w:style w:type="paragraph" w:styleId="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2020-04-08T02:31:00Z</dcterms:created>
  <dc:creator>admin</dc:creator>
  <cp:lastModifiedBy>admin</cp:lastModifiedBy>
  <dcterms:modified xsi:type="dcterms:W3CDTF">2020-04-08T02:50:37Z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