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2278FE">
      <w:pPr>
        <w:keepNext w:val="0"/>
        <w:keepLines w:val="0"/>
        <w:widowControl/>
        <w:suppressLineNumbers w:val="0"/>
        <w:spacing w:before="0" w:beforeAutospacing="0" w:after="0" w:afterAutospacing="0"/>
        <w:ind w:left="0" w:right="0"/>
        <w:jc w:val="center"/>
        <w:rPr>
          <w:rFonts w:hint="eastAsia" w:ascii="华文中宋" w:hAnsi="华文中宋" w:eastAsia="华文中宋" w:cs="华文中宋"/>
          <w:b/>
          <w:i w:val="0"/>
          <w:caps w:val="0"/>
          <w:color w:val="000000"/>
          <w:spacing w:val="0"/>
          <w:kern w:val="0"/>
          <w:sz w:val="44"/>
          <w:szCs w:val="44"/>
          <w:shd w:val="clear" w:fill="FFFFFF"/>
          <w:lang w:val="en-US" w:eastAsia="zh-CN" w:bidi="ar"/>
        </w:rPr>
      </w:pPr>
      <w:r>
        <w:rPr>
          <w:rFonts w:ascii="华文中宋" w:hAnsi="华文中宋" w:eastAsia="华文中宋" w:cs="华文中宋"/>
          <w:b/>
          <w:i w:val="0"/>
          <w:caps w:val="0"/>
          <w:color w:val="000000"/>
          <w:spacing w:val="0"/>
          <w:kern w:val="0"/>
          <w:sz w:val="44"/>
          <w:szCs w:val="44"/>
          <w:shd w:val="clear" w:fill="FFFFFF"/>
          <w:lang w:val="en-US" w:eastAsia="zh-CN" w:bidi="ar"/>
        </w:rPr>
        <w:t>盘锦市</w:t>
      </w:r>
      <w:r>
        <w:rPr>
          <w:rFonts w:hint="eastAsia" w:ascii="华文中宋" w:hAnsi="华文中宋" w:eastAsia="华文中宋" w:cs="华文中宋"/>
          <w:b/>
          <w:i w:val="0"/>
          <w:caps w:val="0"/>
          <w:color w:val="000000"/>
          <w:spacing w:val="0"/>
          <w:kern w:val="0"/>
          <w:sz w:val="44"/>
          <w:szCs w:val="44"/>
          <w:shd w:val="clear" w:fill="FFFFFF"/>
          <w:lang w:val="en-US" w:eastAsia="zh-CN" w:bidi="ar"/>
        </w:rPr>
        <w:t>2019年度市本级</w:t>
      </w:r>
      <w:bookmarkStart w:id="0" w:name="_GoBack"/>
      <w:bookmarkEnd w:id="0"/>
    </w:p>
    <w:p w14:paraId="60ADC01B">
      <w:pPr>
        <w:keepNext w:val="0"/>
        <w:keepLines w:val="0"/>
        <w:widowControl/>
        <w:suppressLineNumbers w:val="0"/>
        <w:spacing w:before="0" w:beforeAutospacing="0" w:after="0" w:afterAutospacing="0"/>
        <w:ind w:left="0" w:right="0"/>
        <w:jc w:val="center"/>
      </w:pPr>
      <w:r>
        <w:rPr>
          <w:rFonts w:hint="eastAsia" w:ascii="华文中宋" w:hAnsi="华文中宋" w:eastAsia="华文中宋" w:cs="华文中宋"/>
          <w:b/>
          <w:i w:val="0"/>
          <w:caps w:val="0"/>
          <w:color w:val="000000"/>
          <w:spacing w:val="0"/>
          <w:kern w:val="0"/>
          <w:sz w:val="44"/>
          <w:szCs w:val="44"/>
          <w:shd w:val="clear" w:fill="FFFFFF"/>
          <w:lang w:val="en-US" w:eastAsia="zh-CN" w:bidi="ar"/>
        </w:rPr>
        <w:t>国有建设用地供应计划</w:t>
      </w:r>
    </w:p>
    <w:p w14:paraId="0E328044">
      <w:pPr>
        <w:keepNext w:val="0"/>
        <w:keepLines w:val="0"/>
        <w:widowControl/>
        <w:suppressLineNumbers w:val="0"/>
        <w:spacing w:before="0" w:beforeAutospacing="0" w:after="0" w:afterAutospacing="0"/>
        <w:ind w:left="0" w:right="0" w:firstLine="640"/>
        <w:jc w:val="left"/>
        <w:rPr>
          <w:rFonts w:hint="eastAsia" w:ascii="仿宋_GB2312" w:hAnsi="宋体" w:eastAsia="仿宋_GB2312" w:cs="仿宋_GB2312"/>
          <w:b w:val="0"/>
          <w:i w:val="0"/>
          <w:caps w:val="0"/>
          <w:color w:val="000000"/>
          <w:spacing w:val="0"/>
          <w:kern w:val="0"/>
          <w:sz w:val="32"/>
          <w:szCs w:val="32"/>
          <w:shd w:val="clear" w:fill="FFFFFF"/>
          <w:lang w:val="en-US" w:eastAsia="zh-CN" w:bidi="ar"/>
        </w:rPr>
      </w:pPr>
    </w:p>
    <w:p w14:paraId="5578E77C">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按照国土资源部《国有建设用地供应计划编制规范（试行）》（国土资发〔2010〕117号），为加强国有建设用地的供地计划管理，实现以土地利用方式的转变促进经济社会发展方式的转变，保障盘锦市社会经济发展提供用地，结合全市土地市场求，制定本计划。</w:t>
      </w:r>
    </w:p>
    <w:p w14:paraId="70FC865A">
      <w:pPr>
        <w:keepNext w:val="0"/>
        <w:keepLines w:val="0"/>
        <w:widowControl/>
        <w:suppressLineNumbers w:val="0"/>
        <w:spacing w:before="0" w:beforeAutospacing="0" w:after="0" w:afterAutospacing="0"/>
        <w:ind w:left="0" w:right="0" w:firstLine="640"/>
        <w:jc w:val="left"/>
      </w:pPr>
      <w:r>
        <w:rPr>
          <w:rFonts w:ascii="黑体" w:hAnsi="宋体" w:eastAsia="黑体" w:cs="黑体"/>
          <w:b/>
          <w:i w:val="0"/>
          <w:caps w:val="0"/>
          <w:color w:val="000000"/>
          <w:spacing w:val="0"/>
          <w:kern w:val="0"/>
          <w:sz w:val="32"/>
          <w:szCs w:val="32"/>
          <w:shd w:val="clear" w:fill="FFFFFF"/>
          <w:lang w:val="en-US" w:eastAsia="zh-CN" w:bidi="ar"/>
        </w:rPr>
        <w:t>一、指导思想和原则</w:t>
      </w:r>
    </w:p>
    <w:p w14:paraId="55CD82AA">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以党的十九大精神为指引，增强土地要素在供给侧结构性改革中的基础作用，确保盘锦经济社会全面协调持续发展和土地资源节约集约利用，促进经济结构调整和经济增长方式转变，促进城乡统筹、合理布局、优化发展、合理配置建设用地，有力调控房地产用地市场。</w:t>
      </w:r>
    </w:p>
    <w:p w14:paraId="57224231">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（一）盘活存量、控制总量。</w:t>
      </w:r>
      <w:r>
        <w:rPr>
          <w:rFonts w:hint="eastAsia" w:ascii="仿宋_GB2312" w:hAnsi="宋体" w:eastAsia="仿宋_GB2312" w:cs="仿宋_GB2312"/>
          <w:b w:val="0"/>
          <w:i w:val="0"/>
          <w:caps w:val="0"/>
          <w:color w:val="000000"/>
          <w:spacing w:val="0"/>
          <w:kern w:val="0"/>
          <w:sz w:val="32"/>
          <w:szCs w:val="32"/>
          <w:shd w:val="clear" w:fill="FFFFFF"/>
          <w:lang w:val="en-US" w:eastAsia="zh-CN" w:bidi="ar"/>
        </w:rPr>
        <w:t>严格依据土地利用总体规划、城市规划及土地利用年度计划，保证“十三五</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规划实施，从严控制总量。严格对具体建设项目用地规模的审查和控制。除法律、法规、规章规定可以划拨用地外，一律采取有偿使用方式供地。</w:t>
      </w:r>
    </w:p>
    <w:p w14:paraId="6DC60701">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（二）严格保护耕地。</w:t>
      </w:r>
      <w:r>
        <w:rPr>
          <w:rFonts w:hint="eastAsia" w:ascii="仿宋_GB2312" w:hAnsi="宋体" w:eastAsia="仿宋_GB2312" w:cs="仿宋_GB2312"/>
          <w:b w:val="0"/>
          <w:i w:val="0"/>
          <w:caps w:val="0"/>
          <w:color w:val="000000"/>
          <w:spacing w:val="0"/>
          <w:kern w:val="0"/>
          <w:sz w:val="32"/>
          <w:szCs w:val="32"/>
          <w:shd w:val="clear" w:fill="FFFFFF"/>
          <w:lang w:val="en-US" w:eastAsia="zh-CN" w:bidi="ar"/>
        </w:rPr>
        <w:t>控制新增建设用地，保护基本农田，优先利用存量建设用地，集约和节约利用土地，使土地市场保持持续、健康、协调发展；</w:t>
      </w:r>
    </w:p>
    <w:p w14:paraId="2A357325">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（三）优化建设用地供应结构。</w:t>
      </w:r>
      <w:r>
        <w:rPr>
          <w:rFonts w:hint="eastAsia" w:ascii="仿宋_GB2312" w:hAnsi="宋体" w:eastAsia="仿宋_GB2312" w:cs="仿宋_GB2312"/>
          <w:b w:val="0"/>
          <w:i w:val="0"/>
          <w:caps w:val="0"/>
          <w:color w:val="000000"/>
          <w:spacing w:val="0"/>
          <w:kern w:val="0"/>
          <w:sz w:val="32"/>
          <w:szCs w:val="32"/>
          <w:shd w:val="clear" w:fill="FFFFFF"/>
          <w:lang w:val="en-US" w:eastAsia="zh-CN" w:bidi="ar"/>
        </w:rPr>
        <w:t>紧密结合盘锦市经济和社会发展需要，按照“适度控制总量，着力挖潜存量</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的原则，优先保证交通、基础设施、廉租房、经济适用房等民生工程项目用地的供给。加强供地项目的规划审查管理，具体项目供地必须按规定权限进行土地利用总体规划和城市总体规划的审查。对违反产业政策，属于限制和禁止类的建设项目不予供地。</w:t>
      </w:r>
    </w:p>
    <w:p w14:paraId="43CA6DE3">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（四）优先保障。</w:t>
      </w:r>
      <w:r>
        <w:rPr>
          <w:rFonts w:hint="eastAsia" w:ascii="仿宋_GB2312" w:hAnsi="宋体" w:eastAsia="仿宋_GB2312" w:cs="仿宋_GB2312"/>
          <w:b w:val="0"/>
          <w:i w:val="0"/>
          <w:caps w:val="0"/>
          <w:color w:val="000000"/>
          <w:spacing w:val="0"/>
          <w:kern w:val="0"/>
          <w:sz w:val="32"/>
          <w:szCs w:val="32"/>
          <w:shd w:val="clear" w:fill="FFFFFF"/>
          <w:lang w:val="en-US" w:eastAsia="zh-CN" w:bidi="ar"/>
        </w:rPr>
        <w:t>按照我市实施“十三五</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规划需求，结合国家振兴东北老工业基地战略，以差别化用地政策，保障重大项目用地，优先保障辽东湾新区项目用地。对生产性服务业用地、商业用地、物流产业用地给予优先保障。严格落实房地产</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去库存</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政策，对房地产用地实施宏观调控，除保障性住房项目外，停止供应住宅用地。</w:t>
      </w:r>
    </w:p>
    <w:p w14:paraId="30561E36">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（五）城乡统筹。</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全方位打破城乡二元结构的瓶颈制约，强化农村地区土地利用管理，实现城乡规划、产业发展、基础设施、公共服务、就业保障一体化建设。结合推进全市“美丽乡村</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建设，积极开展镇、村、田、林、路综合整治，努力促进农业向规模化集中、工业向园区集中、农村居民向小集镇集中，形成城乡统筹、以城带乡、优势互补的土地利用空间结构。</w:t>
      </w:r>
    </w:p>
    <w:p w14:paraId="5774BD93">
      <w:pPr>
        <w:keepNext w:val="0"/>
        <w:keepLines w:val="0"/>
        <w:widowControl/>
        <w:suppressLineNumbers w:val="0"/>
        <w:spacing w:before="0" w:beforeAutospacing="0" w:after="0" w:afterAutospacing="0"/>
        <w:ind w:left="0" w:right="0" w:firstLine="640"/>
        <w:jc w:val="left"/>
      </w:pPr>
      <w:r>
        <w:rPr>
          <w:rFonts w:hint="eastAsia" w:ascii="黑体" w:hAnsi="宋体" w:eastAsia="黑体" w:cs="黑体"/>
          <w:b/>
          <w:i w:val="0"/>
          <w:caps w:val="0"/>
          <w:color w:val="000000"/>
          <w:spacing w:val="0"/>
          <w:kern w:val="0"/>
          <w:sz w:val="32"/>
          <w:szCs w:val="32"/>
          <w:shd w:val="clear" w:fill="FFFFFF"/>
          <w:lang w:val="en-US" w:eastAsia="zh-CN" w:bidi="ar"/>
        </w:rPr>
        <w:t>二、2019年计划指标</w:t>
      </w:r>
    </w:p>
    <w:p w14:paraId="12D565B7">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按照保护耕地、保障发展、优先支持城市基础设施和重点产业建设项目用地，保证中低收入家庭住房用地的总体要求，确保2019年保障性安居工程工作任务供地。按照县改区过渡期政策，首次将大洼区土地供应计划纳入市本级。</w:t>
      </w:r>
    </w:p>
    <w:p w14:paraId="6B0E8425">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市本级建设项目用地供应总量为1630公顷。其中：兴隆台区供地总量98公顷；双台子区供地总量44公顷；大洼区供地总量300公顷。辽东湾新区供地总量1188公顷。</w:t>
      </w:r>
    </w:p>
    <w:p w14:paraId="583748F7">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按照土地用途划分：商业用地44公顷，工业用地1288公顷，居住用地110公顷，公共管理及基础设施供地面积95公顷，交通运输用地93公顷。</w:t>
      </w:r>
    </w:p>
    <w:p w14:paraId="53B76CA8">
      <w:pPr>
        <w:keepNext w:val="0"/>
        <w:keepLines w:val="0"/>
        <w:widowControl/>
        <w:suppressLineNumbers w:val="0"/>
        <w:spacing w:before="0" w:beforeAutospacing="0" w:after="0" w:afterAutospacing="0"/>
        <w:ind w:left="0" w:right="0" w:firstLine="640"/>
        <w:jc w:val="left"/>
      </w:pPr>
      <w:r>
        <w:rPr>
          <w:rFonts w:hint="eastAsia" w:ascii="黑体" w:hAnsi="宋体" w:eastAsia="黑体" w:cs="黑体"/>
          <w:b/>
          <w:i w:val="0"/>
          <w:caps w:val="0"/>
          <w:color w:val="000000"/>
          <w:spacing w:val="0"/>
          <w:kern w:val="0"/>
          <w:sz w:val="32"/>
          <w:szCs w:val="32"/>
          <w:shd w:val="clear" w:fill="FFFFFF"/>
          <w:lang w:val="en-US" w:eastAsia="zh-CN" w:bidi="ar"/>
        </w:rPr>
        <w:t>三、政策导向</w:t>
      </w:r>
    </w:p>
    <w:p w14:paraId="5172FF42">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（一）优先保障方向。</w:t>
      </w:r>
      <w:r>
        <w:rPr>
          <w:rFonts w:hint="eastAsia" w:ascii="仿宋_GB2312" w:hAnsi="宋体" w:eastAsia="仿宋_GB2312" w:cs="仿宋_GB2312"/>
          <w:b w:val="0"/>
          <w:i w:val="0"/>
          <w:caps w:val="0"/>
          <w:color w:val="000000"/>
          <w:spacing w:val="0"/>
          <w:kern w:val="0"/>
          <w:sz w:val="32"/>
          <w:szCs w:val="32"/>
          <w:shd w:val="clear" w:fill="FFFFFF"/>
          <w:lang w:val="en-US" w:eastAsia="zh-CN" w:bidi="ar"/>
        </w:rPr>
        <w:t>优先确保市政府重点基础设施建设项目建设用地供应；优先支持城市交通建设项目建设用地供应；支持环卫基础设施、节能和能源基础设施建设用地供应；农村的基础设施和公共设施项目建设用地供应。</w:t>
      </w:r>
    </w:p>
    <w:p w14:paraId="22D2D3F1">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（二）全面推进区域城市化和城市现代化进程</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强化中心城市功能，完善设施、打造环境、塑造形象、提升功能。完成中心城区范围内城中村、旧城区改造和老新村整治，提升中心城市现代化、国际化水平。开辟新型城市化道路，高起点、高质量开发建设一批区位优势明显、城镇布局合理、带动效应较强的重点商业服务业项目。</w:t>
      </w:r>
    </w:p>
    <w:p w14:paraId="67BACBE9">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（三）保证全市重点产业项目建设用地供应</w:t>
      </w:r>
      <w:r>
        <w:rPr>
          <w:rFonts w:hint="eastAsia" w:ascii="仿宋_GB2312" w:hAnsi="宋体" w:eastAsia="仿宋_GB2312" w:cs="仿宋_GB2312"/>
          <w:b w:val="0"/>
          <w:i w:val="0"/>
          <w:caps w:val="0"/>
          <w:color w:val="000000"/>
          <w:spacing w:val="0"/>
          <w:kern w:val="0"/>
          <w:sz w:val="32"/>
          <w:szCs w:val="32"/>
          <w:shd w:val="clear" w:fill="FFFFFF"/>
          <w:lang w:val="en-US" w:eastAsia="zh-CN" w:bidi="ar"/>
        </w:rPr>
        <w:t>。鼓励和支持新产业新业态项目、高新技术产业、现代制造业、现代物流业项目建设用地供应，对列入“中国制造2025</w:t>
      </w:r>
      <w:r>
        <w:rPr>
          <w:rFonts w:hint="eastAsia" w:ascii="宋体" w:hAnsi="宋体" w:eastAsia="宋体" w:cs="宋体"/>
          <w:b w:val="0"/>
          <w:i w:val="0"/>
          <w:caps w:val="0"/>
          <w:color w:val="000000"/>
          <w:spacing w:val="0"/>
          <w:kern w:val="0"/>
          <w:sz w:val="32"/>
          <w:szCs w:val="32"/>
          <w:shd w:val="clear" w:fill="FFFFFF"/>
          <w:lang w:val="en-US" w:eastAsia="zh-CN" w:bidi="ar"/>
        </w:rPr>
        <w:t>”</w:t>
      </w:r>
      <w:r>
        <w:rPr>
          <w:rFonts w:hint="eastAsia" w:ascii="仿宋_GB2312" w:hAnsi="宋体" w:eastAsia="仿宋_GB2312" w:cs="仿宋_GB2312"/>
          <w:b w:val="0"/>
          <w:i w:val="0"/>
          <w:caps w:val="0"/>
          <w:color w:val="000000"/>
          <w:spacing w:val="0"/>
          <w:kern w:val="0"/>
          <w:sz w:val="32"/>
          <w:szCs w:val="32"/>
          <w:shd w:val="clear" w:fill="FFFFFF"/>
          <w:lang w:val="en-US" w:eastAsia="zh-CN" w:bidi="ar"/>
        </w:rPr>
        <w:t>、《战略性新兴产业重点产品和服务指导目录》的项目用地，应保尽保。优先保障工业标准厂房建设，支持高端、高效、高辐射力、低耗能、低污染产业项目建设用地供应，严禁高耗能、高污染、资源消耗型的产业项目建设用地供应。在土地供应前，应当在“全国污染地块土壤环境管理系统”查询土地污染信息，对纳入系统管理的土地，要严格按照污染地块管理。</w:t>
      </w:r>
    </w:p>
    <w:p w14:paraId="5C56D81D">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（四）对房地产项目用地实行总量控制。</w:t>
      </w:r>
      <w:r>
        <w:rPr>
          <w:rFonts w:hint="eastAsia" w:ascii="仿宋_GB2312" w:hAnsi="宋体" w:eastAsia="仿宋_GB2312" w:cs="仿宋_GB2312"/>
          <w:b w:val="0"/>
          <w:i w:val="0"/>
          <w:caps w:val="0"/>
          <w:color w:val="000000"/>
          <w:spacing w:val="0"/>
          <w:kern w:val="0"/>
          <w:sz w:val="32"/>
          <w:szCs w:val="32"/>
          <w:shd w:val="clear" w:fill="FFFFFF"/>
          <w:lang w:val="en-US" w:eastAsia="zh-CN" w:bidi="ar"/>
        </w:rPr>
        <w:t>落实国家调结构、去库存的相关要求，对房地产用地规模进行控制，原则上全年全市房地产项目供地与往年基本持平，由各县区、经济区具体落实。</w:t>
      </w:r>
    </w:p>
    <w:p w14:paraId="1917FEC9">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（五）促进房地产用地结构调整。</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各县区要研究制定未开发房地产用地的用途转换方案，通过调整土地用途、规划条件，引导未开发房地产用地转型利用，用于国家支持的新兴产业、养老产业、文化产业、旅游产业、体育产业、服务业等项目用途的开发建设。支持居家养老项目配套设施用地需求。</w:t>
      </w:r>
    </w:p>
    <w:p w14:paraId="57D1F1C0">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(六)鼓励存量土地再开发利用。</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对利用存量工业用地基础设施、公益设施用地开发建设，提高土地利用强度和利用效率，经城市规划主管部门审核原则上不再补缴土地出让金。对利用低效利用的划拨土地和旧厂房兴办生产性服务业、物流配送等鼓励产业，发展新产业、新业态项目，不涉及土地权属变更，可按原土地用途进行过渡期管理。</w:t>
      </w:r>
    </w:p>
    <w:p w14:paraId="13550C5F">
      <w:pPr>
        <w:keepNext w:val="0"/>
        <w:keepLines w:val="0"/>
        <w:widowControl/>
        <w:suppressLineNumbers w:val="0"/>
        <w:spacing w:before="0" w:beforeAutospacing="0" w:after="0" w:afterAutospacing="0"/>
        <w:ind w:left="0" w:right="0" w:firstLine="640"/>
        <w:jc w:val="left"/>
      </w:pPr>
      <w:r>
        <w:rPr>
          <w:rFonts w:hint="eastAsia" w:ascii="黑体" w:hAnsi="宋体" w:eastAsia="黑体" w:cs="黑体"/>
          <w:b/>
          <w:i w:val="0"/>
          <w:caps w:val="0"/>
          <w:color w:val="000000"/>
          <w:spacing w:val="0"/>
          <w:kern w:val="0"/>
          <w:sz w:val="32"/>
          <w:szCs w:val="32"/>
          <w:shd w:val="clear" w:fill="FFFFFF"/>
          <w:lang w:val="en-US" w:eastAsia="zh-CN" w:bidi="ar"/>
        </w:rPr>
        <w:t>四、保障措施</w:t>
      </w:r>
    </w:p>
    <w:p w14:paraId="045107C8">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（一）落实供地计划的地块公布机制,稳定市场预期。</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土地供应计划经市政府批准后，根据各区、经济区政府提出的土地供应计划安排建议方案将年内拟供应土地落到地块。对于未列入计划的地块，原则上不予办理土地供应手续，但对已经完成地块前期开发的经营性用地、城市功能性设施用地、新产业新业态用地在供地总量不突破的前提下，需要调整供地结构的，各区政府应当于十月份前，依据计划执行和土地供需情况等向市国土局提出计划修订方案，经汇总审核并报市政府批准后进行调整并及时向社会公布。</w:t>
      </w:r>
    </w:p>
    <w:p w14:paraId="5C77043D">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（二）加强计划实施过程的沟通和协调。</w:t>
      </w:r>
      <w:r>
        <w:rPr>
          <w:rFonts w:hint="eastAsia" w:ascii="仿宋_GB2312" w:hAnsi="宋体" w:eastAsia="仿宋_GB2312" w:cs="仿宋_GB2312"/>
          <w:b w:val="0"/>
          <w:i w:val="0"/>
          <w:caps w:val="0"/>
          <w:color w:val="000000"/>
          <w:spacing w:val="0"/>
          <w:kern w:val="0"/>
          <w:sz w:val="32"/>
          <w:szCs w:val="32"/>
          <w:shd w:val="clear" w:fill="FFFFFF"/>
          <w:lang w:val="en-US" w:eastAsia="zh-CN" w:bidi="ar"/>
        </w:rPr>
        <w:t>要定期协调解决计划实施中存在的问题，对列入计划的项目加快审批，推进计划实施。各区、经济区政府和市有关行业主管部门要充分发挥实施土地供应计划的主体作用，加强规划设计、征地拆迁等前期工作协调，及时主动沟通，共同研究解决计划实施过程中遇到的困难和问题，确保计划的实施。</w:t>
      </w:r>
    </w:p>
    <w:p w14:paraId="5285B72E">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（三）加强计划的动态跟踪管理和通报。</w:t>
      </w:r>
      <w:r>
        <w:rPr>
          <w:rFonts w:hint="eastAsia" w:ascii="仿宋_GB2312" w:hAnsi="宋体" w:eastAsia="仿宋_GB2312" w:cs="仿宋_GB2312"/>
          <w:b w:val="0"/>
          <w:i w:val="0"/>
          <w:caps w:val="0"/>
          <w:color w:val="000000"/>
          <w:spacing w:val="0"/>
          <w:kern w:val="0"/>
          <w:sz w:val="32"/>
          <w:szCs w:val="32"/>
          <w:shd w:val="clear" w:fill="FFFFFF"/>
          <w:lang w:val="en-US" w:eastAsia="zh-CN" w:bidi="ar"/>
        </w:rPr>
        <w:t>要及时总结计划执行情况，定期向社会通报计划执行情况，对因特殊原因影响供应计划安排的，应会同相关部门和相关区政府做好计划调整工作，及时做出说明。</w:t>
      </w:r>
    </w:p>
    <w:p w14:paraId="556C6A7F">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i w:val="0"/>
          <w:caps w:val="0"/>
          <w:color w:val="000000"/>
          <w:spacing w:val="0"/>
          <w:kern w:val="0"/>
          <w:sz w:val="32"/>
          <w:szCs w:val="32"/>
          <w:shd w:val="clear" w:fill="FFFFFF"/>
          <w:lang w:val="en-US" w:eastAsia="zh-CN" w:bidi="ar"/>
        </w:rPr>
        <w:t>（四）强化土地供应前期审核和踏勘。</w:t>
      </w:r>
      <w:r>
        <w:rPr>
          <w:rFonts w:hint="eastAsia" w:ascii="仿宋_GB2312" w:hAnsi="宋体" w:eastAsia="仿宋_GB2312" w:cs="仿宋_GB2312"/>
          <w:b w:val="0"/>
          <w:i w:val="0"/>
          <w:caps w:val="0"/>
          <w:color w:val="000000"/>
          <w:spacing w:val="0"/>
          <w:kern w:val="0"/>
          <w:sz w:val="32"/>
          <w:szCs w:val="32"/>
          <w:shd w:val="clear" w:fill="FFFFFF"/>
          <w:lang w:val="en-US" w:eastAsia="zh-CN" w:bidi="ar"/>
        </w:rPr>
        <w:t>强化土地储备管理职能，对2019年的拟出让地块，原则上必须由土地储备机构先期储备，完成地块内前期开发、地块外基础设施建设后，在场地通平条件前期开发工程完成后方可推向市场。</w:t>
      </w:r>
    </w:p>
    <w:p w14:paraId="0816E648">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 </w:t>
      </w:r>
    </w:p>
    <w:p w14:paraId="65C5F418">
      <w:pPr>
        <w:keepNext w:val="0"/>
        <w:keepLines w:val="0"/>
        <w:widowControl/>
        <w:suppressLineNumbers w:val="0"/>
        <w:spacing w:before="0" w:beforeAutospacing="0" w:after="0" w:afterAutospacing="0"/>
        <w:ind w:left="0" w:right="0" w:firstLine="64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 </w:t>
      </w:r>
    </w:p>
    <w:p w14:paraId="61A1C765">
      <w:pPr>
        <w:keepNext w:val="0"/>
        <w:keepLines w:val="0"/>
        <w:widowControl/>
        <w:suppressLineNumbers w:val="0"/>
        <w:spacing w:before="0" w:beforeAutospacing="0" w:after="0" w:afterAutospacing="0"/>
        <w:ind w:left="0" w:right="0"/>
        <w:jc w:val="lef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 </w:t>
      </w:r>
    </w:p>
    <w:p w14:paraId="51DA7390">
      <w:pPr>
        <w:keepNext w:val="0"/>
        <w:keepLines w:val="0"/>
        <w:widowControl/>
        <w:suppressLineNumbers w:val="0"/>
        <w:spacing w:before="0" w:beforeAutospacing="0" w:after="0" w:afterAutospacing="0"/>
        <w:ind w:left="0" w:right="0" w:firstLine="640"/>
        <w:jc w:val="righ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盘锦市国土资源局</w:t>
      </w:r>
    </w:p>
    <w:p w14:paraId="713636F5">
      <w:pPr>
        <w:keepNext w:val="0"/>
        <w:keepLines w:val="0"/>
        <w:widowControl/>
        <w:suppressLineNumbers w:val="0"/>
        <w:spacing w:before="0" w:beforeAutospacing="0" w:after="0" w:afterAutospacing="0"/>
        <w:ind w:left="0" w:right="0" w:firstLine="640"/>
        <w:jc w:val="righ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2019年3月31日</w:t>
      </w:r>
    </w:p>
    <w:p w14:paraId="16FA58BD">
      <w:pPr>
        <w:keepNext w:val="0"/>
        <w:keepLines w:val="0"/>
        <w:widowControl/>
        <w:suppressLineNumbers w:val="0"/>
        <w:spacing w:before="0" w:beforeAutospacing="0" w:after="0" w:afterAutospacing="0"/>
        <w:ind w:left="0" w:right="0" w:firstLine="640"/>
        <w:jc w:val="right"/>
      </w:pPr>
      <w:r>
        <w:rPr>
          <w:rFonts w:hint="eastAsia" w:ascii="仿宋_GB2312" w:hAnsi="宋体" w:eastAsia="仿宋_GB2312" w:cs="仿宋_GB2312"/>
          <w:b w:val="0"/>
          <w:i w:val="0"/>
          <w:caps w:val="0"/>
          <w:color w:val="000000"/>
          <w:spacing w:val="0"/>
          <w:kern w:val="0"/>
          <w:sz w:val="32"/>
          <w:szCs w:val="32"/>
          <w:shd w:val="clear" w:fill="FFFFFF"/>
          <w:lang w:val="en-US" w:eastAsia="zh-CN" w:bidi="ar"/>
        </w:rPr>
        <w:t> </w:t>
      </w:r>
    </w:p>
    <w:p w14:paraId="446DE588">
      <w:pPr>
        <w:keepNext w:val="0"/>
        <w:keepLines w:val="0"/>
        <w:widowControl/>
        <w:suppressLineNumbers w:val="0"/>
        <w:shd w:val="clear" w:fill="FFFFFF"/>
        <w:spacing w:before="0" w:beforeAutospacing="0" w:after="0" w:afterAutospacing="0"/>
        <w:ind w:left="0" w:right="0" w:firstLine="0"/>
        <w:jc w:val="center"/>
        <w:rPr>
          <w:rFonts w:hint="eastAsia" w:ascii="黑体" w:hAnsi="宋体" w:eastAsia="黑体" w:cs="黑体"/>
          <w:b w:val="0"/>
          <w:i w:val="0"/>
          <w:caps w:val="0"/>
          <w:color w:val="000000"/>
          <w:spacing w:val="0"/>
          <w:kern w:val="0"/>
          <w:sz w:val="36"/>
          <w:szCs w:val="36"/>
          <w:shd w:val="clear" w:fill="FFFFFF"/>
          <w:lang w:val="en-US" w:eastAsia="zh-CN" w:bidi="ar"/>
        </w:rPr>
        <w:sectPr>
          <w:pgSz w:w="11906" w:h="16838"/>
          <w:pgMar w:top="1417" w:right="1531" w:bottom="1417" w:left="1531" w:header="851" w:footer="992" w:gutter="0"/>
          <w:pgNumType w:fmt="numberInDash"/>
          <w:cols w:space="0" w:num="1"/>
          <w:rtlGutter w:val="0"/>
          <w:docGrid w:type="linesAndChars" w:linePitch="636" w:charSpace="-849"/>
        </w:sectPr>
      </w:pPr>
    </w:p>
    <w:p w14:paraId="522AB84A">
      <w:pPr>
        <w:keepNext w:val="0"/>
        <w:keepLines w:val="0"/>
        <w:widowControl/>
        <w:suppressLineNumbers w:val="0"/>
        <w:shd w:val="clear" w:fill="FFFFFF"/>
        <w:spacing w:before="0" w:beforeAutospacing="0" w:after="0" w:afterAutospacing="0"/>
        <w:ind w:left="0" w:right="0" w:firstLine="0"/>
        <w:jc w:val="center"/>
        <w:rPr>
          <w:rFonts w:hint="eastAsia" w:ascii="宋体" w:hAnsi="宋体" w:eastAsia="宋体" w:cs="宋体"/>
          <w:b w:val="0"/>
          <w:i w:val="0"/>
          <w:caps w:val="0"/>
          <w:color w:val="000000"/>
          <w:spacing w:val="0"/>
          <w:sz w:val="21"/>
          <w:szCs w:val="21"/>
        </w:rPr>
      </w:pPr>
      <w:r>
        <w:rPr>
          <w:rFonts w:hint="eastAsia" w:ascii="黑体" w:hAnsi="宋体" w:eastAsia="黑体" w:cs="黑体"/>
          <w:b w:val="0"/>
          <w:i w:val="0"/>
          <w:caps w:val="0"/>
          <w:color w:val="000000"/>
          <w:spacing w:val="0"/>
          <w:kern w:val="0"/>
          <w:sz w:val="36"/>
          <w:szCs w:val="36"/>
          <w:shd w:val="clear" w:fill="FFFFFF"/>
          <w:lang w:val="en-US" w:eastAsia="zh-CN" w:bidi="ar"/>
        </w:rPr>
        <w:t>盘锦市2019年度土地供应计划结构汇总表</w:t>
      </w:r>
    </w:p>
    <w:p w14:paraId="45FCDB3F">
      <w:pPr>
        <w:keepNext w:val="0"/>
        <w:keepLines w:val="0"/>
        <w:widowControl/>
        <w:suppressLineNumbers w:val="0"/>
        <w:shd w:val="clear" w:fill="FFFFFF"/>
        <w:spacing w:before="0" w:beforeAutospacing="0" w:after="0" w:afterAutospacing="0"/>
        <w:ind w:left="0" w:right="0" w:firstLine="0"/>
        <w:jc w:val="right"/>
        <w:rPr>
          <w:rFonts w:hint="eastAsia" w:ascii="宋体" w:hAnsi="宋体" w:eastAsia="宋体" w:cs="宋体"/>
          <w:b w:val="0"/>
          <w:i w:val="0"/>
          <w:caps w:val="0"/>
          <w:color w:val="000000"/>
          <w:spacing w:val="0"/>
          <w:sz w:val="21"/>
          <w:szCs w:val="21"/>
        </w:rPr>
      </w:pPr>
      <w:r>
        <w:rPr>
          <w:rFonts w:hint="eastAsia" w:ascii="仿宋_GB2312" w:hAnsi="宋体" w:eastAsia="仿宋_GB2312" w:cs="仿宋_GB2312"/>
          <w:b w:val="0"/>
          <w:i w:val="0"/>
          <w:caps w:val="0"/>
          <w:color w:val="000000"/>
          <w:spacing w:val="0"/>
          <w:kern w:val="0"/>
          <w:sz w:val="32"/>
          <w:szCs w:val="32"/>
          <w:shd w:val="clear" w:fill="FFFFFF"/>
          <w:lang w:val="en-US" w:eastAsia="zh-CN" w:bidi="ar"/>
        </w:rPr>
        <w:t>单位：公顷</w:t>
      </w:r>
    </w:p>
    <w:tbl>
      <w:tblPr>
        <w:tblStyle w:val="2"/>
        <w:tblW w:w="13795" w:type="dxa"/>
        <w:tblInd w:w="-165" w:type="dxa"/>
        <w:shd w:val="clear" w:color="auto" w:fill="FFFFFF"/>
        <w:tblLayout w:type="fixed"/>
        <w:tblCellMar>
          <w:top w:w="0" w:type="dxa"/>
          <w:left w:w="0" w:type="dxa"/>
          <w:bottom w:w="0" w:type="dxa"/>
          <w:right w:w="0" w:type="dxa"/>
        </w:tblCellMar>
      </w:tblPr>
      <w:tblGrid>
        <w:gridCol w:w="1339"/>
        <w:gridCol w:w="980"/>
        <w:gridCol w:w="1261"/>
        <w:gridCol w:w="1236"/>
        <w:gridCol w:w="1023"/>
        <w:gridCol w:w="811"/>
        <w:gridCol w:w="690"/>
        <w:gridCol w:w="1235"/>
        <w:gridCol w:w="1417"/>
        <w:gridCol w:w="1235"/>
        <w:gridCol w:w="1235"/>
        <w:gridCol w:w="690"/>
        <w:gridCol w:w="643"/>
      </w:tblGrid>
      <w:tr w14:paraId="0F720DFF">
        <w:tblPrEx>
          <w:shd w:val="clear" w:color="auto" w:fill="FFFFFF"/>
        </w:tblPrEx>
        <w:trPr>
          <w:trHeight w:val="285" w:hRule="atLeast"/>
        </w:trPr>
        <w:tc>
          <w:tcPr>
            <w:tcW w:w="1339" w:type="dxa"/>
            <w:vMerge w:val="restart"/>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bottom w:w="15" w:type="dxa"/>
              <w:right w:w="15" w:type="dxa"/>
            </w:tcMar>
            <w:vAlign w:val="center"/>
          </w:tcPr>
          <w:p w14:paraId="46FE2DC5">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地 区</w:t>
            </w:r>
          </w:p>
        </w:tc>
        <w:tc>
          <w:tcPr>
            <w:tcW w:w="980" w:type="dxa"/>
            <w:vMerge w:val="restart"/>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76EC0127">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合计</w:t>
            </w:r>
          </w:p>
        </w:tc>
        <w:tc>
          <w:tcPr>
            <w:tcW w:w="1261" w:type="dxa"/>
            <w:vMerge w:val="restart"/>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2A821EC8">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商服用地</w:t>
            </w:r>
          </w:p>
        </w:tc>
        <w:tc>
          <w:tcPr>
            <w:tcW w:w="1236" w:type="dxa"/>
            <w:vMerge w:val="restart"/>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2BE2ABBF">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工矿仓储用地</w:t>
            </w:r>
          </w:p>
        </w:tc>
        <w:tc>
          <w:tcPr>
            <w:tcW w:w="5176" w:type="dxa"/>
            <w:gridSpan w:val="5"/>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4A92A8B2">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住 宅 用 地</w:t>
            </w:r>
          </w:p>
        </w:tc>
        <w:tc>
          <w:tcPr>
            <w:tcW w:w="1235" w:type="dxa"/>
            <w:vMerge w:val="restart"/>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53F388D2">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公共管理与公共服务用地</w:t>
            </w:r>
          </w:p>
        </w:tc>
        <w:tc>
          <w:tcPr>
            <w:tcW w:w="1235" w:type="dxa"/>
            <w:vMerge w:val="restart"/>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754E58B9">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交通运输用地</w:t>
            </w:r>
          </w:p>
        </w:tc>
        <w:tc>
          <w:tcPr>
            <w:tcW w:w="690" w:type="dxa"/>
            <w:vMerge w:val="restart"/>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730B409E">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水域及水利设施用地</w:t>
            </w:r>
          </w:p>
        </w:tc>
        <w:tc>
          <w:tcPr>
            <w:tcW w:w="643" w:type="dxa"/>
            <w:vMerge w:val="restart"/>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0D69D9D7">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特殊用地</w:t>
            </w:r>
          </w:p>
        </w:tc>
      </w:tr>
      <w:tr w14:paraId="4644E10B">
        <w:trPr>
          <w:trHeight w:val="1020" w:hRule="atLeast"/>
        </w:trPr>
        <w:tc>
          <w:tcPr>
            <w:tcW w:w="1339"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5" w:type="dxa"/>
              <w:left w:w="15" w:type="dxa"/>
              <w:bottom w:w="15" w:type="dxa"/>
              <w:right w:w="15" w:type="dxa"/>
            </w:tcMar>
            <w:vAlign w:val="center"/>
          </w:tcPr>
          <w:p w14:paraId="69B16B0E">
            <w:pPr>
              <w:jc w:val="left"/>
              <w:rPr>
                <w:rFonts w:hint="eastAsia" w:ascii="宋体" w:hAnsi="宋体" w:eastAsia="宋体" w:cs="宋体"/>
                <w:b w:val="0"/>
                <w:i w:val="0"/>
                <w:caps w:val="0"/>
                <w:color w:val="000000"/>
                <w:spacing w:val="0"/>
                <w:sz w:val="21"/>
                <w:szCs w:val="21"/>
              </w:rPr>
            </w:pPr>
          </w:p>
        </w:tc>
        <w:tc>
          <w:tcPr>
            <w:tcW w:w="980" w:type="dxa"/>
            <w:vMerge w:val="continue"/>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2EB749C8">
            <w:pPr>
              <w:jc w:val="left"/>
              <w:rPr>
                <w:rFonts w:hint="eastAsia" w:ascii="宋体" w:hAnsi="宋体" w:eastAsia="宋体" w:cs="宋体"/>
                <w:b w:val="0"/>
                <w:i w:val="0"/>
                <w:caps w:val="0"/>
                <w:color w:val="000000"/>
                <w:spacing w:val="0"/>
                <w:sz w:val="21"/>
                <w:szCs w:val="21"/>
              </w:rPr>
            </w:pPr>
          </w:p>
        </w:tc>
        <w:tc>
          <w:tcPr>
            <w:tcW w:w="1261" w:type="dxa"/>
            <w:vMerge w:val="continue"/>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407E57EE">
            <w:pPr>
              <w:jc w:val="left"/>
              <w:rPr>
                <w:rFonts w:hint="eastAsia" w:ascii="宋体" w:hAnsi="宋体" w:eastAsia="宋体" w:cs="宋体"/>
                <w:b w:val="0"/>
                <w:i w:val="0"/>
                <w:caps w:val="0"/>
                <w:color w:val="000000"/>
                <w:spacing w:val="0"/>
                <w:sz w:val="21"/>
                <w:szCs w:val="21"/>
              </w:rPr>
            </w:pPr>
          </w:p>
        </w:tc>
        <w:tc>
          <w:tcPr>
            <w:tcW w:w="1236" w:type="dxa"/>
            <w:vMerge w:val="continue"/>
            <w:tcBorders>
              <w:top w:val="single" w:color="000000" w:sz="8" w:space="0"/>
              <w:left w:val="nil"/>
              <w:bottom w:val="single" w:color="000000" w:sz="8" w:space="0"/>
              <w:right w:val="single" w:color="000000" w:sz="8" w:space="0"/>
            </w:tcBorders>
            <w:shd w:val="clear" w:color="auto" w:fill="FFFFFF"/>
            <w:tcMar>
              <w:top w:w="15" w:type="dxa"/>
              <w:left w:w="15" w:type="dxa"/>
              <w:bottom w:w="15" w:type="dxa"/>
              <w:right w:w="15" w:type="dxa"/>
            </w:tcMar>
            <w:vAlign w:val="center"/>
          </w:tcPr>
          <w:p w14:paraId="1510F520">
            <w:pPr>
              <w:jc w:val="left"/>
              <w:rPr>
                <w:rFonts w:hint="eastAsia" w:ascii="宋体" w:hAnsi="宋体" w:eastAsia="宋体" w:cs="宋体"/>
                <w:b w:val="0"/>
                <w:i w:val="0"/>
                <w:caps w:val="0"/>
                <w:color w:val="000000"/>
                <w:spacing w:val="0"/>
                <w:sz w:val="21"/>
                <w:szCs w:val="21"/>
              </w:rPr>
            </w:pP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435A95C">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小 计</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D78D004">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廉租房及公共租赁房用地</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C2E4607">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经济适用房用地</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89E2421">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棚改及中小套型商品房用地　　</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9588F84">
            <w:pPr>
              <w:keepNext w:val="0"/>
              <w:keepLines w:val="0"/>
              <w:widowControl/>
              <w:suppressLineNumbers w:val="0"/>
              <w:spacing w:before="0" w:beforeAutospacing="0" w:after="0" w:afterAutospacing="0"/>
              <w:ind w:left="0" w:right="0"/>
              <w:jc w:val="center"/>
            </w:pPr>
            <w:r>
              <w:rPr>
                <w:rFonts w:hint="eastAsia" w:ascii="黑体" w:hAnsi="宋体" w:eastAsia="黑体" w:cs="黑体"/>
                <w:b w:val="0"/>
                <w:i w:val="0"/>
                <w:caps w:val="0"/>
                <w:color w:val="000000"/>
                <w:spacing w:val="0"/>
                <w:kern w:val="0"/>
                <w:sz w:val="20"/>
                <w:szCs w:val="20"/>
                <w:lang w:val="en-US" w:eastAsia="zh-CN" w:bidi="ar"/>
              </w:rPr>
              <w:t>其他商品房用地</w:t>
            </w:r>
          </w:p>
        </w:tc>
        <w:tc>
          <w:tcPr>
            <w:tcW w:w="1235" w:type="dxa"/>
            <w:vMerge w:val="continue"/>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602B0876">
            <w:pPr>
              <w:jc w:val="left"/>
              <w:rPr>
                <w:rFonts w:hint="eastAsia" w:ascii="宋体" w:hAnsi="宋体" w:eastAsia="宋体" w:cs="宋体"/>
                <w:b w:val="0"/>
                <w:i w:val="0"/>
                <w:caps w:val="0"/>
                <w:color w:val="000000"/>
                <w:spacing w:val="0"/>
                <w:sz w:val="21"/>
                <w:szCs w:val="21"/>
              </w:rPr>
            </w:pPr>
          </w:p>
        </w:tc>
        <w:tc>
          <w:tcPr>
            <w:tcW w:w="1235" w:type="dxa"/>
            <w:vMerge w:val="continue"/>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042C9D4A">
            <w:pPr>
              <w:jc w:val="left"/>
              <w:rPr>
                <w:rFonts w:hint="eastAsia" w:ascii="宋体" w:hAnsi="宋体" w:eastAsia="宋体" w:cs="宋体"/>
                <w:b w:val="0"/>
                <w:i w:val="0"/>
                <w:caps w:val="0"/>
                <w:color w:val="000000"/>
                <w:spacing w:val="0"/>
                <w:sz w:val="21"/>
                <w:szCs w:val="21"/>
              </w:rPr>
            </w:pPr>
          </w:p>
        </w:tc>
        <w:tc>
          <w:tcPr>
            <w:tcW w:w="690" w:type="dxa"/>
            <w:vMerge w:val="continue"/>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48860107">
            <w:pPr>
              <w:jc w:val="left"/>
              <w:rPr>
                <w:rFonts w:hint="eastAsia" w:ascii="宋体" w:hAnsi="宋体" w:eastAsia="宋体" w:cs="宋体"/>
                <w:b w:val="0"/>
                <w:i w:val="0"/>
                <w:caps w:val="0"/>
                <w:color w:val="000000"/>
                <w:spacing w:val="0"/>
                <w:sz w:val="21"/>
                <w:szCs w:val="21"/>
              </w:rPr>
            </w:pPr>
          </w:p>
        </w:tc>
        <w:tc>
          <w:tcPr>
            <w:tcW w:w="643" w:type="dxa"/>
            <w:vMerge w:val="continue"/>
            <w:tcBorders>
              <w:top w:val="single" w:color="000000" w:sz="8" w:space="0"/>
              <w:left w:val="nil"/>
              <w:bottom w:val="single" w:color="000000" w:sz="8" w:space="0"/>
              <w:right w:val="single" w:color="000000" w:sz="8" w:space="0"/>
            </w:tcBorders>
            <w:shd w:val="clear" w:color="auto" w:fill="FFFFFF"/>
            <w:tcMar>
              <w:left w:w="108" w:type="dxa"/>
              <w:right w:w="108" w:type="dxa"/>
            </w:tcMar>
            <w:vAlign w:val="center"/>
          </w:tcPr>
          <w:p w14:paraId="4A015851">
            <w:pPr>
              <w:jc w:val="left"/>
              <w:rPr>
                <w:rFonts w:hint="eastAsia" w:ascii="宋体" w:hAnsi="宋体" w:eastAsia="宋体" w:cs="宋体"/>
                <w:b w:val="0"/>
                <w:i w:val="0"/>
                <w:caps w:val="0"/>
                <w:color w:val="000000"/>
                <w:spacing w:val="0"/>
                <w:sz w:val="21"/>
                <w:szCs w:val="21"/>
              </w:rPr>
            </w:pPr>
          </w:p>
        </w:tc>
      </w:tr>
      <w:tr w14:paraId="42F1F6DA">
        <w:tblPrEx>
          <w:shd w:val="clear" w:color="auto" w:fill="FFFFFF"/>
        </w:tblPrEx>
        <w:trPr>
          <w:trHeight w:val="571" w:hRule="atLeast"/>
        </w:trPr>
        <w:tc>
          <w:tcPr>
            <w:tcW w:w="1339"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14:paraId="1AC0C62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双台子区</w:t>
            </w:r>
          </w:p>
        </w:tc>
        <w:tc>
          <w:tcPr>
            <w:tcW w:w="98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98D89B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44</w:t>
            </w:r>
          </w:p>
        </w:tc>
        <w:tc>
          <w:tcPr>
            <w:tcW w:w="126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A26522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2</w:t>
            </w:r>
          </w:p>
        </w:tc>
        <w:tc>
          <w:tcPr>
            <w:tcW w:w="1236"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B6D43C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25</w:t>
            </w: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E048EE0">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F921109">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E86932A">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6F5F9C0">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DEDC43A">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D3DE1E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52FB18A">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17</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5A9C65E">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4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186655D">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r>
      <w:tr w14:paraId="43A37D3C">
        <w:trPr>
          <w:trHeight w:val="571" w:hRule="atLeast"/>
        </w:trPr>
        <w:tc>
          <w:tcPr>
            <w:tcW w:w="1339"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14:paraId="6A30E96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兴隆台区</w:t>
            </w:r>
          </w:p>
        </w:tc>
        <w:tc>
          <w:tcPr>
            <w:tcW w:w="98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F6A3F7E">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98</w:t>
            </w:r>
          </w:p>
        </w:tc>
        <w:tc>
          <w:tcPr>
            <w:tcW w:w="126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AFE77D1">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2</w:t>
            </w:r>
          </w:p>
        </w:tc>
        <w:tc>
          <w:tcPr>
            <w:tcW w:w="1236"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180788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33</w:t>
            </w: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E9C71B5">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40</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3ABEA8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70D5CA4">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4424F0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28</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0E278F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12</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1B21053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15</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84E65C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8</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8B41E6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4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04D12A9">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r>
      <w:tr w14:paraId="7C52C78C">
        <w:trPr>
          <w:trHeight w:val="571" w:hRule="atLeast"/>
        </w:trPr>
        <w:tc>
          <w:tcPr>
            <w:tcW w:w="1339"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14:paraId="693CED6D">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大洼区</w:t>
            </w:r>
          </w:p>
        </w:tc>
        <w:tc>
          <w:tcPr>
            <w:tcW w:w="98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F5440E9">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300</w:t>
            </w:r>
          </w:p>
        </w:tc>
        <w:tc>
          <w:tcPr>
            <w:tcW w:w="126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E5FDBA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40</w:t>
            </w:r>
          </w:p>
        </w:tc>
        <w:tc>
          <w:tcPr>
            <w:tcW w:w="1236"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A4D0ECE">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80</w:t>
            </w: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ABAAB4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70</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2FB0735">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33A7F30">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DA09E1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49</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A708AD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21</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1C5CA61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50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8C35605">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60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1496ABC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4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1952529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r>
      <w:tr w14:paraId="7593B94B">
        <w:trPr>
          <w:trHeight w:val="571" w:hRule="atLeast"/>
        </w:trPr>
        <w:tc>
          <w:tcPr>
            <w:tcW w:w="1339"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14:paraId="3821F2EC">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辽东湾新区</w:t>
            </w:r>
          </w:p>
        </w:tc>
        <w:tc>
          <w:tcPr>
            <w:tcW w:w="98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60E104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1188</w:t>
            </w:r>
          </w:p>
        </w:tc>
        <w:tc>
          <w:tcPr>
            <w:tcW w:w="126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474FEA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6"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4FC2A8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1150</w:t>
            </w: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83DC2E6">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5AF439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998C016">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5A6B03F6">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D7DB55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1B7B22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30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2CF3187E">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8</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146AEBA">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4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9E004C0">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r>
      <w:tr w14:paraId="45A6B7C3">
        <w:trPr>
          <w:trHeight w:val="571" w:hRule="atLeast"/>
        </w:trPr>
        <w:tc>
          <w:tcPr>
            <w:tcW w:w="1339" w:type="dxa"/>
            <w:tcBorders>
              <w:top w:val="nil"/>
              <w:left w:val="single" w:color="000000" w:sz="8" w:space="0"/>
              <w:bottom w:val="single" w:color="000000" w:sz="8" w:space="0"/>
              <w:right w:val="single" w:color="000000" w:sz="8" w:space="0"/>
            </w:tcBorders>
            <w:shd w:val="clear" w:color="auto" w:fill="FFFFFF"/>
            <w:tcMar>
              <w:left w:w="108" w:type="dxa"/>
              <w:right w:w="108" w:type="dxa"/>
            </w:tcMar>
            <w:vAlign w:val="center"/>
          </w:tcPr>
          <w:p w14:paraId="73FE7C5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合计　</w:t>
            </w:r>
          </w:p>
        </w:tc>
        <w:tc>
          <w:tcPr>
            <w:tcW w:w="98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9F21587">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1630</w:t>
            </w:r>
          </w:p>
        </w:tc>
        <w:tc>
          <w:tcPr>
            <w:tcW w:w="126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0A7AFC8">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44</w:t>
            </w:r>
          </w:p>
        </w:tc>
        <w:tc>
          <w:tcPr>
            <w:tcW w:w="1236"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10DB18F">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1288</w:t>
            </w:r>
          </w:p>
        </w:tc>
        <w:tc>
          <w:tcPr>
            <w:tcW w:w="102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9AE680E">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110</w:t>
            </w:r>
          </w:p>
        </w:tc>
        <w:tc>
          <w:tcPr>
            <w:tcW w:w="811"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9572965">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0561C01B">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3EB3F70D">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77</w:t>
            </w:r>
          </w:p>
        </w:tc>
        <w:tc>
          <w:tcPr>
            <w:tcW w:w="1417"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292DB49">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33</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6719DEA0">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95</w:t>
            </w:r>
          </w:p>
        </w:tc>
        <w:tc>
          <w:tcPr>
            <w:tcW w:w="1235"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76FF6681">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93</w:t>
            </w:r>
          </w:p>
        </w:tc>
        <w:tc>
          <w:tcPr>
            <w:tcW w:w="690"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165D60E4">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c>
          <w:tcPr>
            <w:tcW w:w="643" w:type="dxa"/>
            <w:tcBorders>
              <w:top w:val="nil"/>
              <w:left w:val="nil"/>
              <w:bottom w:val="single" w:color="000000" w:sz="8" w:space="0"/>
              <w:right w:val="single" w:color="000000" w:sz="8" w:space="0"/>
            </w:tcBorders>
            <w:shd w:val="clear" w:color="auto" w:fill="FFFFFF"/>
            <w:tcMar>
              <w:left w:w="108" w:type="dxa"/>
              <w:right w:w="108" w:type="dxa"/>
            </w:tcMar>
            <w:vAlign w:val="center"/>
          </w:tcPr>
          <w:p w14:paraId="429080A2">
            <w:pPr>
              <w:keepNext w:val="0"/>
              <w:keepLines w:val="0"/>
              <w:widowControl/>
              <w:suppressLineNumbers w:val="0"/>
              <w:spacing w:before="0" w:beforeAutospacing="0" w:after="0" w:afterAutospacing="0"/>
              <w:ind w:left="0" w:right="0"/>
              <w:jc w:val="center"/>
            </w:pPr>
            <w:r>
              <w:rPr>
                <w:rFonts w:hint="eastAsia" w:ascii="宋体" w:hAnsi="宋体" w:eastAsia="宋体" w:cs="宋体"/>
                <w:b w:val="0"/>
                <w:i w:val="0"/>
                <w:caps w:val="0"/>
                <w:color w:val="000000"/>
                <w:spacing w:val="0"/>
                <w:kern w:val="0"/>
                <w:sz w:val="20"/>
                <w:szCs w:val="20"/>
                <w:lang w:val="en-US" w:eastAsia="zh-CN" w:bidi="ar"/>
              </w:rPr>
              <w:t>0</w:t>
            </w:r>
          </w:p>
        </w:tc>
      </w:tr>
    </w:tbl>
    <w:p w14:paraId="04564415">
      <w:pPr>
        <w:keepNext w:val="0"/>
        <w:keepLines w:val="0"/>
        <w:widowControl/>
        <w:suppressLineNumbers w:val="0"/>
        <w:shd w:val="clear" w:fill="FFFFFF"/>
        <w:spacing w:before="0" w:beforeAutospacing="0" w:after="0" w:afterAutospacing="0"/>
        <w:ind w:left="0" w:right="0" w:firstLine="0"/>
        <w:jc w:val="left"/>
        <w:rPr>
          <w:rFonts w:hint="eastAsia" w:ascii="宋体" w:hAnsi="宋体" w:eastAsia="宋体" w:cs="宋体"/>
          <w:b w:val="0"/>
          <w:i w:val="0"/>
          <w:caps w:val="0"/>
          <w:color w:val="000000"/>
          <w:spacing w:val="0"/>
          <w:sz w:val="21"/>
          <w:szCs w:val="21"/>
        </w:rPr>
      </w:pPr>
      <w:r>
        <w:rPr>
          <w:rFonts w:hint="eastAsia" w:ascii="宋体" w:hAnsi="宋体" w:eastAsia="宋体" w:cs="宋体"/>
          <w:b w:val="0"/>
          <w:i w:val="0"/>
          <w:caps w:val="0"/>
          <w:color w:val="000000"/>
          <w:spacing w:val="0"/>
          <w:kern w:val="0"/>
          <w:sz w:val="21"/>
          <w:szCs w:val="21"/>
          <w:shd w:val="clear" w:fill="FFFFFF"/>
          <w:lang w:val="en-US" w:eastAsia="zh-CN" w:bidi="ar"/>
        </w:rPr>
        <w:t> </w:t>
      </w:r>
    </w:p>
    <w:sectPr>
      <w:pgSz w:w="16838" w:h="11906" w:orient="landscape"/>
      <w:pgMar w:top="1531" w:right="1417" w:bottom="1531" w:left="1417" w:header="851" w:footer="992" w:gutter="0"/>
      <w:pgNumType w:fmt="numberInDash"/>
      <w:cols w:space="0" w:num="1"/>
      <w:rtlGutter w:val="0"/>
      <w:docGrid w:type="linesAndChars" w:linePitch="636"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1D1A44"/>
    <w:rsid w:val="051D1A44"/>
    <w:rsid w:val="13806347"/>
    <w:rsid w:val="5397623B"/>
    <w:rsid w:val="61E32495"/>
    <w:rsid w:val="61E56907"/>
    <w:rsid w:val="7A002AA5"/>
    <w:rsid w:val="F7EF68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1</TotalTime>
  <ScaleCrop>false</ScaleCrop>
  <LinksUpToDate>false</LinksUpToDate>
  <CharactersWithSpaces>0</CharactersWithSpaces>
  <Application>WPS Office_12.8.2.1114_F1E327BC-269C-435d-A152-05C5408002CA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2019-04-22T13:47:00Z</dcterms:created>
  <dc:creator>SK</dc:creator>
  <cp:lastModifiedBy>麦芽糖</cp:lastModifiedBy>
  <dcterms:modified xsi:type="dcterms:W3CDTF">2025-01-20T17:14:14Z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2052-12.8.2.1114</vt:lpwstr>
  </property>
  <property fmtid="{D5CDD505-2E9C-101B-9397-08002B2CF9AE}" pid="3" name="ICV">
    <vt:lpwstr>75DD94145B2F1524E6138E672C264B2B_42</vt:lpwstr>
  </property>
</Properties>
</file>