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4"/>
          <w:szCs w:val="44"/>
        </w:rPr>
      </w:pPr>
      <w:r>
        <w:rPr>
          <w:rFonts w:hint="eastAsia" w:ascii="黑体" w:hAnsi="黑体" w:eastAsia="黑体" w:cs="黑体"/>
          <w:sz w:val="44"/>
          <w:szCs w:val="44"/>
        </w:rPr>
        <w:t>盘锦市城镇绿化管理条例（草案）</w:t>
      </w:r>
    </w:p>
    <w:p>
      <w:pPr>
        <w:spacing w:line="560" w:lineRule="exact"/>
        <w:rPr>
          <w:rFonts w:ascii="宋体" w:cs="宋体"/>
          <w:b/>
          <w:bCs/>
          <w:sz w:val="32"/>
          <w:szCs w:val="32"/>
        </w:rPr>
      </w:pPr>
    </w:p>
    <w:p>
      <w:pPr>
        <w:spacing w:line="560" w:lineRule="exact"/>
        <w:jc w:val="center"/>
        <w:rPr>
          <w:rFonts w:ascii="宋体" w:cs="宋体"/>
          <w:b/>
          <w:bCs/>
          <w:sz w:val="32"/>
          <w:szCs w:val="32"/>
        </w:rPr>
      </w:pPr>
      <w:r>
        <w:rPr>
          <w:rFonts w:hint="eastAsia" w:ascii="宋体" w:cs="宋体"/>
          <w:b/>
          <w:bCs/>
          <w:sz w:val="32"/>
          <w:szCs w:val="32"/>
        </w:rPr>
        <w:t>目</w:t>
      </w:r>
      <w:r>
        <w:rPr>
          <w:rFonts w:hint="eastAsia" w:ascii="宋体" w:cs="宋体"/>
          <w:b/>
          <w:bCs/>
          <w:sz w:val="32"/>
          <w:szCs w:val="32"/>
          <w:lang w:val="en-US" w:eastAsia="zh-CN"/>
        </w:rPr>
        <w:t xml:space="preserve">       </w:t>
      </w:r>
      <w:r>
        <w:rPr>
          <w:rFonts w:hint="eastAsia" w:ascii="宋体" w:cs="宋体"/>
          <w:b/>
          <w:bCs/>
          <w:sz w:val="32"/>
          <w:szCs w:val="32"/>
        </w:rPr>
        <w:t>录</w:t>
      </w:r>
    </w:p>
    <w:p>
      <w:pPr>
        <w:pStyle w:val="2"/>
        <w:numPr>
          <w:ilvl w:val="0"/>
          <w:numId w:val="1"/>
        </w:numPr>
        <w:ind w:firstLine="1600" w:firstLineChars="500"/>
        <w:rPr>
          <w:rFonts w:ascii="宋体" w:cs="宋体"/>
          <w:sz w:val="32"/>
          <w:szCs w:val="32"/>
        </w:rPr>
      </w:pPr>
      <w:r>
        <w:rPr>
          <w:rFonts w:hint="eastAsia" w:ascii="宋体" w:cs="宋体"/>
          <w:sz w:val="32"/>
          <w:szCs w:val="32"/>
        </w:rPr>
        <w:t>总则</w:t>
      </w:r>
    </w:p>
    <w:p>
      <w:pPr>
        <w:pStyle w:val="2"/>
        <w:numPr>
          <w:ilvl w:val="0"/>
          <w:numId w:val="1"/>
        </w:numPr>
        <w:ind w:firstLine="1600" w:firstLineChars="500"/>
        <w:rPr>
          <w:rFonts w:ascii="宋体" w:cs="宋体"/>
          <w:sz w:val="32"/>
          <w:szCs w:val="32"/>
        </w:rPr>
      </w:pPr>
      <w:r>
        <w:rPr>
          <w:rFonts w:hint="eastAsia" w:ascii="宋体" w:cs="宋体"/>
          <w:sz w:val="32"/>
          <w:szCs w:val="32"/>
        </w:rPr>
        <w:t>规划和建设</w:t>
      </w:r>
    </w:p>
    <w:p>
      <w:pPr>
        <w:pStyle w:val="2"/>
        <w:numPr>
          <w:ilvl w:val="0"/>
          <w:numId w:val="1"/>
        </w:numPr>
        <w:ind w:firstLine="1600" w:firstLineChars="500"/>
        <w:rPr>
          <w:rFonts w:ascii="宋体" w:cs="宋体"/>
          <w:sz w:val="32"/>
          <w:szCs w:val="32"/>
        </w:rPr>
      </w:pPr>
      <w:r>
        <w:rPr>
          <w:rFonts w:hint="eastAsia" w:ascii="宋体" w:cs="宋体"/>
          <w:sz w:val="32"/>
          <w:szCs w:val="32"/>
        </w:rPr>
        <w:t>保护和管理</w:t>
      </w:r>
    </w:p>
    <w:p>
      <w:pPr>
        <w:pStyle w:val="2"/>
        <w:numPr>
          <w:ilvl w:val="0"/>
          <w:numId w:val="1"/>
        </w:numPr>
        <w:ind w:firstLine="1600" w:firstLineChars="500"/>
        <w:rPr>
          <w:rFonts w:ascii="宋体" w:cs="宋体"/>
          <w:sz w:val="32"/>
          <w:szCs w:val="32"/>
        </w:rPr>
      </w:pPr>
      <w:r>
        <w:rPr>
          <w:rFonts w:hint="eastAsia" w:ascii="宋体" w:cs="宋体"/>
          <w:sz w:val="32"/>
          <w:szCs w:val="32"/>
        </w:rPr>
        <w:t>法律责任</w:t>
      </w:r>
    </w:p>
    <w:p>
      <w:pPr>
        <w:pStyle w:val="2"/>
        <w:numPr>
          <w:ilvl w:val="0"/>
          <w:numId w:val="1"/>
        </w:numPr>
        <w:ind w:firstLine="1600" w:firstLineChars="500"/>
        <w:rPr>
          <w:rFonts w:ascii="宋体" w:cs="宋体"/>
          <w:sz w:val="32"/>
          <w:szCs w:val="32"/>
        </w:rPr>
      </w:pPr>
      <w:r>
        <w:rPr>
          <w:rFonts w:hint="eastAsia" w:ascii="宋体" w:cs="宋体"/>
          <w:sz w:val="32"/>
          <w:szCs w:val="32"/>
        </w:rPr>
        <w:t>附则</w:t>
      </w:r>
    </w:p>
    <w:p>
      <w:pPr>
        <w:spacing w:line="560" w:lineRule="exact"/>
        <w:ind w:firstLine="643" w:firstLineChars="200"/>
        <w:rPr>
          <w:rFonts w:ascii="仿宋" w:hAnsi="仿宋" w:eastAsia="仿宋" w:cs="仿宋"/>
          <w:b/>
          <w:bCs/>
          <w:sz w:val="32"/>
          <w:szCs w:val="32"/>
        </w:rPr>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第一章</w:t>
      </w:r>
      <w:r>
        <w:rPr>
          <w:rFonts w:hint="eastAsia" w:ascii="仿宋" w:hAnsi="仿宋" w:eastAsia="仿宋" w:cs="仿宋"/>
          <w:b/>
          <w:bCs/>
          <w:sz w:val="32"/>
          <w:szCs w:val="32"/>
          <w:lang w:val="en-US" w:eastAsia="zh-CN"/>
        </w:rPr>
        <w:t xml:space="preserve">  </w:t>
      </w:r>
      <w:r>
        <w:rPr>
          <w:rFonts w:ascii="仿宋" w:hAnsi="仿宋" w:eastAsia="仿宋" w:cs="仿宋"/>
          <w:b/>
          <w:bCs/>
          <w:sz w:val="32"/>
          <w:szCs w:val="32"/>
        </w:rPr>
        <w:t xml:space="preserve"> </w:t>
      </w:r>
      <w:r>
        <w:rPr>
          <w:rFonts w:hint="eastAsia" w:ascii="仿宋" w:hAnsi="仿宋" w:eastAsia="仿宋" w:cs="仿宋"/>
          <w:b/>
          <w:bCs/>
          <w:sz w:val="32"/>
          <w:szCs w:val="32"/>
        </w:rPr>
        <w:t>总则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ascii="仿宋" w:hAnsi="仿宋" w:eastAsia="仿宋" w:cs="仿宋"/>
          <w:b/>
          <w:bCs/>
          <w:sz w:val="32"/>
          <w:szCs w:val="32"/>
        </w:rPr>
        <w:t xml:space="preserve">  </w:t>
      </w:r>
      <w:r>
        <w:rPr>
          <w:rFonts w:hint="eastAsia" w:ascii="仿宋" w:hAnsi="仿宋" w:eastAsia="仿宋" w:cs="仿宋"/>
          <w:sz w:val="32"/>
          <w:szCs w:val="32"/>
        </w:rPr>
        <w:t>为了促进城镇绿化事业的发展，保护和改善生态环境，建设宜居城镇，根据国务院《城市绿化条例》和《辽宁省城镇绿化条例》等有关法律、法规，结合本市实际，制定本条例。</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b/>
          <w:bCs/>
          <w:sz w:val="32"/>
          <w:szCs w:val="32"/>
        </w:rPr>
        <w:t xml:space="preserve">  </w:t>
      </w:r>
      <w:r>
        <w:rPr>
          <w:rFonts w:hint="eastAsia" w:ascii="仿宋" w:hAnsi="仿宋" w:eastAsia="仿宋" w:cs="仿宋"/>
          <w:sz w:val="32"/>
          <w:szCs w:val="32"/>
        </w:rPr>
        <w:t>本条例适用于本市城镇规划区内城镇绿化的规划、建设、保护和管理。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ascii="仿宋" w:hAnsi="仿宋" w:eastAsia="仿宋" w:cs="仿宋"/>
          <w:b/>
          <w:bCs/>
          <w:sz w:val="32"/>
          <w:szCs w:val="32"/>
        </w:rPr>
        <w:t xml:space="preserve">  </w:t>
      </w:r>
      <w:r>
        <w:rPr>
          <w:rFonts w:hint="eastAsia" w:ascii="仿宋" w:hAnsi="仿宋" w:eastAsia="仿宋" w:cs="仿宋"/>
          <w:sz w:val="32"/>
          <w:szCs w:val="32"/>
        </w:rPr>
        <w:t>市、县（区）住房和城乡建设行政主管部门负责本辖区内的城镇绿化工作。其他相关部门根据各自职责，做好城镇相关绿化工作。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街道办事处（镇人民政府）在其职责范围内负责本辖区的城镇绿化工作。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ascii="仿宋" w:hAnsi="仿宋" w:eastAsia="仿宋" w:cs="仿宋"/>
          <w:b/>
          <w:bCs/>
          <w:sz w:val="32"/>
          <w:szCs w:val="32"/>
        </w:rPr>
        <w:t xml:space="preserve">  </w:t>
      </w:r>
      <w:r>
        <w:rPr>
          <w:rFonts w:hint="eastAsia" w:ascii="仿宋" w:hAnsi="仿宋" w:eastAsia="仿宋" w:cs="仿宋"/>
          <w:sz w:val="32"/>
          <w:szCs w:val="32"/>
        </w:rPr>
        <w:t>城镇绿化应当坚持政府主导、特色引领、生态优先、科学建绿的原则，充分利用本地自然和人文条件，合理配置植物类型，提高自然生态效应和景观效果。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ascii="仿宋" w:hAnsi="仿宋" w:eastAsia="仿宋" w:cs="仿宋"/>
          <w:b/>
          <w:bCs/>
          <w:sz w:val="32"/>
          <w:szCs w:val="32"/>
        </w:rPr>
        <w:t xml:space="preserve">  </w:t>
      </w:r>
      <w:r>
        <w:rPr>
          <w:rFonts w:hint="eastAsia" w:ascii="仿宋" w:hAnsi="仿宋" w:eastAsia="仿宋" w:cs="仿宋"/>
          <w:sz w:val="32"/>
          <w:szCs w:val="32"/>
        </w:rPr>
        <w:t>机关、团体、企事业单位及其他单位应当组织本单位适龄公民参加义务植树活动。鼓励个人参加义务植树活动。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各级人民政府、各单位应当做好义务植树的年度计划，每年安排一定资金用于开展义务植树活动。</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第六条</w:t>
      </w:r>
      <w:r>
        <w:rPr>
          <w:rFonts w:ascii="仿宋" w:hAnsi="仿宋" w:eastAsia="仿宋" w:cs="仿宋"/>
          <w:b/>
          <w:bCs/>
          <w:sz w:val="32"/>
          <w:szCs w:val="32"/>
        </w:rPr>
        <w:t xml:space="preserve">  </w:t>
      </w:r>
      <w:r>
        <w:rPr>
          <w:rFonts w:hint="eastAsia" w:ascii="仿宋" w:hAnsi="仿宋" w:eastAsia="仿宋" w:cs="仿宋"/>
          <w:sz w:val="32"/>
          <w:szCs w:val="32"/>
        </w:rPr>
        <w:t>任何单位和个人都有权制止、投诉和举报损害绿化的行为。</w:t>
      </w:r>
    </w:p>
    <w:p>
      <w:pPr>
        <w:pStyle w:val="2"/>
        <w:ind w:firstLine="31680"/>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第二章</w:t>
      </w:r>
      <w:r>
        <w:rPr>
          <w:rFonts w:ascii="仿宋" w:hAnsi="仿宋" w:eastAsia="仿宋" w:cs="仿宋"/>
          <w:b/>
          <w:bCs/>
          <w:sz w:val="32"/>
          <w:szCs w:val="32"/>
        </w:rPr>
        <w:t xml:space="preserve">   </w:t>
      </w:r>
      <w:r>
        <w:rPr>
          <w:rFonts w:hint="eastAsia" w:ascii="仿宋" w:hAnsi="仿宋" w:eastAsia="仿宋" w:cs="仿宋"/>
          <w:b/>
          <w:bCs/>
          <w:sz w:val="32"/>
          <w:szCs w:val="32"/>
        </w:rPr>
        <w:t>规划和建设</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ascii="仿宋" w:hAnsi="仿宋" w:eastAsia="仿宋" w:cs="仿宋"/>
          <w:b/>
          <w:bCs/>
          <w:sz w:val="32"/>
          <w:szCs w:val="32"/>
        </w:rPr>
        <w:t xml:space="preserve">  </w:t>
      </w:r>
      <w:r>
        <w:rPr>
          <w:rFonts w:hint="eastAsia" w:ascii="仿宋" w:hAnsi="仿宋" w:eastAsia="仿宋" w:cs="仿宋"/>
          <w:sz w:val="32"/>
          <w:szCs w:val="32"/>
        </w:rPr>
        <w:t>建设项目应当按照规划安排附属绿化用地。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建设项目附属绿化用地面积占建设项目用地面积比例不得低于辽宁省规定的标准，其中新建居住区、居住小区不得低于百分之三十五</w:t>
      </w:r>
      <w:r>
        <w:rPr>
          <w:rFonts w:ascii="仿宋" w:hAnsi="仿宋" w:eastAsia="仿宋" w:cs="仿宋"/>
          <w:sz w:val="32"/>
          <w:szCs w:val="32"/>
        </w:rPr>
        <w:t xml:space="preserve">, </w:t>
      </w:r>
      <w:r>
        <w:rPr>
          <w:rFonts w:hint="eastAsia" w:ascii="仿宋" w:hAnsi="仿宋" w:eastAsia="仿宋" w:cs="仿宋"/>
          <w:sz w:val="32"/>
          <w:szCs w:val="32"/>
        </w:rPr>
        <w:t>改造的老旧小区绿地占比可以适当降低，但降幅不得超过五个百分点。</w:t>
      </w:r>
    </w:p>
    <w:p>
      <w:pPr>
        <w:pStyle w:val="2"/>
        <w:ind w:firstLine="31680"/>
      </w:pPr>
      <w:r>
        <w:rPr>
          <w:rFonts w:hint="eastAsia" w:ascii="仿宋" w:hAnsi="仿宋" w:eastAsia="仿宋" w:cs="仿宋"/>
          <w:sz w:val="32"/>
          <w:szCs w:val="32"/>
        </w:rPr>
        <w:t>自然资源部门应当对建设项目设计方案中的配套绿化用地进行审查，配套绿化用地面积未达到本条例规定标准的，不予核发建设工程规划许可证。自然资源部门在规划验收时，建设工程项目的配套绿化用地面积不符合建设工程规划许可证要求的，不予通过规划验收</w:t>
      </w:r>
      <w:r>
        <w:rPr>
          <w:rFonts w:hint="eastAsia" w:ascii="仿宋" w:hAnsi="Times New Roman" w:eastAsia="仿宋" w:cs="仿宋"/>
          <w:b/>
          <w:bCs/>
          <w:kern w:val="0"/>
          <w:sz w:val="32"/>
          <w:szCs w:val="32"/>
          <w:lang w:val="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建设单位报送的建设工程设计方案应当包括附属绿化用地平面图并标明绿化用地的面积和位置。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公共绿地和单位绿地、居住区绿地的建设，应当以植物造景为主。</w:t>
      </w:r>
    </w:p>
    <w:p>
      <w:pPr>
        <w:pStyle w:val="4"/>
        <w:shd w:val="clear" w:color="auto" w:fill="FFFFFF"/>
        <w:spacing w:beforeAutospacing="0" w:after="225" w:afterAutospacing="0" w:line="360" w:lineRule="atLeast"/>
        <w:ind w:firstLine="1054" w:firstLineChars="328"/>
        <w:rPr>
          <w:rFonts w:ascii="仿宋" w:hAnsi="仿宋" w:eastAsia="仿宋" w:cs="仿宋"/>
          <w:sz w:val="32"/>
          <w:szCs w:val="32"/>
        </w:rPr>
      </w:pPr>
      <w:r>
        <w:rPr>
          <w:rFonts w:hint="eastAsia" w:ascii="仿宋" w:hAnsi="仿宋" w:eastAsia="仿宋" w:cs="仿宋"/>
          <w:b/>
          <w:bCs/>
          <w:kern w:val="2"/>
          <w:sz w:val="32"/>
          <w:szCs w:val="32"/>
        </w:rPr>
        <w:t>第八条</w:t>
      </w:r>
      <w:r>
        <w:rPr>
          <w:rFonts w:ascii="仿宋" w:hAnsi="仿宋" w:eastAsia="仿宋" w:cs="仿宋"/>
          <w:b/>
          <w:bCs/>
          <w:kern w:val="2"/>
          <w:sz w:val="32"/>
          <w:szCs w:val="32"/>
        </w:rPr>
        <w:t xml:space="preserve">  </w:t>
      </w:r>
      <w:r>
        <w:rPr>
          <w:rFonts w:hint="eastAsia" w:ascii="仿宋" w:hAnsi="仿宋" w:eastAsia="仿宋" w:cs="仿宋"/>
          <w:sz w:val="32"/>
          <w:szCs w:val="32"/>
        </w:rPr>
        <w:t>建设项目附属绿化工程应当与主体工程同步规划、同步设计，建设单位向市、县（区）</w:t>
      </w:r>
      <w:r>
        <w:rPr>
          <w:rFonts w:hint="eastAsia" w:ascii="仿宋" w:hAnsi="仿宋" w:eastAsia="仿宋" w:cs="仿宋"/>
          <w:sz w:val="32"/>
          <w:szCs w:val="32"/>
          <w:shd w:val="clear" w:color="auto" w:fill="FFFFFF"/>
        </w:rPr>
        <w:t>自然资源部门</w:t>
      </w:r>
      <w:r>
        <w:rPr>
          <w:rFonts w:hint="eastAsia" w:ascii="仿宋" w:hAnsi="仿宋" w:eastAsia="仿宋" w:cs="仿宋"/>
          <w:sz w:val="32"/>
          <w:szCs w:val="32"/>
        </w:rPr>
        <w:t>报送建设工程设计方案时，应当同时报送附属绿化工程设计方案。</w:t>
      </w:r>
    </w:p>
    <w:p>
      <w:pPr>
        <w:ind w:firstLine="800" w:firstLineChars="250"/>
        <w:rPr>
          <w:rFonts w:ascii="仿宋" w:hAnsi="仿宋" w:eastAsia="仿宋" w:cs="仿宋"/>
          <w:sz w:val="32"/>
          <w:szCs w:val="32"/>
        </w:rPr>
      </w:pPr>
      <w:r>
        <w:rPr>
          <w:rFonts w:hint="eastAsia" w:ascii="仿宋" w:hAnsi="仿宋" w:eastAsia="仿宋" w:cs="仿宋"/>
          <w:sz w:val="32"/>
          <w:szCs w:val="32"/>
        </w:rPr>
        <w:t>建设项目附属绿化工程设计方案按照基本建设程序审批时，市、县（区）自然资源部门应当就附属绿化工程设计方案征求市、县（区）住房和城乡建设行政主管部门的意见，住房和城乡建设行政主管部门应当在五个工作日内予以反馈。设计方案未经审查或者审查不合格的，自然资源部门不得核发建设工程规划许可证。</w:t>
      </w:r>
    </w:p>
    <w:p>
      <w:pPr>
        <w:ind w:firstLine="313" w:firstLineChars="98"/>
        <w:rPr>
          <w:rFonts w:ascii="仿宋" w:hAnsi="仿宋" w:eastAsia="仿宋" w:cs="仿宋"/>
          <w:sz w:val="32"/>
          <w:szCs w:val="32"/>
        </w:rPr>
      </w:pPr>
      <w:r>
        <w:rPr>
          <w:rFonts w:hint="eastAsia" w:ascii="仿宋" w:hAnsi="仿宋" w:eastAsia="仿宋" w:cs="仿宋"/>
          <w:sz w:val="32"/>
          <w:szCs w:val="32"/>
        </w:rPr>
        <w:t>　建设项目附属绿化工程应当按照批准的设计方案进行建设。确需改变设计方案的，应当按照原审批程序报批。</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ascii="仿宋" w:hAnsi="仿宋" w:eastAsia="仿宋" w:cs="仿宋"/>
          <w:b/>
          <w:bCs/>
          <w:sz w:val="32"/>
          <w:szCs w:val="32"/>
        </w:rPr>
        <w:t xml:space="preserve">  </w:t>
      </w:r>
      <w:r>
        <w:rPr>
          <w:rFonts w:hint="eastAsia" w:ascii="仿宋" w:hAnsi="仿宋" w:eastAsia="仿宋" w:cs="仿宋"/>
          <w:sz w:val="32"/>
          <w:szCs w:val="32"/>
        </w:rPr>
        <w:t>城镇绿化工程以及建设工程项目附属绿化工程设计方案，按照基本建设程序审批时，必须有住房和城乡建设行政主管部门参加审查，对以下内容提出意见：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（一）绿地面积是否符合规定标准；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（二）绿地布局是否合理；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（三）植物的种类、配置是否适当；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（四）绿化设计是否符合园林景观要求；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（五）绿地内道路、给排水、防火以及其他设施的设计是否符合有关园林设计规范。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建设项目附属绿化工程设计方案应当通过网站向社会公开。</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ascii="仿宋" w:hAnsi="仿宋" w:eastAsia="仿宋" w:cs="仿宋"/>
          <w:b/>
          <w:bCs/>
          <w:sz w:val="32"/>
          <w:szCs w:val="32"/>
        </w:rPr>
        <w:t xml:space="preserve">  </w:t>
      </w:r>
      <w:r>
        <w:rPr>
          <w:rFonts w:hint="eastAsia" w:ascii="仿宋" w:hAnsi="仿宋" w:eastAsia="仿宋" w:cs="仿宋"/>
          <w:sz w:val="32"/>
          <w:szCs w:val="32"/>
        </w:rPr>
        <w:t>使用国有资金或者国家融资资金的城镇绿化工程以及建设工程项目附属绿化工程开工前，建设单位应当向住房和城乡建设行政主管部门办理绿化工程质量监督手续。</w:t>
      </w:r>
    </w:p>
    <w:p>
      <w:pPr>
        <w:ind w:firstLine="640" w:firstLineChars="200"/>
        <w:rPr>
          <w:rFonts w:ascii="仿宋" w:hAnsi="仿宋" w:eastAsia="仿宋" w:cs="仿宋"/>
          <w:sz w:val="32"/>
          <w:szCs w:val="32"/>
        </w:rPr>
      </w:pPr>
      <w:r>
        <w:rPr>
          <w:rFonts w:hint="eastAsia" w:ascii="仿宋" w:hAnsi="仿宋" w:eastAsia="仿宋" w:cs="仿宋"/>
          <w:sz w:val="32"/>
          <w:szCs w:val="32"/>
        </w:rPr>
        <w:t>市、县（区）住房和城乡建设行政主管部门应当加强对本行政区内园林绿化工程的质量监督管理，重点对以下内容进行监管：</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苗木、种植土、置石等园林工程材料的质量情况；</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亭、台、廊、榭等园林构筑物主体结构安全和工程质量情况；</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地形整理、假山建造、树穴开挖、苗木吊装、高空修剪等施工关键环节质量安全管理情况。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ascii="仿宋" w:hAnsi="仿宋" w:eastAsia="仿宋" w:cs="仿宋"/>
          <w:b/>
          <w:bCs/>
          <w:sz w:val="32"/>
          <w:szCs w:val="32"/>
        </w:rPr>
        <w:t xml:space="preserve">  </w:t>
      </w:r>
      <w:r>
        <w:rPr>
          <w:rFonts w:hint="eastAsia" w:ascii="仿宋" w:hAnsi="仿宋" w:eastAsia="仿宋" w:cs="仿宋"/>
          <w:sz w:val="32"/>
          <w:szCs w:val="32"/>
        </w:rPr>
        <w:t>建设单位应当遵守下列规定</w:t>
      </w:r>
    </w:p>
    <w:p>
      <w:pPr>
        <w:numPr>
          <w:ilvl w:val="0"/>
          <w:numId w:val="3"/>
        </w:num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建设单位应当组织绿化工程的设计、施工、工程监理等有关单位对绿化工程是否符合设计方案进行验收，</w:t>
      </w:r>
      <w:r>
        <w:rPr>
          <w:rFonts w:hint="eastAsia" w:ascii="仿宋" w:hAnsi="仿宋" w:eastAsia="仿宋" w:cs="仿宋"/>
          <w:color w:val="FF0000"/>
          <w:sz w:val="32"/>
          <w:szCs w:val="32"/>
        </w:rPr>
        <w:t>并</w:t>
      </w:r>
      <w:r>
        <w:rPr>
          <w:rFonts w:hint="eastAsia" w:ascii="仿宋" w:hAnsi="仿宋" w:eastAsia="仿宋" w:cs="仿宋"/>
          <w:sz w:val="32"/>
          <w:szCs w:val="32"/>
        </w:rPr>
        <w:t>将验收结果载于建设工程竣工验收报告</w:t>
      </w:r>
      <w:r>
        <w:rPr>
          <w:rFonts w:hint="eastAsia" w:ascii="仿宋" w:hAnsi="仿宋" w:eastAsia="仿宋" w:cs="仿宋"/>
          <w:color w:val="FF0000"/>
          <w:sz w:val="32"/>
          <w:szCs w:val="32"/>
        </w:rPr>
        <w:t>；</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自绿化工程竣工验收合格之日起十五日内，将相关资料报送住房和城乡建设行政主管部门备案；</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自住房和城乡建设行政主管部门备案通过之日起十五日内，在建设项目所在地显著位置设置绿地平面图，并标明绿地面积；</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按照有关规定将绿化工程建设档案移交城建档案管理机构。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第十二条</w:t>
      </w:r>
      <w:r>
        <w:rPr>
          <w:rFonts w:ascii="仿宋" w:hAnsi="仿宋" w:eastAsia="仿宋" w:cs="仿宋"/>
          <w:b/>
          <w:bCs/>
          <w:sz w:val="32"/>
          <w:szCs w:val="32"/>
        </w:rPr>
        <w:t xml:space="preserve">  </w:t>
      </w:r>
      <w:r>
        <w:rPr>
          <w:rFonts w:hint="eastAsia" w:ascii="仿宋" w:hAnsi="仿宋" w:eastAsia="仿宋" w:cs="仿宋"/>
          <w:sz w:val="32"/>
          <w:szCs w:val="32"/>
        </w:rPr>
        <w:t>自然资源行政主管部门确定为闲置土地的，土地使用人应当进行临时绿化，满足覆盖裸露土地、防治扬尘污染的要求，所需费用由土地使用权人承担。</w:t>
      </w:r>
    </w:p>
    <w:p>
      <w:pPr>
        <w:pStyle w:val="2"/>
        <w:ind w:firstLine="31680"/>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保护和管理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ascii="仿宋" w:hAnsi="仿宋" w:eastAsia="仿宋" w:cs="仿宋"/>
          <w:b/>
          <w:bCs/>
          <w:sz w:val="32"/>
          <w:szCs w:val="32"/>
        </w:rPr>
        <w:t xml:space="preserve">  </w:t>
      </w:r>
      <w:r>
        <w:rPr>
          <w:rFonts w:hint="eastAsia" w:ascii="仿宋" w:hAnsi="仿宋" w:eastAsia="仿宋" w:cs="仿宋"/>
          <w:sz w:val="32"/>
          <w:szCs w:val="32"/>
        </w:rPr>
        <w:t>管护单位应当按照绿地、树木养护规范对绿地、树木进行管护并做好防火工作。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ascii="仿宋" w:hAnsi="仿宋" w:eastAsia="仿宋" w:cs="仿宋"/>
          <w:b/>
          <w:bCs/>
          <w:sz w:val="32"/>
          <w:szCs w:val="32"/>
        </w:rPr>
        <w:t xml:space="preserve">  </w:t>
      </w:r>
      <w:r>
        <w:rPr>
          <w:rFonts w:hint="eastAsia" w:ascii="仿宋" w:hAnsi="仿宋" w:eastAsia="仿宋" w:cs="仿宋"/>
          <w:sz w:val="32"/>
          <w:szCs w:val="32"/>
        </w:rPr>
        <w:t>任何单位不得擅自占用公共绿地，因特殊原因确需临时占用绿地的，应当经住房和城乡建设行政主管部门同意，并依法办理临时用地审批手续。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临时占用绿地期限一般不得超过一年；确需延长的，应当办理延期手续，占用期限总时长不得超过两年。临时占用绿地期满后，占用人应当按照规定及时归还并恢复原状。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临时占用公共绿地的，按照有关规定缴纳补偿费。</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b/>
          <w:bCs/>
          <w:sz w:val="32"/>
          <w:szCs w:val="32"/>
        </w:rPr>
        <w:t xml:space="preserve">  </w:t>
      </w:r>
      <w:r>
        <w:rPr>
          <w:rFonts w:hint="eastAsia" w:ascii="仿宋" w:hAnsi="仿宋" w:eastAsia="仿宋" w:cs="仿宋"/>
          <w:sz w:val="32"/>
          <w:szCs w:val="32"/>
        </w:rPr>
        <w:t>禁止任何单位和个人擅自移植、砍伐树木。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因抢险救灾和处理突发事件等紧急情况需要，可以对树木进行修剪或者砍伐。组织紧急情况处理的单位应当在处理结束之日起四十八小时内，将有关处理情况报告所在县（区）住房和城乡建设行政主管部门。</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sz w:val="32"/>
          <w:szCs w:val="32"/>
        </w:rPr>
        <w:t>第十六条</w:t>
      </w:r>
      <w:r>
        <w:rPr>
          <w:rFonts w:ascii="仿宋" w:hAnsi="仿宋" w:eastAsia="仿宋" w:cs="仿宋"/>
          <w:b/>
          <w:bCs/>
          <w:sz w:val="32"/>
          <w:szCs w:val="32"/>
        </w:rPr>
        <w:t xml:space="preserve">  </w:t>
      </w:r>
      <w:r>
        <w:rPr>
          <w:rFonts w:hint="eastAsia" w:ascii="仿宋" w:hAnsi="仿宋" w:eastAsia="仿宋" w:cs="仿宋"/>
          <w:sz w:val="32"/>
          <w:szCs w:val="32"/>
        </w:rPr>
        <w:t>市、县（区）住房和城乡建设行政主管部门应当建立园林绿化保护管理信息平台，对绿地种类、分布、权属、养护以及古树名木等情况进行定期普查，建立园林绿化</w:t>
      </w:r>
      <w:r>
        <w:rPr>
          <w:rFonts w:hint="eastAsia" w:ascii="仿宋" w:hAnsi="仿宋" w:eastAsia="仿宋" w:cs="仿宋"/>
          <w:color w:val="auto"/>
          <w:sz w:val="32"/>
          <w:szCs w:val="32"/>
        </w:rPr>
        <w:t>档案并及时更新，实现信息资源共享。</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对于经竣工验收的公共绿地上的树木，市、县（区）住房和城乡建设</w:t>
      </w:r>
      <w:r>
        <w:rPr>
          <w:rFonts w:hint="eastAsia" w:ascii="仿宋" w:hAnsi="仿宋" w:eastAsia="仿宋" w:cs="仿宋"/>
          <w:sz w:val="32"/>
          <w:szCs w:val="32"/>
        </w:rPr>
        <w:t>行政主管部门应当逐步建立电子档案，纳入数字平台实施动态管控。</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ascii="仿宋" w:hAnsi="仿宋" w:eastAsia="仿宋" w:cs="仿宋"/>
          <w:b/>
          <w:bCs/>
          <w:sz w:val="32"/>
          <w:szCs w:val="32"/>
        </w:rPr>
        <w:t xml:space="preserve">  </w:t>
      </w:r>
      <w:r>
        <w:rPr>
          <w:rFonts w:hint="eastAsia" w:ascii="仿宋" w:hAnsi="仿宋" w:eastAsia="仿宋" w:cs="仿宋"/>
          <w:sz w:val="32"/>
          <w:szCs w:val="32"/>
        </w:rPr>
        <w:t>住房和城乡建设行政主管部门应当建立园林绿化建设、设计、施工、监理、养护等单位和从业人员的信用评价和违法失信名单制度。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住房和城乡建设行政主管部门应当按照规定及时将违法失信情况通知相关审批部门、监管部门；依法应当予以行政处罚的，应当依法从重处罚并按照规定采取准入限制、资格限定等信用监管措施。</w:t>
      </w:r>
    </w:p>
    <w:p>
      <w:pPr>
        <w:spacing w:line="560" w:lineRule="exact"/>
        <w:jc w:val="center"/>
        <w:rPr>
          <w:rFonts w:hint="eastAsia" w:ascii="仿宋" w:hAnsi="仿宋" w:eastAsia="仿宋" w:cs="仿宋"/>
          <w:b/>
          <w:bCs/>
          <w:sz w:val="32"/>
          <w:szCs w:val="32"/>
        </w:rPr>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第四章</w:t>
      </w:r>
      <w:r>
        <w:rPr>
          <w:rFonts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法律责任</w:t>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ascii="仿宋" w:hAnsi="仿宋" w:eastAsia="仿宋" w:cs="仿宋"/>
          <w:b/>
          <w:bCs/>
          <w:sz w:val="32"/>
          <w:szCs w:val="32"/>
        </w:rPr>
        <w:t xml:space="preserve">  </w:t>
      </w:r>
      <w:r>
        <w:rPr>
          <w:rFonts w:hint="eastAsia" w:ascii="仿宋" w:hAnsi="仿宋" w:eastAsia="仿宋" w:cs="仿宋"/>
          <w:sz w:val="32"/>
          <w:szCs w:val="32"/>
        </w:rPr>
        <w:t>违反本条例规定的行为，法律法规已有法律责任规定的，从其规定。</w:t>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ascii="仿宋" w:hAnsi="仿宋" w:eastAsia="仿宋" w:cs="仿宋"/>
          <w:b/>
          <w:bCs/>
          <w:sz w:val="32"/>
          <w:szCs w:val="32"/>
        </w:rPr>
        <w:t xml:space="preserve">  </w:t>
      </w:r>
      <w:r>
        <w:rPr>
          <w:rFonts w:hint="eastAsia" w:ascii="仿宋" w:hAnsi="仿宋" w:eastAsia="仿宋" w:cs="仿宋"/>
          <w:sz w:val="32"/>
          <w:szCs w:val="32"/>
        </w:rPr>
        <w:t>违反本条例第七条规定</w:t>
      </w:r>
      <w:r>
        <w:rPr>
          <w:rFonts w:ascii="仿宋" w:hAnsi="仿宋" w:eastAsia="仿宋" w:cs="仿宋"/>
          <w:sz w:val="32"/>
          <w:szCs w:val="32"/>
        </w:rPr>
        <w:t>,</w:t>
      </w:r>
      <w:r>
        <w:rPr>
          <w:rFonts w:hint="eastAsia" w:ascii="仿宋" w:hAnsi="仿宋" w:eastAsia="仿宋" w:cs="仿宋"/>
          <w:sz w:val="32"/>
          <w:szCs w:val="32"/>
        </w:rPr>
        <w:t>由住房和城乡建设行政主管部门责令限期改正；逾期未改正的，由城市管理行政执法部门对建设单位按所缺绿地面积处以所在区域当年基准地价一倍以上两倍以下罚款。</w:t>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ascii="仿宋" w:hAnsi="仿宋" w:eastAsia="仿宋" w:cs="仿宋"/>
          <w:b/>
          <w:bCs/>
          <w:sz w:val="32"/>
          <w:szCs w:val="32"/>
        </w:rPr>
        <w:t xml:space="preserve">  </w:t>
      </w:r>
      <w:r>
        <w:rPr>
          <w:rFonts w:hint="eastAsia" w:ascii="仿宋" w:hAnsi="仿宋" w:eastAsia="仿宋" w:cs="仿宋"/>
          <w:sz w:val="32"/>
          <w:szCs w:val="32"/>
        </w:rPr>
        <w:t>违反本条例第十一条第三项规定的，由住房和城乡建设行政主管部门责令改正，</w:t>
      </w:r>
      <w:r>
        <w:rPr>
          <w:rFonts w:ascii="仿宋" w:hAnsi="仿宋" w:eastAsia="仿宋" w:cs="仿宋"/>
          <w:sz w:val="32"/>
          <w:szCs w:val="32"/>
        </w:rPr>
        <w:t xml:space="preserve"> </w:t>
      </w:r>
      <w:r>
        <w:rPr>
          <w:rFonts w:hint="eastAsia" w:ascii="仿宋" w:hAnsi="仿宋" w:eastAsia="仿宋" w:cs="仿宋"/>
          <w:sz w:val="32"/>
          <w:szCs w:val="32"/>
        </w:rPr>
        <w:t>逾期未整改的，由城市管理行政执法部门对建设单位处二千元以上一万元以下罚款。</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违反本条例第十一条第四项规定的，由住房和城乡建设行政主管部门责令改正；逾期未改正的，由城市管理行政执法部门对建设单位处五百元以上二千元以下罚款。</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ascii="仿宋" w:hAnsi="仿宋" w:eastAsia="仿宋" w:cs="仿宋"/>
          <w:b/>
          <w:bCs/>
          <w:sz w:val="32"/>
          <w:szCs w:val="32"/>
        </w:rPr>
        <w:t xml:space="preserve">  </w:t>
      </w:r>
      <w:r>
        <w:rPr>
          <w:rFonts w:hint="eastAsia" w:ascii="仿宋" w:hAnsi="仿宋" w:eastAsia="仿宋" w:cs="仿宋"/>
          <w:sz w:val="32"/>
          <w:szCs w:val="32"/>
        </w:rPr>
        <w:t>违反本条例第十二条规定，土地使用权人未临时绿化或者临时绿化不符合要求的，由住房和城乡建设行政主管部门责令限期改正；逾期未改正的，由城市管理行政执法部门按照未临时绿化面积处以每平方米五十元以上一百元以下罚款，由住房和城乡建设主管部门组织临时绿化，所需费用由土地使用权人承担。</w:t>
      </w: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第五章</w:t>
      </w:r>
      <w:r>
        <w:rPr>
          <w:rFonts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bookmarkStart w:id="0" w:name="_GoBack"/>
      <w:bookmarkEnd w:id="0"/>
      <w:r>
        <w:rPr>
          <w:rFonts w:hint="eastAsia" w:ascii="仿宋" w:hAnsi="仿宋" w:eastAsia="仿宋" w:cs="仿宋"/>
          <w:b/>
          <w:bCs/>
          <w:sz w:val="32"/>
          <w:szCs w:val="32"/>
        </w:rPr>
        <w:t>附则</w:t>
      </w:r>
    </w:p>
    <w:p>
      <w:pPr>
        <w:ind w:left="420" w:leftChars="200" w:firstLine="321" w:firstLineChars="100"/>
        <w:rPr>
          <w:rFonts w:ascii="微软雅黑" w:eastAsia="微软雅黑"/>
          <w:color w:val="333333"/>
          <w:spacing w:val="8"/>
          <w:shd w:val="clear" w:color="auto" w:fill="FFFFFF"/>
        </w:rPr>
      </w:pPr>
      <w:r>
        <w:rPr>
          <w:rFonts w:hint="eastAsia" w:ascii="仿宋" w:hAnsi="仿宋" w:eastAsia="仿宋" w:cs="仿宋"/>
          <w:b/>
          <w:bCs/>
          <w:sz w:val="32"/>
          <w:szCs w:val="32"/>
        </w:rPr>
        <w:t>第二十二条</w:t>
      </w:r>
      <w:r>
        <w:rPr>
          <w:rFonts w:ascii="仿宋" w:hAnsi="仿宋" w:eastAsia="仿宋" w:cs="仿宋"/>
          <w:b/>
          <w:bCs/>
          <w:sz w:val="32"/>
          <w:szCs w:val="32"/>
        </w:rPr>
        <w:t xml:space="preserve">  </w:t>
      </w:r>
      <w:r>
        <w:rPr>
          <w:rFonts w:hint="eastAsia" w:ascii="仿宋" w:hAnsi="仿宋" w:eastAsia="仿宋" w:cs="仿宋"/>
          <w:sz w:val="32"/>
          <w:szCs w:val="32"/>
        </w:rPr>
        <w:t>本条例自</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日起施行。</w:t>
      </w:r>
    </w:p>
    <w:p>
      <w:pPr>
        <w:rPr>
          <w:rFonts w:ascii="微软雅黑" w:eastAsia="微软雅黑"/>
          <w:color w:val="333333"/>
          <w:spacing w:val="8"/>
          <w:shd w:val="clear" w:color="auto" w:fill="FFFFFF"/>
        </w:rPr>
      </w:pPr>
    </w:p>
    <w:p>
      <w:pPr>
        <w:spacing w:line="560" w:lineRule="exact"/>
        <w:ind w:firstLine="640" w:firstLineChars="200"/>
        <w:rPr>
          <w:rFonts w:ascii="仿宋" w:hAnsi="仿宋" w:eastAsia="仿宋" w:cs="仿宋"/>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7E1DD"/>
    <w:multiLevelType w:val="singleLevel"/>
    <w:tmpl w:val="ABD7E1DD"/>
    <w:lvl w:ilvl="0" w:tentative="0">
      <w:start w:val="1"/>
      <w:numFmt w:val="chineseCounting"/>
      <w:suff w:val="space"/>
      <w:lvlText w:val="第%1章"/>
      <w:lvlJc w:val="left"/>
      <w:rPr>
        <w:rFonts w:hint="eastAsia" w:cs="Times New Roman"/>
      </w:rPr>
    </w:lvl>
  </w:abstractNum>
  <w:abstractNum w:abstractNumId="1">
    <w:nsid w:val="CC3E9B34"/>
    <w:multiLevelType w:val="singleLevel"/>
    <w:tmpl w:val="CC3E9B34"/>
    <w:lvl w:ilvl="0" w:tentative="0">
      <w:start w:val="1"/>
      <w:numFmt w:val="chineseCounting"/>
      <w:suff w:val="nothing"/>
      <w:lvlText w:val="（%1）"/>
      <w:lvlJc w:val="left"/>
      <w:rPr>
        <w:rFonts w:hint="eastAsia" w:cs="Times New Roman"/>
      </w:rPr>
    </w:lvl>
  </w:abstractNum>
  <w:abstractNum w:abstractNumId="2">
    <w:nsid w:val="2D9823CA"/>
    <w:multiLevelType w:val="singleLevel"/>
    <w:tmpl w:val="2D9823CA"/>
    <w:lvl w:ilvl="0" w:tentative="0">
      <w:start w:val="1"/>
      <w:numFmt w:val="chineseCounting"/>
      <w:suff w:val="nothing"/>
      <w:lvlText w:val="（%1）"/>
      <w:lvlJc w:val="left"/>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50355B0"/>
    <w:rsid w:val="000C32AD"/>
    <w:rsid w:val="000D1011"/>
    <w:rsid w:val="000D4264"/>
    <w:rsid w:val="00141985"/>
    <w:rsid w:val="001630AB"/>
    <w:rsid w:val="0017290F"/>
    <w:rsid w:val="001A3F08"/>
    <w:rsid w:val="001A66F3"/>
    <w:rsid w:val="001C4AFD"/>
    <w:rsid w:val="001F6A40"/>
    <w:rsid w:val="0020195F"/>
    <w:rsid w:val="00245D56"/>
    <w:rsid w:val="002724A5"/>
    <w:rsid w:val="00285EC3"/>
    <w:rsid w:val="002A0852"/>
    <w:rsid w:val="002F5EED"/>
    <w:rsid w:val="00333B14"/>
    <w:rsid w:val="003439B1"/>
    <w:rsid w:val="003A62F4"/>
    <w:rsid w:val="003A6E9A"/>
    <w:rsid w:val="003A7D5C"/>
    <w:rsid w:val="003C6028"/>
    <w:rsid w:val="0041152A"/>
    <w:rsid w:val="00440201"/>
    <w:rsid w:val="00450112"/>
    <w:rsid w:val="00474E53"/>
    <w:rsid w:val="00480378"/>
    <w:rsid w:val="00480FED"/>
    <w:rsid w:val="004A0383"/>
    <w:rsid w:val="00533130"/>
    <w:rsid w:val="0054086F"/>
    <w:rsid w:val="00545350"/>
    <w:rsid w:val="005709C5"/>
    <w:rsid w:val="00581CEA"/>
    <w:rsid w:val="00596787"/>
    <w:rsid w:val="005E342B"/>
    <w:rsid w:val="005F134E"/>
    <w:rsid w:val="00632CD1"/>
    <w:rsid w:val="00634328"/>
    <w:rsid w:val="00644413"/>
    <w:rsid w:val="0068125D"/>
    <w:rsid w:val="00684D0C"/>
    <w:rsid w:val="006955A3"/>
    <w:rsid w:val="006B183F"/>
    <w:rsid w:val="007176D3"/>
    <w:rsid w:val="00735E79"/>
    <w:rsid w:val="00751E5A"/>
    <w:rsid w:val="007532F9"/>
    <w:rsid w:val="0079109C"/>
    <w:rsid w:val="007B5E17"/>
    <w:rsid w:val="007C7252"/>
    <w:rsid w:val="00896F28"/>
    <w:rsid w:val="008A3E06"/>
    <w:rsid w:val="00941508"/>
    <w:rsid w:val="00951005"/>
    <w:rsid w:val="009957FA"/>
    <w:rsid w:val="009C38DC"/>
    <w:rsid w:val="00A21CCB"/>
    <w:rsid w:val="00A873D2"/>
    <w:rsid w:val="00A9555F"/>
    <w:rsid w:val="00AB76F8"/>
    <w:rsid w:val="00AE2826"/>
    <w:rsid w:val="00B33876"/>
    <w:rsid w:val="00B44F64"/>
    <w:rsid w:val="00B720C2"/>
    <w:rsid w:val="00B83B0E"/>
    <w:rsid w:val="00B97469"/>
    <w:rsid w:val="00BB2831"/>
    <w:rsid w:val="00BB68F5"/>
    <w:rsid w:val="00BE64A9"/>
    <w:rsid w:val="00C01913"/>
    <w:rsid w:val="00C14362"/>
    <w:rsid w:val="00C22D21"/>
    <w:rsid w:val="00C40F57"/>
    <w:rsid w:val="00C50E00"/>
    <w:rsid w:val="00C93C9E"/>
    <w:rsid w:val="00CA0F0F"/>
    <w:rsid w:val="00CF3EDC"/>
    <w:rsid w:val="00D142F7"/>
    <w:rsid w:val="00D2740D"/>
    <w:rsid w:val="00D317D2"/>
    <w:rsid w:val="00D3396C"/>
    <w:rsid w:val="00D912BE"/>
    <w:rsid w:val="00E16107"/>
    <w:rsid w:val="00E22EFB"/>
    <w:rsid w:val="00E61E1E"/>
    <w:rsid w:val="00E879BC"/>
    <w:rsid w:val="00EA4122"/>
    <w:rsid w:val="00EB6590"/>
    <w:rsid w:val="00F13920"/>
    <w:rsid w:val="00F327C5"/>
    <w:rsid w:val="00F3764A"/>
    <w:rsid w:val="00F96A6C"/>
    <w:rsid w:val="00FA2C31"/>
    <w:rsid w:val="00FC5B25"/>
    <w:rsid w:val="01EE384B"/>
    <w:rsid w:val="024C7019"/>
    <w:rsid w:val="02B04A06"/>
    <w:rsid w:val="034C3E03"/>
    <w:rsid w:val="03CD269D"/>
    <w:rsid w:val="052A2590"/>
    <w:rsid w:val="052F465F"/>
    <w:rsid w:val="05C409E1"/>
    <w:rsid w:val="07B07370"/>
    <w:rsid w:val="083971F0"/>
    <w:rsid w:val="09183D86"/>
    <w:rsid w:val="0950359A"/>
    <w:rsid w:val="0C1D139E"/>
    <w:rsid w:val="0C74291E"/>
    <w:rsid w:val="0D385576"/>
    <w:rsid w:val="0F30758B"/>
    <w:rsid w:val="10143B80"/>
    <w:rsid w:val="12B942A6"/>
    <w:rsid w:val="130C5FAB"/>
    <w:rsid w:val="142427C4"/>
    <w:rsid w:val="154D03A9"/>
    <w:rsid w:val="19F842F2"/>
    <w:rsid w:val="1C291D1C"/>
    <w:rsid w:val="1CAF2E43"/>
    <w:rsid w:val="1DB64B28"/>
    <w:rsid w:val="1E482BF4"/>
    <w:rsid w:val="1E7D5744"/>
    <w:rsid w:val="1FDD1B36"/>
    <w:rsid w:val="20B43B84"/>
    <w:rsid w:val="230C4A99"/>
    <w:rsid w:val="23445511"/>
    <w:rsid w:val="23D61A5B"/>
    <w:rsid w:val="24104407"/>
    <w:rsid w:val="26E14AEA"/>
    <w:rsid w:val="29B46201"/>
    <w:rsid w:val="2AA75CC2"/>
    <w:rsid w:val="2B1D0064"/>
    <w:rsid w:val="2CB339E3"/>
    <w:rsid w:val="2CE610D8"/>
    <w:rsid w:val="2D3F7E8B"/>
    <w:rsid w:val="2D886CBE"/>
    <w:rsid w:val="2D915E4D"/>
    <w:rsid w:val="2EF52B28"/>
    <w:rsid w:val="321918A6"/>
    <w:rsid w:val="336D649A"/>
    <w:rsid w:val="350355B0"/>
    <w:rsid w:val="376017B4"/>
    <w:rsid w:val="38901E39"/>
    <w:rsid w:val="38E57DD3"/>
    <w:rsid w:val="3A2F269A"/>
    <w:rsid w:val="3C0F6074"/>
    <w:rsid w:val="3EC01087"/>
    <w:rsid w:val="3F2F4CEA"/>
    <w:rsid w:val="3FC724E6"/>
    <w:rsid w:val="40D0790B"/>
    <w:rsid w:val="414D30E0"/>
    <w:rsid w:val="417753B2"/>
    <w:rsid w:val="41D5600C"/>
    <w:rsid w:val="44C90AD3"/>
    <w:rsid w:val="44DC2066"/>
    <w:rsid w:val="455F750E"/>
    <w:rsid w:val="479C277C"/>
    <w:rsid w:val="47E85986"/>
    <w:rsid w:val="48736A35"/>
    <w:rsid w:val="49DC06AE"/>
    <w:rsid w:val="4A2B5CEA"/>
    <w:rsid w:val="4A864C02"/>
    <w:rsid w:val="4BD67B31"/>
    <w:rsid w:val="4D9649E3"/>
    <w:rsid w:val="4E144658"/>
    <w:rsid w:val="4E802ABC"/>
    <w:rsid w:val="4F4A7A6A"/>
    <w:rsid w:val="4FEE4F45"/>
    <w:rsid w:val="50A22388"/>
    <w:rsid w:val="50E06B54"/>
    <w:rsid w:val="52D2010B"/>
    <w:rsid w:val="52F5247D"/>
    <w:rsid w:val="53093298"/>
    <w:rsid w:val="539B47FF"/>
    <w:rsid w:val="548C44DF"/>
    <w:rsid w:val="554A5FA3"/>
    <w:rsid w:val="55F216CF"/>
    <w:rsid w:val="585539BB"/>
    <w:rsid w:val="5A851776"/>
    <w:rsid w:val="5A8A2282"/>
    <w:rsid w:val="5BD27239"/>
    <w:rsid w:val="5CDD2239"/>
    <w:rsid w:val="5D3772A8"/>
    <w:rsid w:val="5D675ADF"/>
    <w:rsid w:val="5DEC153E"/>
    <w:rsid w:val="5E132CEA"/>
    <w:rsid w:val="5FC650DB"/>
    <w:rsid w:val="60DF17BB"/>
    <w:rsid w:val="60EF66A9"/>
    <w:rsid w:val="63405254"/>
    <w:rsid w:val="64C06739"/>
    <w:rsid w:val="68DF7A55"/>
    <w:rsid w:val="69867EEA"/>
    <w:rsid w:val="6AC2242D"/>
    <w:rsid w:val="6C0833F5"/>
    <w:rsid w:val="6C6D51F6"/>
    <w:rsid w:val="6CC74BC8"/>
    <w:rsid w:val="6CC8422E"/>
    <w:rsid w:val="6DB41F7D"/>
    <w:rsid w:val="6FE659DA"/>
    <w:rsid w:val="709B7AFA"/>
    <w:rsid w:val="714D1EAA"/>
    <w:rsid w:val="71B45B31"/>
    <w:rsid w:val="73B26169"/>
    <w:rsid w:val="73CE58C5"/>
    <w:rsid w:val="74E06B81"/>
    <w:rsid w:val="750A1EAD"/>
    <w:rsid w:val="751234E7"/>
    <w:rsid w:val="7513549A"/>
    <w:rsid w:val="75232767"/>
    <w:rsid w:val="77E92820"/>
    <w:rsid w:val="785734C4"/>
    <w:rsid w:val="786C79AB"/>
    <w:rsid w:val="788D56B8"/>
    <w:rsid w:val="791B3EF4"/>
    <w:rsid w:val="79410A7C"/>
    <w:rsid w:val="7C89510D"/>
    <w:rsid w:val="7CEA5A90"/>
    <w:rsid w:val="7D7404FF"/>
    <w:rsid w:val="7DA17F20"/>
    <w:rsid w:val="7DF77381"/>
    <w:rsid w:val="7E7215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99"/>
    <w:pPr>
      <w:ind w:firstLine="420" w:firstLineChars="2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Normal (Web)"/>
    <w:basedOn w:val="1"/>
    <w:semiHidden/>
    <w:qFormat/>
    <w:uiPriority w:val="99"/>
    <w:pPr>
      <w:spacing w:beforeAutospacing="1" w:afterAutospacing="1"/>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Footer Char"/>
    <w:basedOn w:val="7"/>
    <w:link w:val="3"/>
    <w:semiHidden/>
    <w:qFormat/>
    <w:locked/>
    <w:uiPriority w:val="99"/>
    <w:rPr>
      <w:rFonts w:cs="Times New Roman"/>
      <w:sz w:val="18"/>
      <w:szCs w:val="18"/>
    </w:rPr>
  </w:style>
  <w:style w:type="table" w:customStyle="1" w:styleId="10">
    <w:name w:val="Table Normal1"/>
    <w:qFormat/>
    <w:uiPriority w:val="99"/>
    <w:rPr>
      <w:kern w:val="0"/>
      <w:sz w:val="20"/>
      <w:szCs w:val="20"/>
    </w:rPr>
    <w:tblPr>
      <w:tblCellMar>
        <w:top w:w="0" w:type="dxa"/>
        <w:left w:w="0" w:type="dxa"/>
        <w:bottom w:w="0" w:type="dxa"/>
        <w:right w:w="0" w:type="dxa"/>
      </w:tblCellMar>
    </w:tblPr>
  </w:style>
  <w:style w:type="paragraph" w:customStyle="1" w:styleId="11">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432</Words>
  <Characters>2463</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2020-05-04T03:31:00Z</dcterms:created>
  <dc:creator>Administrator</dc:creator>
  <cp:lastModifiedBy>小于儿16604279661</cp:lastModifiedBy>
  <cp:lastPrinted>2020-05-04T03:07:00Z</cp:lastPrinted>
  <dcterms:modified xsi:type="dcterms:W3CDTF">2020-05-07T07:09:18Z</dcterms:modified>
  <dc:title>盘锦市城镇绿化管理条例（草案）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