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Theme="majorHAnsi" w:hAnsiTheme="majorHAnsi" w:eastAsiaTheme="majorEastAsia" w:cstheme="majorBidi"/>
          <w:caps/>
          <w:color w:val="000000"/>
          <w:sz w:val="24"/>
          <w:szCs w:val="24"/>
          <w:u w:color="000000"/>
        </w:rPr>
        <w:id w:val="-1953044108"/>
      </w:sdtPr>
      <w:sdtEndPr>
        <w:rPr>
          <w:rFonts w:hint="eastAsia" w:ascii="Arial Unicode MS" w:hAnsi="Arial Unicode MS" w:eastAsia="Times New Roman" w:cs="Arial Unicode MS"/>
          <w:caps w:val="0"/>
          <w:color w:val="000000"/>
          <w:sz w:val="24"/>
          <w:szCs w:val="24"/>
          <w:u w:color="000000"/>
        </w:rPr>
      </w:sdtEndPr>
      <w:sdtContent>
        <w:tbl>
          <w:tblPr>
            <w:tblStyle w:val="10"/>
            <w:tblW w:w="16488" w:type="dxa"/>
            <w:jc w:val="center"/>
            <w:tblLayout w:type="fixed"/>
            <w:tblCellMar>
              <w:top w:w="0" w:type="dxa"/>
              <w:left w:w="108" w:type="dxa"/>
              <w:bottom w:w="0" w:type="dxa"/>
              <w:right w:w="108" w:type="dxa"/>
            </w:tblCellMar>
          </w:tblPr>
          <w:tblGrid>
            <w:gridCol w:w="16488"/>
          </w:tblGrid>
          <w:tr>
            <w:tblPrEx>
              <w:tblCellMar>
                <w:top w:w="0" w:type="dxa"/>
                <w:left w:w="108" w:type="dxa"/>
                <w:bottom w:w="0" w:type="dxa"/>
                <w:right w:w="108" w:type="dxa"/>
              </w:tblCellMar>
            </w:tblPrEx>
            <w:trPr>
              <w:trHeight w:val="2880" w:hRule="atLeast"/>
              <w:jc w:val="center"/>
            </w:trPr>
            <w:tc>
              <w:tcPr>
                <w:tcW w:w="16488" w:type="dxa"/>
                <w:tcBorders>
                  <w:bottom w:val="nil"/>
                </w:tcBorders>
              </w:tcPr>
              <w:p>
                <w:pPr>
                  <w:pStyle w:val="26"/>
                  <w:jc w:val="center"/>
                  <w:rPr>
                    <w:rFonts w:hint="eastAsia" w:asciiTheme="majorHAnsi" w:hAnsiTheme="majorHAnsi" w:eastAsiaTheme="majorEastAsia" w:cstheme="majorBidi"/>
                    <w:caps/>
                  </w:rPr>
                </w:pPr>
              </w:p>
            </w:tc>
          </w:tr>
          <w:tr>
            <w:tblPrEx>
              <w:tblCellMar>
                <w:top w:w="0" w:type="dxa"/>
                <w:left w:w="108" w:type="dxa"/>
                <w:bottom w:w="0" w:type="dxa"/>
                <w:right w:w="108" w:type="dxa"/>
              </w:tblCellMar>
            </w:tblPrEx>
            <w:trPr>
              <w:trHeight w:val="1440" w:hRule="atLeast"/>
              <w:jc w:val="center"/>
            </w:trPr>
            <w:tc>
              <w:tcPr>
                <w:tcW w:w="16488" w:type="dxa"/>
                <w:tcBorders>
                  <w:top w:val="nil"/>
                  <w:left w:val="nil"/>
                  <w:bottom w:val="nil"/>
                  <w:right w:val="nil"/>
                </w:tcBorders>
                <w:vAlign w:val="center"/>
              </w:tcPr>
              <w:sdt>
                <w:sdtPr>
                  <w:rPr>
                    <w:rFonts w:hint="eastAsia" w:ascii="宋体" w:hAnsi="宋体" w:eastAsia="宋体" w:cs="宋体"/>
                    <w:bCs/>
                    <w:sz w:val="36"/>
                    <w:szCs w:val="36"/>
                  </w:rPr>
                  <w:alias w:val="标题"/>
                  <w:id w:val="15524250"/>
                  <w:text/>
                </w:sdtPr>
                <w:sdtEndPr>
                  <w:rPr>
                    <w:rFonts w:hint="eastAsia" w:ascii="宋体" w:hAnsi="宋体" w:eastAsia="宋体" w:cs="宋体"/>
                    <w:bCs/>
                    <w:sz w:val="36"/>
                    <w:szCs w:val="36"/>
                  </w:rPr>
                </w:sdtEndPr>
                <w:sdtContent>
                  <w:p>
                    <w:pPr>
                      <w:pStyle w:val="26"/>
                      <w:jc w:val="center"/>
                      <w:rPr>
                        <w:rFonts w:hint="eastAsia" w:ascii="宋体" w:hAnsi="宋体" w:eastAsia="宋体" w:cs="宋体"/>
                        <w:bCs/>
                        <w:sz w:val="36"/>
                        <w:szCs w:val="36"/>
                      </w:rPr>
                    </w:pPr>
                    <w:r>
                      <w:rPr>
                        <w:rFonts w:hint="eastAsia" w:ascii="宋体" w:hAnsi="宋体" w:eastAsia="宋体" w:cs="宋体"/>
                        <w:bCs/>
                        <w:sz w:val="36"/>
                        <w:szCs w:val="36"/>
                      </w:rPr>
                      <w:t xml:space="preserve">   《盘锦市城镇绿化管理条例（草案））》立法对照表</w:t>
                    </w:r>
                  </w:p>
                </w:sdtContent>
              </w:sdt>
            </w:tc>
          </w:tr>
          <w:tr>
            <w:tblPrEx>
              <w:tblCellMar>
                <w:top w:w="0" w:type="dxa"/>
                <w:left w:w="108" w:type="dxa"/>
                <w:bottom w:w="0" w:type="dxa"/>
                <w:right w:w="108" w:type="dxa"/>
              </w:tblCellMar>
            </w:tblPrEx>
            <w:trPr>
              <w:trHeight w:val="720" w:hRule="atLeast"/>
              <w:jc w:val="center"/>
            </w:trPr>
            <w:tc>
              <w:tcPr>
                <w:tcW w:w="16488" w:type="dxa"/>
                <w:tcBorders>
                  <w:top w:val="nil"/>
                  <w:left w:val="nil"/>
                  <w:bottom w:val="nil"/>
                  <w:right w:val="nil"/>
                </w:tcBorders>
                <w:vAlign w:val="center"/>
              </w:tcPr>
              <w:p>
                <w:pPr>
                  <w:pStyle w:val="26"/>
                  <w:jc w:val="center"/>
                  <w:rPr>
                    <w:rFonts w:hint="eastAsia" w:asciiTheme="majorHAnsi" w:hAnsiTheme="majorHAnsi" w:eastAsiaTheme="majorEastAsia" w:cstheme="majorBidi"/>
                    <w:sz w:val="44"/>
                    <w:szCs w:val="44"/>
                  </w:rPr>
                </w:pPr>
              </w:p>
            </w:tc>
          </w:tr>
          <w:tr>
            <w:tblPrEx>
              <w:tblCellMar>
                <w:top w:w="0" w:type="dxa"/>
                <w:left w:w="108" w:type="dxa"/>
                <w:bottom w:w="0" w:type="dxa"/>
                <w:right w:w="108" w:type="dxa"/>
              </w:tblCellMar>
            </w:tblPrEx>
            <w:trPr>
              <w:trHeight w:val="360" w:hRule="atLeast"/>
              <w:jc w:val="center"/>
            </w:trPr>
            <w:tc>
              <w:tcPr>
                <w:tcW w:w="16488" w:type="dxa"/>
                <w:tcBorders>
                  <w:top w:val="nil"/>
                  <w:left w:val="nil"/>
                  <w:bottom w:val="nil"/>
                  <w:right w:val="nil"/>
                </w:tcBorders>
                <w:vAlign w:val="center"/>
              </w:tcPr>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tc>
          </w:tr>
          <w:tr>
            <w:tblPrEx>
              <w:tblCellMar>
                <w:top w:w="0" w:type="dxa"/>
                <w:left w:w="108" w:type="dxa"/>
                <w:bottom w:w="0" w:type="dxa"/>
                <w:right w:w="108" w:type="dxa"/>
              </w:tblCellMar>
            </w:tblPrEx>
            <w:trPr>
              <w:trHeight w:val="360" w:hRule="atLeast"/>
              <w:jc w:val="center"/>
            </w:trPr>
            <w:sdt>
              <w:sdtPr>
                <w:rPr>
                  <w:rFonts w:hint="eastAsia"/>
                  <w:b/>
                  <w:bCs/>
                </w:rPr>
                <w:alias w:val="作者"/>
                <w:id w:val="15524260"/>
                <w:text/>
              </w:sdtPr>
              <w:sdtEndPr>
                <w:rPr>
                  <w:rFonts w:hint="eastAsia"/>
                  <w:b/>
                  <w:bCs/>
                </w:rPr>
              </w:sdtEndPr>
              <w:sdtContent>
                <w:tc>
                  <w:tcPr>
                    <w:tcW w:w="16488" w:type="dxa"/>
                    <w:tcBorders>
                      <w:top w:val="nil"/>
                      <w:left w:val="nil"/>
                      <w:bottom w:val="nil"/>
                      <w:right w:val="nil"/>
                    </w:tcBorders>
                    <w:vAlign w:val="center"/>
                  </w:tcPr>
                  <w:p>
                    <w:pPr>
                      <w:pStyle w:val="26"/>
                      <w:jc w:val="center"/>
                      <w:rPr>
                        <w:rFonts w:hint="eastAsia"/>
                        <w:b/>
                        <w:bCs/>
                      </w:rPr>
                    </w:pPr>
                    <w:r>
                      <w:rPr>
                        <w:rFonts w:hint="eastAsia"/>
                        <w:b/>
                        <w:bCs/>
                      </w:rPr>
                      <w:t>盘锦市住房和城乡建设局</w:t>
                    </w:r>
                  </w:p>
                </w:tc>
              </w:sdtContent>
            </w:sdt>
          </w:tr>
          <w:tr>
            <w:tblPrEx>
              <w:tblCellMar>
                <w:top w:w="0" w:type="dxa"/>
                <w:left w:w="108" w:type="dxa"/>
                <w:bottom w:w="0" w:type="dxa"/>
                <w:right w:w="108" w:type="dxa"/>
              </w:tblCellMar>
            </w:tblPrEx>
            <w:trPr>
              <w:trHeight w:val="360" w:hRule="atLeast"/>
              <w:jc w:val="center"/>
            </w:trPr>
            <w:sdt>
              <w:sdtPr>
                <w:rPr>
                  <w:b/>
                  <w:bCs/>
                </w:rPr>
                <w:alias w:val="日期"/>
                <w:id w:val="516659546"/>
                <w:date w:fullDate="2020-04-14T00:00:00Z">
                  <w:dateFormat w:val="yyyy/M/d"/>
                  <w:lid w:val="zh-CN"/>
                  <w:storeMappedDataAs w:val="datetime"/>
                  <w:calendar w:val="gregorian"/>
                </w:date>
              </w:sdtPr>
              <w:sdtEndPr>
                <w:rPr>
                  <w:rFonts w:hint="default"/>
                  <w:b/>
                  <w:bCs/>
                  <w:lang w:val="en-US"/>
                </w:rPr>
              </w:sdtEndPr>
              <w:sdtContent>
                <w:tc>
                  <w:tcPr>
                    <w:tcW w:w="16488" w:type="dxa"/>
                    <w:tcBorders>
                      <w:top w:val="nil"/>
                      <w:left w:val="nil"/>
                      <w:bottom w:val="nil"/>
                      <w:right w:val="nil"/>
                    </w:tcBorders>
                    <w:vAlign w:val="center"/>
                  </w:tcPr>
                  <w:p>
                    <w:pPr>
                      <w:pStyle w:val="26"/>
                      <w:jc w:val="center"/>
                      <w:rPr>
                        <w:rFonts w:hint="eastAsia"/>
                        <w:b/>
                        <w:bCs/>
                      </w:rPr>
                    </w:pPr>
                    <w:r>
                      <w:rPr>
                        <w:rFonts w:hint="eastAsia"/>
                        <w:b/>
                        <w:bCs/>
                      </w:rPr>
                      <w:t>2020/</w:t>
                    </w:r>
                    <w:r>
                      <w:rPr>
                        <w:rFonts w:hint="eastAsia"/>
                        <w:b/>
                        <w:bCs/>
                        <w:lang w:val="en-US" w:eastAsia="zh-CN"/>
                      </w:rPr>
                      <w:t>5</w:t>
                    </w:r>
                    <w:r>
                      <w:rPr>
                        <w:rFonts w:hint="eastAsia"/>
                        <w:b/>
                        <w:bCs/>
                      </w:rPr>
                      <w:t>/</w:t>
                    </w:r>
                    <w:r>
                      <w:rPr>
                        <w:rFonts w:hint="eastAsia"/>
                        <w:b/>
                        <w:bCs/>
                        <w:lang w:val="en-US" w:eastAsia="zh-CN"/>
                      </w:rPr>
                      <w:t>6</w:t>
                    </w:r>
                  </w:p>
                </w:tc>
              </w:sdtContent>
            </w:sdt>
          </w:tr>
        </w:tbl>
        <w:p>
          <w:pPr>
            <w:rPr>
              <w:rFonts w:hint="default"/>
            </w:rPr>
          </w:pPr>
        </w:p>
        <w:p>
          <w:pPr>
            <w:rPr>
              <w:rFonts w:hint="default"/>
            </w:rPr>
          </w:pPr>
        </w:p>
      </w:sdtContent>
    </w:sdt>
    <w:tbl>
      <w:tblPr>
        <w:tblStyle w:val="18"/>
        <w:tblW w:w="16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Layout w:type="fixed"/>
        <w:tblCellMar>
          <w:top w:w="0" w:type="dxa"/>
          <w:left w:w="0" w:type="dxa"/>
          <w:bottom w:w="0" w:type="dxa"/>
          <w:right w:w="0" w:type="dxa"/>
        </w:tblCellMar>
      </w:tblPr>
      <w:tblGrid>
        <w:gridCol w:w="1364"/>
        <w:gridCol w:w="5010"/>
        <w:gridCol w:w="5670"/>
        <w:gridCol w:w="4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80" w:hRule="atLeast"/>
          <w:jc w:val="center"/>
        </w:trPr>
        <w:tc>
          <w:tcPr>
            <w:tcW w:w="16163" w:type="dxa"/>
            <w:gridSpan w:val="4"/>
            <w:shd w:val="clear" w:color="auto" w:fill="auto"/>
            <w:tcMar>
              <w:top w:w="80" w:type="dxa"/>
              <w:left w:w="80" w:type="dxa"/>
              <w:bottom w:w="80" w:type="dxa"/>
              <w:right w:w="80" w:type="dxa"/>
            </w:tcMar>
            <w:vAlign w:val="center"/>
          </w:tcPr>
          <w:p>
            <w:pPr>
              <w:pStyle w:val="20"/>
              <w:widowControl/>
              <w:jc w:val="center"/>
              <w:rPr>
                <w:rFonts w:asciiTheme="minorEastAsia" w:hAnsiTheme="minorEastAsia" w:eastAsiaTheme="minorEastAsia" w:cstheme="minorEastAsia"/>
                <w:b/>
                <w:color w:val="000000" w:themeColor="text1"/>
                <w:kern w:val="0"/>
                <w:sz w:val="36"/>
                <w:szCs w:val="36"/>
                <w:lang w:val="zh-TW" w:eastAsia="zh-TW"/>
                <w14:textFill>
                  <w14:solidFill>
                    <w14:schemeClr w14:val="tx1"/>
                  </w14:solidFill>
                </w14:textFill>
              </w:rPr>
            </w:pPr>
            <w:r>
              <w:rPr>
                <w:rFonts w:hint="eastAsia" w:ascii="宋体" w:hAnsi="宋体" w:eastAsia="宋体" w:cs="宋体"/>
                <w:b/>
                <w:sz w:val="36"/>
                <w:szCs w:val="36"/>
                <w:lang w:val="zh-TW" w:eastAsia="zh-TW"/>
              </w:rPr>
              <w:t>《</w:t>
            </w:r>
            <w:r>
              <w:rPr>
                <w:rFonts w:hint="eastAsia" w:ascii="宋体" w:hAnsi="宋体" w:eastAsia="宋体" w:cs="宋体"/>
                <w:b/>
                <w:bCs w:val="0"/>
                <w:sz w:val="36"/>
                <w:szCs w:val="36"/>
                <w:lang w:val="zh-TW" w:eastAsia="zh-TW"/>
              </w:rPr>
              <w:t>盘锦市</w:t>
            </w:r>
            <w:r>
              <w:rPr>
                <w:rFonts w:hint="eastAsia" w:ascii="宋体" w:hAnsi="宋体" w:eastAsia="宋体" w:cs="宋体"/>
                <w:b/>
                <w:bCs w:val="0"/>
                <w:sz w:val="36"/>
                <w:szCs w:val="36"/>
              </w:rPr>
              <w:t>城镇绿化</w:t>
            </w:r>
            <w:r>
              <w:rPr>
                <w:rFonts w:hint="eastAsia" w:ascii="宋体" w:hAnsi="宋体" w:eastAsia="宋体" w:cs="宋体"/>
                <w:b/>
                <w:bCs w:val="0"/>
                <w:sz w:val="36"/>
                <w:szCs w:val="36"/>
                <w:lang w:val="zh-TW" w:eastAsia="zh-TW"/>
              </w:rPr>
              <w:t>管理条例</w:t>
            </w:r>
            <w:r>
              <w:rPr>
                <w:rFonts w:hint="eastAsia" w:ascii="宋体" w:hAnsi="宋体" w:eastAsia="宋体" w:cs="宋体"/>
                <w:b/>
                <w:sz w:val="36"/>
                <w:szCs w:val="36"/>
                <w:lang w:val="zh-TW" w:eastAsia="zh-TW"/>
              </w:rPr>
              <w:t>》草案及法律法规依据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360"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14:textFill>
                  <w14:solidFill>
                    <w14:schemeClr w14:val="tx1"/>
                  </w14:solidFill>
                </w14:textFill>
              </w:rPr>
            </w:pPr>
          </w:p>
        </w:tc>
        <w:tc>
          <w:tcPr>
            <w:tcW w:w="5010" w:type="dxa"/>
            <w:shd w:val="clear" w:color="auto" w:fill="auto"/>
            <w:tcMar>
              <w:top w:w="80" w:type="dxa"/>
              <w:left w:w="80" w:type="dxa"/>
              <w:bottom w:w="80" w:type="dxa"/>
              <w:right w:w="80" w:type="dxa"/>
            </w:tcMar>
            <w:vAlign w:val="center"/>
          </w:tcPr>
          <w:p>
            <w:pPr>
              <w:widowControl w:val="0"/>
              <w:adjustRightInd w:val="0"/>
              <w:snapToGrid w:val="0"/>
              <w:spacing w:line="240" w:lineRule="atLeast"/>
              <w:jc w:val="center"/>
              <w:rPr>
                <w:rFonts w:hint="default" w:ascii="宋体" w:hAnsi="宋体" w:eastAsia="宋体" w:cs="Times New Roman"/>
                <w:b/>
                <w:bCs/>
                <w:kern w:val="2"/>
                <w:sz w:val="28"/>
                <w:szCs w:val="28"/>
              </w:rPr>
            </w:pPr>
            <w:r>
              <w:rPr>
                <w:rFonts w:ascii="宋体" w:hAnsi="宋体" w:eastAsia="宋体" w:cs="Times New Roman"/>
                <w:b/>
                <w:bCs/>
                <w:kern w:val="2"/>
                <w:sz w:val="28"/>
                <w:szCs w:val="28"/>
                <w:lang w:val="zh-TW" w:eastAsia="zh-TW"/>
              </w:rPr>
              <w:t>条</w:t>
            </w:r>
            <w:r>
              <w:rPr>
                <w:rFonts w:ascii="宋体" w:hAnsi="宋体" w:eastAsia="宋体" w:cs="Times New Roman"/>
                <w:b/>
                <w:bCs/>
                <w:kern w:val="2"/>
                <w:sz w:val="28"/>
                <w:szCs w:val="28"/>
              </w:rPr>
              <w:t xml:space="preserve">    </w:t>
            </w:r>
            <w:r>
              <w:rPr>
                <w:rFonts w:ascii="宋体" w:hAnsi="宋体" w:eastAsia="宋体" w:cs="Times New Roman"/>
                <w:b/>
                <w:bCs/>
                <w:kern w:val="2"/>
                <w:sz w:val="28"/>
                <w:szCs w:val="28"/>
                <w:lang w:val="zh-TW" w:eastAsia="zh-TW"/>
              </w:rPr>
              <w:t>款</w:t>
            </w:r>
          </w:p>
        </w:tc>
        <w:tc>
          <w:tcPr>
            <w:tcW w:w="5670" w:type="dxa"/>
            <w:shd w:val="clear" w:color="auto" w:fill="auto"/>
            <w:tcMar>
              <w:top w:w="80" w:type="dxa"/>
              <w:left w:w="80" w:type="dxa"/>
              <w:bottom w:w="80" w:type="dxa"/>
              <w:right w:w="80" w:type="dxa"/>
            </w:tcMar>
            <w:vAlign w:val="center"/>
          </w:tcPr>
          <w:p>
            <w:pPr>
              <w:widowControl w:val="0"/>
              <w:adjustRightInd w:val="0"/>
              <w:snapToGrid w:val="0"/>
              <w:spacing w:line="240" w:lineRule="atLeast"/>
              <w:jc w:val="center"/>
              <w:rPr>
                <w:rFonts w:hint="default" w:ascii="宋体" w:hAnsi="宋体" w:eastAsia="宋体" w:cs="Times New Roman"/>
                <w:b/>
                <w:bCs/>
                <w:kern w:val="2"/>
                <w:sz w:val="28"/>
                <w:szCs w:val="28"/>
              </w:rPr>
            </w:pPr>
            <w:r>
              <w:rPr>
                <w:rFonts w:ascii="宋体" w:hAnsi="宋体" w:eastAsia="宋体" w:cs="Times New Roman"/>
                <w:b/>
                <w:bCs/>
                <w:kern w:val="2"/>
                <w:sz w:val="28"/>
                <w:szCs w:val="28"/>
                <w:lang w:val="zh-TW" w:eastAsia="zh-TW"/>
              </w:rPr>
              <w:t>法律、法规依据</w:t>
            </w:r>
          </w:p>
        </w:tc>
        <w:tc>
          <w:tcPr>
            <w:tcW w:w="4119" w:type="dxa"/>
            <w:shd w:val="clear" w:color="auto" w:fill="auto"/>
            <w:tcMar>
              <w:top w:w="80" w:type="dxa"/>
              <w:left w:w="80" w:type="dxa"/>
              <w:bottom w:w="80" w:type="dxa"/>
              <w:right w:w="80" w:type="dxa"/>
            </w:tcMar>
            <w:vAlign w:val="center"/>
          </w:tcPr>
          <w:p>
            <w:pPr>
              <w:widowControl w:val="0"/>
              <w:adjustRightInd w:val="0"/>
              <w:snapToGrid w:val="0"/>
              <w:spacing w:line="240" w:lineRule="atLeast"/>
              <w:jc w:val="center"/>
              <w:rPr>
                <w:rFonts w:hint="default" w:ascii="宋体" w:hAnsi="宋体" w:eastAsia="宋体" w:cs="Times New Roman"/>
                <w:b/>
                <w:bCs/>
                <w:kern w:val="2"/>
                <w:sz w:val="28"/>
                <w:szCs w:val="28"/>
              </w:rPr>
            </w:pPr>
            <w:r>
              <w:rPr>
                <w:rFonts w:ascii="宋体" w:hAnsi="宋体" w:eastAsia="宋体" w:cs="Times New Roman"/>
                <w:b/>
                <w:bCs/>
                <w:kern w:val="2"/>
                <w:sz w:val="28"/>
                <w:szCs w:val="28"/>
                <w:lang w:val="zh-TW"/>
              </w:rPr>
              <w:t>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360" w:hRule="atLeast"/>
          <w:jc w:val="center"/>
        </w:trPr>
        <w:tc>
          <w:tcPr>
            <w:tcW w:w="16163" w:type="dxa"/>
            <w:gridSpan w:val="4"/>
            <w:shd w:val="clear" w:color="auto" w:fill="auto"/>
            <w:tcMar>
              <w:top w:w="80" w:type="dxa"/>
              <w:left w:w="80" w:type="dxa"/>
              <w:bottom w:w="80" w:type="dxa"/>
              <w:right w:w="80" w:type="dxa"/>
            </w:tcMar>
            <w:vAlign w:val="center"/>
          </w:tcPr>
          <w:p>
            <w:pPr>
              <w:pStyle w:val="20"/>
              <w:widowControl/>
              <w:jc w:val="center"/>
              <w:rPr>
                <w:rFonts w:asciiTheme="minorEastAsia" w:hAnsiTheme="minorEastAsia" w:eastAsiaTheme="minorEastAsia" w:cstheme="minorEastAsia"/>
                <w:b/>
                <w:color w:val="000000" w:themeColor="text1"/>
                <w:kern w:val="0"/>
                <w:lang w:val="zh-TW" w:eastAsia="zh-TW"/>
                <w14:textFill>
                  <w14:solidFill>
                    <w14:schemeClr w14:val="tx1"/>
                  </w14:solidFill>
                </w14:textFill>
              </w:rPr>
            </w:pPr>
            <w:r>
              <w:rPr>
                <w:rFonts w:hint="eastAsia" w:ascii="宋体" w:hAnsi="宋体" w:eastAsia="宋体" w:cs="Times New Roman"/>
                <w:b/>
                <w:sz w:val="28"/>
                <w:szCs w:val="28"/>
                <w:lang w:val="zh-TW" w:eastAsia="zh-TW"/>
              </w:rPr>
              <w:t>第一章  总</w:t>
            </w:r>
            <w:r>
              <w:rPr>
                <w:rFonts w:hint="eastAsia" w:ascii="宋体" w:hAnsi="宋体" w:eastAsia="宋体" w:cs="Times New Roman"/>
                <w:b/>
                <w:sz w:val="28"/>
                <w:szCs w:val="28"/>
              </w:rPr>
              <w:t xml:space="preserve">   </w:t>
            </w:r>
            <w:r>
              <w:rPr>
                <w:rFonts w:hint="eastAsia" w:ascii="宋体" w:hAnsi="宋体" w:eastAsia="宋体" w:cs="Times New Roman"/>
                <w:b/>
                <w:sz w:val="28"/>
                <w:szCs w:val="28"/>
                <w:lang w:val="zh-TW" w:eastAsia="zh-TW"/>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color w:val="auto"/>
                <w:sz w:val="21"/>
                <w:szCs w:val="21"/>
                <w:lang w:val="zh-TW"/>
              </w:rPr>
            </w:pPr>
            <w:r>
              <w:rPr>
                <w:rFonts w:hint="eastAsia" w:ascii="宋体" w:hAnsi="宋体" w:eastAsia="宋体" w:cs="宋体"/>
                <w:b/>
                <w:bCs w:val="0"/>
                <w:color w:val="auto"/>
                <w:sz w:val="21"/>
                <w:szCs w:val="21"/>
                <w:lang w:val="zh-TW" w:eastAsia="zh-TW"/>
              </w:rPr>
              <w:t>立法目的及依据</w:t>
            </w:r>
          </w:p>
        </w:tc>
        <w:tc>
          <w:tcPr>
            <w:tcW w:w="5010" w:type="dxa"/>
            <w:shd w:val="clear" w:color="auto" w:fill="auto"/>
            <w:tcMar>
              <w:top w:w="80" w:type="dxa"/>
              <w:left w:w="80" w:type="dxa"/>
              <w:bottom w:w="80" w:type="dxa"/>
              <w:right w:w="80" w:type="dxa"/>
            </w:tcMar>
          </w:tcPr>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第一条  </w:t>
            </w:r>
            <w:r>
              <w:rPr>
                <w:rFonts w:hint="eastAsia" w:ascii="宋体" w:hAnsi="宋体" w:eastAsia="宋体" w:cs="宋体"/>
                <w:color w:val="auto"/>
                <w:sz w:val="21"/>
                <w:szCs w:val="21"/>
              </w:rPr>
              <w:t>为了促进城镇绿化事业的发展，保护和改善生态环境，建设宜居城镇，根据国务院《城市绿化条例》和《辽宁省城镇绿化条例》等有关法律、法规，结合本市实际，制定本条例。</w:t>
            </w:r>
          </w:p>
          <w:p>
            <w:pPr>
              <w:spacing w:line="240" w:lineRule="auto"/>
              <w:ind w:firstLine="420" w:firstLineChars="200"/>
              <w:jc w:val="both"/>
              <w:rPr>
                <w:rFonts w:hint="eastAsia" w:ascii="宋体" w:hAnsi="宋体" w:eastAsia="宋体" w:cs="宋体"/>
                <w:bCs/>
                <w:color w:val="auto"/>
                <w:sz w:val="21"/>
                <w:szCs w:val="21"/>
                <w:lang w:val="zh-TW"/>
              </w:rPr>
            </w:pPr>
          </w:p>
        </w:tc>
        <w:tc>
          <w:tcPr>
            <w:tcW w:w="5670" w:type="dxa"/>
            <w:shd w:val="clear" w:color="auto" w:fill="auto"/>
            <w:tcMar>
              <w:top w:w="80" w:type="dxa"/>
              <w:left w:w="80" w:type="dxa"/>
              <w:bottom w:w="80" w:type="dxa"/>
              <w:right w:w="80" w:type="dxa"/>
            </w:tcMar>
          </w:tcPr>
          <w:p>
            <w:pPr>
              <w:spacing w:line="240" w:lineRule="auto"/>
              <w:ind w:firstLine="420" w:firstLineChars="200"/>
              <w:jc w:val="both"/>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《辽宁省城镇绿化条例》（2012年1月5日辽宁省第十一届人民代表大会常务委员会第27次会议通过，2017年9月28日修正</w:t>
            </w:r>
            <w:r>
              <w:rPr>
                <w:rFonts w:hint="eastAsia" w:ascii="宋体" w:hAnsi="宋体" w:eastAsia="宋体" w:cs="宋体"/>
                <w:bCs/>
                <w:color w:val="auto"/>
                <w:sz w:val="21"/>
                <w:szCs w:val="21"/>
              </w:rPr>
              <w:t>版</w:t>
            </w:r>
            <w:r>
              <w:rPr>
                <w:rFonts w:hint="eastAsia" w:ascii="宋体" w:hAnsi="宋体" w:eastAsia="宋体" w:cs="宋体"/>
                <w:bCs/>
                <w:color w:val="auto"/>
                <w:sz w:val="21"/>
                <w:szCs w:val="21"/>
                <w:lang w:val="zh-TW"/>
              </w:rPr>
              <w:t>）</w:t>
            </w:r>
          </w:p>
          <w:p>
            <w:pPr>
              <w:spacing w:line="240" w:lineRule="auto"/>
              <w:ind w:firstLine="422" w:firstLineChars="200"/>
              <w:jc w:val="both"/>
              <w:rPr>
                <w:rFonts w:hint="eastAsia" w:ascii="宋体" w:hAnsi="宋体" w:eastAsia="宋体" w:cs="宋体"/>
                <w:bCs/>
                <w:color w:val="auto"/>
                <w:sz w:val="21"/>
                <w:szCs w:val="21"/>
                <w:lang w:val="zh-TW" w:eastAsia="zh-TW"/>
              </w:rPr>
            </w:pPr>
            <w:r>
              <w:rPr>
                <w:rFonts w:hint="eastAsia" w:ascii="宋体" w:hAnsi="宋体" w:eastAsia="宋体" w:cs="宋体"/>
                <w:b/>
                <w:bCs w:val="0"/>
                <w:color w:val="auto"/>
                <w:sz w:val="21"/>
                <w:szCs w:val="21"/>
                <w:lang w:val="zh-TW"/>
              </w:rPr>
              <w:t>第一条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为了促进城镇绿化事业的发展，保护和改善生态环境，建设宜居城镇，增进人民身心健康，根据有关法律、法规，结合本省实际，制定本条例。</w:t>
            </w:r>
          </w:p>
        </w:tc>
        <w:tc>
          <w:tcPr>
            <w:tcW w:w="4119" w:type="dxa"/>
            <w:shd w:val="clear" w:color="auto" w:fill="auto"/>
            <w:tcMar>
              <w:top w:w="80" w:type="dxa"/>
              <w:left w:w="80" w:type="dxa"/>
              <w:bottom w:w="80" w:type="dxa"/>
              <w:right w:w="80" w:type="dxa"/>
            </w:tcMar>
          </w:tcPr>
          <w:p>
            <w:pPr>
              <w:spacing w:line="240" w:lineRule="auto"/>
              <w:ind w:firstLine="420" w:firstLineChars="200"/>
              <w:jc w:val="both"/>
              <w:rPr>
                <w:rFonts w:hint="eastAsia" w:ascii="宋体" w:hAnsi="宋体" w:eastAsia="宋体" w:cs="宋体"/>
                <w:bCs/>
                <w:color w:val="auto"/>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1140"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color w:val="auto"/>
                <w:sz w:val="21"/>
                <w:szCs w:val="21"/>
                <w:lang w:val="zh-TW"/>
              </w:rPr>
            </w:pPr>
            <w:r>
              <w:rPr>
                <w:rFonts w:hint="eastAsia" w:ascii="宋体" w:hAnsi="宋体" w:eastAsia="宋体" w:cs="宋体"/>
                <w:b/>
                <w:color w:val="auto"/>
                <w:sz w:val="21"/>
                <w:szCs w:val="21"/>
                <w:lang w:val="zh-TW" w:eastAsia="zh-TW"/>
              </w:rPr>
              <w:t>适用范围</w:t>
            </w:r>
          </w:p>
        </w:tc>
        <w:tc>
          <w:tcPr>
            <w:tcW w:w="5010" w:type="dxa"/>
            <w:shd w:val="clear" w:color="auto" w:fill="auto"/>
            <w:tcMar>
              <w:top w:w="80" w:type="dxa"/>
              <w:left w:w="80" w:type="dxa"/>
              <w:bottom w:w="80" w:type="dxa"/>
              <w:right w:w="80" w:type="dxa"/>
            </w:tcMar>
          </w:tcPr>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第二条  </w:t>
            </w:r>
            <w:r>
              <w:rPr>
                <w:rFonts w:hint="eastAsia" w:ascii="宋体" w:hAnsi="宋体" w:eastAsia="宋体" w:cs="宋体"/>
                <w:color w:val="auto"/>
                <w:sz w:val="21"/>
                <w:szCs w:val="21"/>
              </w:rPr>
              <w:t>本条例适用于本市城镇规划区内城镇绿化的规划、建设、保护和管理。</w:t>
            </w:r>
          </w:p>
          <w:p>
            <w:pPr>
              <w:spacing w:line="240" w:lineRule="auto"/>
              <w:ind w:firstLine="420" w:firstLineChars="200"/>
              <w:jc w:val="both"/>
              <w:rPr>
                <w:rFonts w:hint="eastAsia" w:ascii="宋体" w:hAnsi="宋体" w:eastAsia="宋体" w:cs="宋体"/>
                <w:bCs/>
                <w:color w:val="auto"/>
                <w:sz w:val="21"/>
                <w:szCs w:val="21"/>
                <w:lang w:val="zh-TW"/>
              </w:rPr>
            </w:pPr>
          </w:p>
        </w:tc>
        <w:tc>
          <w:tcPr>
            <w:tcW w:w="5670" w:type="dxa"/>
            <w:shd w:val="clear" w:color="auto" w:fill="auto"/>
            <w:tcMar>
              <w:top w:w="80" w:type="dxa"/>
              <w:left w:w="80" w:type="dxa"/>
              <w:bottom w:w="80" w:type="dxa"/>
              <w:right w:w="80" w:type="dxa"/>
            </w:tcMar>
          </w:tcPr>
          <w:p>
            <w:pPr>
              <w:spacing w:line="240" w:lineRule="auto"/>
              <w:ind w:firstLine="420" w:firstLineChars="200"/>
              <w:jc w:val="both"/>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《辽宁省城镇绿化条例》（2012年1月5日辽宁省第十一届人民代表大会常务委员会第27次会议通过，2017年9月28日修正版）</w:t>
            </w:r>
          </w:p>
          <w:p>
            <w:pPr>
              <w:spacing w:line="240" w:lineRule="auto"/>
              <w:ind w:firstLine="422" w:firstLineChars="200"/>
              <w:jc w:val="both"/>
              <w:rPr>
                <w:rFonts w:hint="eastAsia" w:ascii="宋体" w:hAnsi="宋体" w:eastAsia="宋体" w:cs="宋体"/>
                <w:bCs/>
                <w:color w:val="auto"/>
                <w:sz w:val="21"/>
                <w:szCs w:val="21"/>
              </w:rPr>
            </w:pPr>
            <w:r>
              <w:rPr>
                <w:rFonts w:hint="eastAsia" w:ascii="宋体" w:hAnsi="宋体" w:eastAsia="宋体" w:cs="宋体"/>
                <w:b/>
                <w:bCs w:val="0"/>
                <w:color w:val="auto"/>
                <w:sz w:val="21"/>
                <w:szCs w:val="21"/>
                <w:lang w:val="zh-TW" w:eastAsia="zh-TW"/>
              </w:rPr>
              <w:t>第二条</w:t>
            </w:r>
            <w:r>
              <w:rPr>
                <w:rFonts w:hint="eastAsia" w:ascii="宋体" w:hAnsi="宋体" w:eastAsia="宋体" w:cs="宋体"/>
                <w:b/>
                <w:bCs w:val="0"/>
                <w:color w:val="auto"/>
                <w:sz w:val="21"/>
                <w:szCs w:val="21"/>
                <w:lang w:val="en-US" w:eastAsia="zh-CN"/>
              </w:rPr>
              <w:t xml:space="preserve">  </w:t>
            </w:r>
            <w:r>
              <w:rPr>
                <w:rFonts w:hint="eastAsia" w:ascii="宋体" w:hAnsi="宋体" w:eastAsia="宋体" w:cs="宋体"/>
                <w:bCs/>
                <w:color w:val="auto"/>
                <w:sz w:val="21"/>
                <w:szCs w:val="21"/>
                <w:lang w:val="zh-TW" w:eastAsia="zh-TW"/>
              </w:rPr>
              <w:t>本条例适用于本省城镇规划区内城镇绿化的规划、建设、保护和管理。</w:t>
            </w:r>
          </w:p>
        </w:tc>
        <w:tc>
          <w:tcPr>
            <w:tcW w:w="4119" w:type="dxa"/>
            <w:shd w:val="clear" w:color="auto" w:fill="auto"/>
            <w:tcMar>
              <w:top w:w="80" w:type="dxa"/>
              <w:left w:w="80" w:type="dxa"/>
              <w:bottom w:w="80" w:type="dxa"/>
              <w:right w:w="80" w:type="dxa"/>
            </w:tcMar>
          </w:tcPr>
          <w:p>
            <w:pPr>
              <w:spacing w:line="240" w:lineRule="auto"/>
              <w:ind w:firstLine="420" w:firstLineChars="200"/>
              <w:jc w:val="both"/>
              <w:rPr>
                <w:rFonts w:hint="eastAsia" w:ascii="宋体" w:hAnsi="宋体" w:eastAsia="宋体" w:cs="宋体"/>
                <w:bCs/>
                <w:color w:val="auto"/>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77"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color w:val="auto"/>
                <w:sz w:val="21"/>
                <w:szCs w:val="21"/>
                <w:lang w:val="zh-TW"/>
              </w:rPr>
            </w:pPr>
            <w:r>
              <w:rPr>
                <w:rFonts w:hint="eastAsia" w:ascii="宋体" w:hAnsi="宋体" w:eastAsia="宋体" w:cs="宋体"/>
                <w:b/>
                <w:bCs w:val="0"/>
                <w:color w:val="auto"/>
                <w:sz w:val="21"/>
                <w:szCs w:val="21"/>
              </w:rPr>
              <w:t>职责分工</w:t>
            </w:r>
          </w:p>
        </w:tc>
        <w:tc>
          <w:tcPr>
            <w:tcW w:w="5010" w:type="dxa"/>
            <w:shd w:val="clear" w:color="auto" w:fill="auto"/>
            <w:tcMar>
              <w:top w:w="80" w:type="dxa"/>
              <w:left w:w="80" w:type="dxa"/>
              <w:bottom w:w="80" w:type="dxa"/>
              <w:right w:w="80" w:type="dxa"/>
            </w:tcMar>
          </w:tcPr>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第三条  </w:t>
            </w:r>
            <w:r>
              <w:rPr>
                <w:rFonts w:hint="eastAsia" w:ascii="宋体" w:hAnsi="宋体" w:eastAsia="宋体" w:cs="宋体"/>
                <w:color w:val="auto"/>
                <w:sz w:val="21"/>
                <w:szCs w:val="21"/>
              </w:rPr>
              <w:t>市、县（区）住房和城乡建设行政主管部门负责本辖区内的城镇绿化工作。其他相关部门根据各自职责，做好城镇相关绿化工作。</w:t>
            </w:r>
          </w:p>
          <w:p>
            <w:pPr>
              <w:pStyle w:val="8"/>
              <w:spacing w:line="240" w:lineRule="auto"/>
              <w:ind w:firstLine="420" w:firstLineChars="200"/>
              <w:jc w:val="both"/>
              <w:rPr>
                <w:rFonts w:hint="eastAsia" w:ascii="宋体" w:hAnsi="宋体" w:eastAsia="宋体" w:cs="宋体"/>
                <w:bCs/>
                <w:color w:val="auto"/>
                <w:sz w:val="21"/>
                <w:szCs w:val="21"/>
                <w:lang w:val="zh-TW"/>
              </w:rPr>
            </w:pPr>
            <w:r>
              <w:rPr>
                <w:rFonts w:hint="eastAsia" w:ascii="宋体" w:hAnsi="宋体" w:eastAsia="宋体" w:cs="宋体"/>
                <w:color w:val="auto"/>
                <w:sz w:val="21"/>
                <w:szCs w:val="21"/>
              </w:rPr>
              <w:t>街道办事处（镇人民政府）在其职责范围内负责本辖区的城镇绿化工作。</w:t>
            </w:r>
          </w:p>
        </w:tc>
        <w:tc>
          <w:tcPr>
            <w:tcW w:w="5670" w:type="dxa"/>
            <w:shd w:val="clear" w:color="auto" w:fill="auto"/>
            <w:tcMar>
              <w:top w:w="80" w:type="dxa"/>
              <w:left w:w="80" w:type="dxa"/>
              <w:bottom w:w="80" w:type="dxa"/>
              <w:right w:w="80" w:type="dxa"/>
            </w:tcMar>
          </w:tcPr>
          <w:p>
            <w:pPr>
              <w:spacing w:line="240" w:lineRule="auto"/>
              <w:ind w:firstLine="420" w:firstLineChars="200"/>
              <w:jc w:val="both"/>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《辽宁省城镇绿化条例》（2012年1月5日辽宁省第十一届人民代表大会常务委员会第27次会议通过，2017年9月28日修正版）</w:t>
            </w:r>
          </w:p>
          <w:p>
            <w:pPr>
              <w:shd w:val="clear" w:color="auto" w:fill="FFFFFF"/>
              <w:adjustRightInd w:val="0"/>
              <w:snapToGrid w:val="0"/>
              <w:spacing w:line="240" w:lineRule="auto"/>
              <w:ind w:firstLine="422" w:firstLineChars="200"/>
              <w:jc w:val="both"/>
              <w:textAlignment w:val="baseline"/>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rPr>
              <w:t>第四条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省住房和城乡建设行政主管部门负责全省城镇规划区内的城镇绿化工作。 </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市、县人民政府确定的城镇绿化行政主管部门（以下简称城镇绿化行政主管部门）负责本辖区城镇规划区内的城镇绿化工作。 </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镇人民政府负责本辖区城镇规划区内的城镇绿化工作。街道办事处依照职责做好辖区内的绿化工作。 </w:t>
            </w:r>
          </w:p>
          <w:p>
            <w:pPr>
              <w:spacing w:line="240" w:lineRule="auto"/>
              <w:ind w:firstLine="420" w:firstLineChars="200"/>
              <w:jc w:val="both"/>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rPr>
              <w:t>城镇规划区内，有关法律、法规规定由林业、交通、水利、河流保护等部门管理的绿化工作，依照有关法律、法规规定执行。</w:t>
            </w:r>
          </w:p>
        </w:tc>
        <w:tc>
          <w:tcPr>
            <w:tcW w:w="4119" w:type="dxa"/>
            <w:shd w:val="clear" w:color="auto" w:fill="auto"/>
            <w:tcMar>
              <w:top w:w="80" w:type="dxa"/>
              <w:left w:w="80" w:type="dxa"/>
              <w:bottom w:w="80" w:type="dxa"/>
              <w:right w:w="80" w:type="dxa"/>
            </w:tcMar>
          </w:tcPr>
          <w:p>
            <w:pPr>
              <w:spacing w:line="240" w:lineRule="auto"/>
              <w:ind w:firstLine="420" w:firstLineChars="200"/>
              <w:jc w:val="both"/>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《南通市城市绿化管理条例》（2019年7月30日南通市第十五届人民代表大会常务委员会第二十四次会议通过，2019年9月27日江苏省第十三届人民代表大会常务委员会第十一次会议批准，2020年1月1日施行）</w:t>
            </w:r>
          </w:p>
          <w:p>
            <w:pPr>
              <w:spacing w:line="240" w:lineRule="auto"/>
              <w:ind w:firstLine="413" w:firstLineChars="196"/>
              <w:jc w:val="both"/>
              <w:rPr>
                <w:rFonts w:hint="eastAsia" w:ascii="宋体" w:hAnsi="宋体" w:eastAsia="宋体" w:cs="宋体"/>
                <w:bCs/>
                <w:color w:val="auto"/>
                <w:sz w:val="21"/>
                <w:szCs w:val="21"/>
              </w:rPr>
            </w:pPr>
            <w:r>
              <w:rPr>
                <w:rFonts w:hint="eastAsia" w:ascii="宋体" w:hAnsi="宋体" w:eastAsia="宋体" w:cs="宋体"/>
                <w:b/>
                <w:bCs w:val="0"/>
                <w:color w:val="auto"/>
                <w:sz w:val="21"/>
                <w:szCs w:val="21"/>
                <w:lang w:val="zh-TW"/>
              </w:rPr>
              <w:t>第三条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市、县级人民政府城市绿化主管部门主管本行政区域内的城市绿化工作。</w:t>
            </w:r>
            <w:r>
              <w:rPr>
                <w:rFonts w:hint="eastAsia" w:ascii="宋体" w:hAnsi="宋体" w:eastAsia="宋体" w:cs="宋体"/>
                <w:bCs/>
                <w:color w:val="auto"/>
                <w:sz w:val="21"/>
                <w:szCs w:val="21"/>
              </w:rPr>
              <w:t>其他相关部门根据各自职责，做好城市绿化工作。</w:t>
            </w:r>
          </w:p>
          <w:p>
            <w:pPr>
              <w:spacing w:line="240" w:lineRule="auto"/>
              <w:ind w:firstLine="420" w:firstLineChars="200"/>
              <w:jc w:val="both"/>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rPr>
              <w:t>镇人民政府、街道办事处在其职责范围内负责本行政区域内的城市绿化工作。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color w:val="auto"/>
                <w:sz w:val="21"/>
                <w:szCs w:val="21"/>
                <w:lang w:val="zh-TW"/>
              </w:rPr>
            </w:pPr>
            <w:r>
              <w:rPr>
                <w:rFonts w:hint="eastAsia" w:ascii="宋体" w:hAnsi="宋体" w:eastAsia="宋体" w:cs="宋体"/>
                <w:b/>
                <w:bCs w:val="0"/>
                <w:color w:val="auto"/>
                <w:sz w:val="21"/>
                <w:szCs w:val="21"/>
              </w:rPr>
              <w:t>绿化原则</w:t>
            </w:r>
          </w:p>
        </w:tc>
        <w:tc>
          <w:tcPr>
            <w:tcW w:w="5010" w:type="dxa"/>
            <w:shd w:val="clear" w:color="auto" w:fill="auto"/>
            <w:tcMar>
              <w:top w:w="80" w:type="dxa"/>
              <w:left w:w="80" w:type="dxa"/>
              <w:bottom w:w="80" w:type="dxa"/>
              <w:right w:w="80" w:type="dxa"/>
            </w:tcMar>
          </w:tcPr>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第四条  </w:t>
            </w:r>
            <w:r>
              <w:rPr>
                <w:rFonts w:hint="eastAsia" w:ascii="宋体" w:hAnsi="宋体" w:eastAsia="宋体" w:cs="宋体"/>
                <w:color w:val="auto"/>
                <w:sz w:val="21"/>
                <w:szCs w:val="21"/>
              </w:rPr>
              <w:t>城镇绿化应当坚持政府主导、特色引领、生态优先、科学建绿的原则，充分利用本地自然和人文条件，合理配置植物类型，提高自然生态效应和景观效果。</w:t>
            </w:r>
          </w:p>
          <w:p>
            <w:pPr>
              <w:pStyle w:val="8"/>
              <w:spacing w:line="240" w:lineRule="auto"/>
              <w:ind w:firstLine="422" w:firstLineChars="200"/>
              <w:jc w:val="both"/>
              <w:rPr>
                <w:rFonts w:hint="eastAsia" w:ascii="宋体" w:hAnsi="宋体" w:eastAsia="宋体" w:cs="宋体"/>
                <w:b/>
                <w:color w:val="auto"/>
                <w:sz w:val="21"/>
                <w:szCs w:val="21"/>
              </w:rPr>
            </w:pPr>
          </w:p>
        </w:tc>
        <w:tc>
          <w:tcPr>
            <w:tcW w:w="5670" w:type="dxa"/>
            <w:shd w:val="clear" w:color="auto" w:fill="auto"/>
            <w:tcMar>
              <w:top w:w="80" w:type="dxa"/>
              <w:left w:w="80" w:type="dxa"/>
              <w:bottom w:w="80" w:type="dxa"/>
              <w:right w:w="80" w:type="dxa"/>
            </w:tcMar>
          </w:tcPr>
          <w:p>
            <w:pPr>
              <w:spacing w:line="240" w:lineRule="auto"/>
              <w:ind w:firstLine="420" w:firstLineChars="200"/>
              <w:jc w:val="both"/>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《辽宁省城镇绿化条例》（2012年1月5日辽宁省第十一届人民代表大会常务委员会第27次会议通过，2017年9月28日修正版）</w:t>
            </w:r>
          </w:p>
          <w:p>
            <w:pPr>
              <w:pStyle w:val="20"/>
              <w:widowControl/>
              <w:spacing w:line="240" w:lineRule="auto"/>
              <w:ind w:firstLine="422" w:firstLineChars="200"/>
              <w:rPr>
                <w:rFonts w:hint="eastAsia" w:ascii="宋体" w:hAnsi="宋体" w:eastAsia="宋体" w:cs="宋体"/>
                <w:color w:val="auto"/>
                <w:sz w:val="21"/>
                <w:szCs w:val="21"/>
                <w:lang w:eastAsia="zh-TW"/>
              </w:rPr>
            </w:pPr>
            <w:r>
              <w:rPr>
                <w:rFonts w:hint="eastAsia" w:ascii="宋体" w:hAnsi="宋体" w:eastAsia="宋体" w:cs="宋体"/>
                <w:b/>
                <w:bCs w:val="0"/>
                <w:color w:val="auto"/>
                <w:sz w:val="21"/>
                <w:szCs w:val="21"/>
              </w:rPr>
              <w:t>第五条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城镇绿化应当坚持政府主导与公众参与相结合，遵循因地制宜、生态优先、科学建绿的原则，鼓励和支持城镇绿化的科学研究和先进技术的推广和应用，努力建成总量适宜、分布合理、植物多样、景观优美的城镇绿地（以下简称绿地）系统。</w:t>
            </w:r>
          </w:p>
        </w:tc>
        <w:tc>
          <w:tcPr>
            <w:tcW w:w="4119" w:type="dxa"/>
            <w:shd w:val="clear" w:color="auto" w:fill="auto"/>
            <w:tcMar>
              <w:top w:w="80" w:type="dxa"/>
              <w:left w:w="80" w:type="dxa"/>
              <w:bottom w:w="80" w:type="dxa"/>
              <w:right w:w="80" w:type="dxa"/>
            </w:tcMar>
          </w:tcPr>
          <w:p>
            <w:pPr>
              <w:pStyle w:val="8"/>
              <w:shd w:val="clear" w:color="auto" w:fill="FFFFFF"/>
              <w:spacing w:before="0" w:after="0" w:line="240" w:lineRule="auto"/>
              <w:ind w:firstLine="480"/>
              <w:rPr>
                <w:rFonts w:hint="eastAsia" w:ascii="宋体" w:hAnsi="宋体" w:eastAsia="宋体" w:cs="宋体"/>
                <w:bCs/>
                <w:color w:val="auto"/>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绿化义务</w:t>
            </w:r>
          </w:p>
        </w:tc>
        <w:tc>
          <w:tcPr>
            <w:tcW w:w="5010" w:type="dxa"/>
            <w:shd w:val="clear" w:color="auto" w:fill="auto"/>
            <w:tcMar>
              <w:top w:w="80" w:type="dxa"/>
              <w:left w:w="80" w:type="dxa"/>
              <w:bottom w:w="80" w:type="dxa"/>
              <w:right w:w="80" w:type="dxa"/>
            </w:tcMar>
          </w:tcPr>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第五条  </w:t>
            </w:r>
            <w:r>
              <w:rPr>
                <w:rFonts w:hint="eastAsia" w:ascii="宋体" w:hAnsi="宋体" w:eastAsia="宋体" w:cs="宋体"/>
                <w:color w:val="auto"/>
                <w:sz w:val="21"/>
                <w:szCs w:val="21"/>
              </w:rPr>
              <w:t>机关、团体、企事业单位及其他单位应当组织本单位适龄公民参加义务植树活动。鼓励个人参加义务植树活动。</w:t>
            </w:r>
          </w:p>
          <w:p>
            <w:p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各级人民政府、各单位应当做好义务植树的年度计划，每年安排一定资金用于开展义务植树活动。</w:t>
            </w:r>
          </w:p>
          <w:p>
            <w:pPr>
              <w:pStyle w:val="8"/>
              <w:spacing w:line="240" w:lineRule="auto"/>
              <w:ind w:firstLine="422" w:firstLineChars="200"/>
              <w:jc w:val="both"/>
              <w:rPr>
                <w:rFonts w:hint="eastAsia" w:ascii="宋体" w:hAnsi="宋体" w:eastAsia="宋体" w:cs="宋体"/>
                <w:b/>
                <w:color w:val="auto"/>
                <w:sz w:val="21"/>
                <w:szCs w:val="21"/>
              </w:rPr>
            </w:pPr>
          </w:p>
        </w:tc>
        <w:tc>
          <w:tcPr>
            <w:tcW w:w="5670" w:type="dxa"/>
            <w:shd w:val="clear" w:color="auto" w:fill="auto"/>
            <w:tcMar>
              <w:top w:w="80" w:type="dxa"/>
              <w:left w:w="80" w:type="dxa"/>
              <w:bottom w:w="80" w:type="dxa"/>
              <w:right w:w="80" w:type="dxa"/>
            </w:tcMar>
          </w:tcPr>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《辽宁省城镇绿化条例》（2012年1月5日辽宁省第十一届人民代表大会常务委员会第27次会议通过，2017年9月28日修正版）</w:t>
            </w:r>
          </w:p>
          <w:p>
            <w:pPr>
              <w:numPr>
                <w:ilvl w:val="0"/>
                <w:numId w:val="0"/>
              </w:numPr>
              <w:shd w:val="clear" w:color="auto" w:fill="FFFFFF"/>
              <w:adjustRightInd w:val="0"/>
              <w:snapToGrid w:val="0"/>
              <w:spacing w:line="240" w:lineRule="auto"/>
              <w:ind w:firstLine="422" w:firstLineChars="200"/>
              <w:jc w:val="both"/>
              <w:textAlignment w:val="baseline"/>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eastAsia="zh-CN"/>
              </w:rPr>
              <w:t>第六条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城镇中的单位和有劳动能力的公民，应当依照国家有关规定履行植树或者其他绿化义务。</w:t>
            </w:r>
          </w:p>
          <w:p>
            <w:pPr>
              <w:pStyle w:val="20"/>
              <w:widowControl/>
              <w:spacing w:line="240" w:lineRule="auto"/>
              <w:ind w:firstLine="420" w:firstLineChars="200"/>
              <w:rPr>
                <w:rFonts w:hint="eastAsia" w:ascii="宋体" w:hAnsi="宋体" w:eastAsia="宋体" w:cs="宋体"/>
                <w:b/>
                <w:bCs w:val="0"/>
                <w:color w:val="auto"/>
                <w:sz w:val="21"/>
                <w:szCs w:val="21"/>
              </w:rPr>
            </w:pPr>
            <w:r>
              <w:rPr>
                <w:rFonts w:hint="eastAsia" w:ascii="宋体" w:hAnsi="宋体" w:eastAsia="宋体" w:cs="宋体"/>
                <w:bCs/>
                <w:color w:val="auto"/>
                <w:sz w:val="21"/>
                <w:szCs w:val="21"/>
              </w:rPr>
              <w:t>鼓励单位和个人以投资、捐资、认养等形式参与城镇绿化建设。捐资、认养的单位和个人可以享有绿地、树木一定期限的冠名权。</w:t>
            </w:r>
          </w:p>
        </w:tc>
        <w:tc>
          <w:tcPr>
            <w:tcW w:w="4119" w:type="dxa"/>
            <w:shd w:val="clear" w:color="auto" w:fill="auto"/>
            <w:tcMar>
              <w:top w:w="80" w:type="dxa"/>
              <w:left w:w="80" w:type="dxa"/>
              <w:bottom w:w="80" w:type="dxa"/>
              <w:right w:w="80" w:type="dxa"/>
            </w:tcMar>
          </w:tcPr>
          <w:p>
            <w:pPr>
              <w:spacing w:line="240" w:lineRule="auto"/>
              <w:ind w:firstLine="420" w:firstLineChars="20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zh-TW"/>
              </w:rPr>
              <w:t>《北京市绿化条例》（</w:t>
            </w:r>
            <w:r>
              <w:rPr>
                <w:rFonts w:hint="eastAsia" w:ascii="宋体" w:hAnsi="宋体" w:eastAsia="宋体" w:cs="宋体"/>
                <w:bCs/>
                <w:color w:val="auto"/>
                <w:sz w:val="21"/>
                <w:szCs w:val="21"/>
              </w:rPr>
              <w:t>2009年11月20日北京市第十三届人民代表大会常务委员会第十四次会议通过，2019年7月26日修正版）</w:t>
            </w:r>
          </w:p>
          <w:p>
            <w:pPr>
              <w:spacing w:line="240" w:lineRule="auto"/>
              <w:ind w:firstLine="422" w:firstLineChars="200"/>
              <w:jc w:val="both"/>
              <w:rPr>
                <w:rFonts w:hint="eastAsia" w:ascii="宋体" w:hAnsi="宋体" w:eastAsia="宋体" w:cs="宋体"/>
                <w:bCs/>
                <w:color w:val="auto"/>
                <w:sz w:val="21"/>
                <w:szCs w:val="21"/>
              </w:rPr>
            </w:pPr>
            <w:r>
              <w:rPr>
                <w:rFonts w:hint="eastAsia" w:ascii="宋体" w:hAnsi="宋体" w:eastAsia="宋体" w:cs="宋体"/>
                <w:b/>
                <w:bCs w:val="0"/>
                <w:color w:val="auto"/>
                <w:sz w:val="21"/>
                <w:szCs w:val="21"/>
              </w:rPr>
              <w:t>第三十二条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机关、团体、企业事业单位及其他单位应当组织本单位适龄公民参加植树活动。鼓励个人参加所在地区的义务植树活动。</w:t>
            </w:r>
          </w:p>
          <w:p>
            <w:pPr>
              <w:pStyle w:val="2"/>
              <w:spacing w:line="240" w:lineRule="auto"/>
              <w:ind w:left="0" w:lef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驻本市的中国人民解放军和武</w:t>
            </w:r>
            <w:r>
              <w:rPr>
                <w:rFonts w:hint="eastAsia" w:ascii="宋体" w:hAnsi="宋体" w:eastAsia="宋体" w:cs="宋体"/>
                <w:sz w:val="21"/>
                <w:szCs w:val="21"/>
              </w:rPr>
              <w:t>警部队，依据国务院和中央军委有关规定参加</w:t>
            </w:r>
            <w:r>
              <w:rPr>
                <w:rFonts w:hint="eastAsia" w:ascii="宋体" w:hAnsi="宋体" w:eastAsia="宋体" w:cs="宋体"/>
                <w:bCs/>
                <w:color w:val="auto"/>
                <w:sz w:val="21"/>
                <w:szCs w:val="21"/>
              </w:rPr>
              <w:t>义务植树活动。</w:t>
            </w:r>
          </w:p>
          <w:p>
            <w:pPr>
              <w:pStyle w:val="2"/>
              <w:spacing w:line="240" w:lineRule="auto"/>
              <w:ind w:firstLine="31680"/>
              <w:rPr>
                <w:rFonts w:hint="eastAsia" w:ascii="宋体" w:hAnsi="宋体" w:eastAsia="宋体" w:cs="宋体"/>
                <w:bCs/>
                <w:color w:val="auto"/>
                <w:sz w:val="21"/>
                <w:szCs w:val="21"/>
              </w:rPr>
            </w:pPr>
            <w:r>
              <w:rPr>
                <w:rFonts w:hint="eastAsia" w:ascii="宋体" w:hAnsi="宋体" w:eastAsia="宋体" w:cs="宋体"/>
                <w:bCs/>
                <w:color w:val="auto"/>
                <w:sz w:val="21"/>
                <w:szCs w:val="21"/>
              </w:rPr>
              <w:t>各级绿化委员会统一领导、组织协调本地区的义务植树和造林绿化工作。</w:t>
            </w:r>
          </w:p>
          <w:p>
            <w:pPr>
              <w:pStyle w:val="8"/>
              <w:shd w:val="clear" w:color="auto" w:fill="FFFFFF"/>
              <w:spacing w:before="0" w:after="0" w:line="240" w:lineRule="auto"/>
              <w:ind w:firstLine="480"/>
              <w:rPr>
                <w:rFonts w:hint="eastAsia" w:ascii="宋体" w:hAnsi="宋体" w:eastAsia="宋体" w:cs="宋体"/>
                <w:bCs/>
                <w:color w:val="auto"/>
                <w:sz w:val="21"/>
                <w:szCs w:val="21"/>
                <w:lang w:val="zh-TW" w:eastAsia="zh-TW"/>
              </w:rPr>
            </w:pPr>
            <w:r>
              <w:rPr>
                <w:rFonts w:hint="eastAsia" w:ascii="宋体" w:hAnsi="宋体" w:eastAsia="宋体" w:cs="宋体"/>
                <w:b/>
                <w:bCs w:val="0"/>
                <w:color w:val="auto"/>
                <w:sz w:val="21"/>
                <w:szCs w:val="21"/>
              </w:rPr>
              <w:t>第三十八条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各级人民政府、各单位应当根据义务植树规划和年度计划，每年安排一定资金用于开展义务植树活动。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投诉举报</w:t>
            </w:r>
          </w:p>
        </w:tc>
        <w:tc>
          <w:tcPr>
            <w:tcW w:w="5010" w:type="dxa"/>
            <w:shd w:val="clear" w:color="auto" w:fill="auto"/>
            <w:tcMar>
              <w:top w:w="80" w:type="dxa"/>
              <w:left w:w="80" w:type="dxa"/>
              <w:bottom w:w="80" w:type="dxa"/>
              <w:right w:w="80" w:type="dxa"/>
            </w:tcMar>
          </w:tcPr>
          <w:p>
            <w:pPr>
              <w:spacing w:line="240" w:lineRule="auto"/>
              <w:ind w:firstLine="422" w:firstLineChars="200"/>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第六条  </w:t>
            </w:r>
            <w:r>
              <w:rPr>
                <w:rFonts w:hint="eastAsia" w:ascii="宋体" w:hAnsi="宋体" w:eastAsia="宋体" w:cs="宋体"/>
                <w:color w:val="auto"/>
                <w:sz w:val="21"/>
                <w:szCs w:val="21"/>
              </w:rPr>
              <w:t>任何单位和个人都有权制止、投诉和举报损害绿化的行为。</w:t>
            </w:r>
          </w:p>
          <w:p>
            <w:pPr>
              <w:pStyle w:val="8"/>
              <w:spacing w:line="240" w:lineRule="auto"/>
              <w:ind w:firstLine="422" w:firstLineChars="200"/>
              <w:jc w:val="both"/>
              <w:rPr>
                <w:rFonts w:hint="eastAsia" w:ascii="宋体" w:hAnsi="宋体" w:eastAsia="宋体" w:cs="宋体"/>
                <w:b/>
                <w:color w:val="auto"/>
                <w:sz w:val="21"/>
                <w:szCs w:val="21"/>
              </w:rPr>
            </w:pPr>
          </w:p>
        </w:tc>
        <w:tc>
          <w:tcPr>
            <w:tcW w:w="5670" w:type="dxa"/>
            <w:shd w:val="clear" w:color="auto" w:fill="auto"/>
            <w:tcMar>
              <w:top w:w="80" w:type="dxa"/>
              <w:left w:w="80" w:type="dxa"/>
              <w:bottom w:w="80" w:type="dxa"/>
              <w:right w:w="80" w:type="dxa"/>
            </w:tcMar>
          </w:tcPr>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rPr>
              <w:t>《</w:t>
            </w:r>
            <w:r>
              <w:rPr>
                <w:rFonts w:hint="eastAsia" w:ascii="宋体" w:hAnsi="宋体" w:eastAsia="宋体" w:cs="宋体"/>
                <w:bCs/>
                <w:color w:val="auto"/>
                <w:sz w:val="21"/>
                <w:szCs w:val="21"/>
                <w:lang w:val="zh-TW" w:eastAsia="zh-TW"/>
              </w:rPr>
              <w:t>辽宁省城镇绿化条例</w:t>
            </w:r>
            <w:r>
              <w:rPr>
                <w:rFonts w:hint="eastAsia" w:ascii="宋体" w:hAnsi="宋体" w:eastAsia="宋体" w:cs="宋体"/>
                <w:bCs/>
                <w:color w:val="auto"/>
                <w:sz w:val="21"/>
                <w:szCs w:val="21"/>
                <w:lang w:val="zh-TW"/>
              </w:rPr>
              <w:t>》</w:t>
            </w:r>
            <w:r>
              <w:rPr>
                <w:rFonts w:hint="eastAsia" w:ascii="宋体" w:hAnsi="宋体" w:eastAsia="宋体" w:cs="宋体"/>
                <w:bCs/>
                <w:color w:val="auto"/>
                <w:sz w:val="21"/>
                <w:szCs w:val="21"/>
                <w:lang w:val="zh-TW" w:eastAsia="zh-TW"/>
              </w:rPr>
              <w:t>（2012年1月5日辽宁省第十一届人民代表大会常务委员会第27次会议通过</w:t>
            </w:r>
            <w:r>
              <w:rPr>
                <w:rFonts w:hint="eastAsia" w:ascii="宋体" w:hAnsi="宋体" w:eastAsia="宋体" w:cs="宋体"/>
                <w:bCs/>
                <w:color w:val="auto"/>
                <w:sz w:val="21"/>
                <w:szCs w:val="21"/>
                <w:lang w:val="zh-TW"/>
              </w:rPr>
              <w:t>，</w:t>
            </w:r>
            <w:r>
              <w:rPr>
                <w:rFonts w:hint="eastAsia" w:ascii="宋体" w:hAnsi="宋体" w:eastAsia="宋体" w:cs="宋体"/>
                <w:bCs/>
                <w:color w:val="auto"/>
                <w:sz w:val="21"/>
                <w:szCs w:val="21"/>
                <w:lang w:val="zh-TW" w:eastAsia="zh-TW"/>
              </w:rPr>
              <w:t>2017年9月28日修正</w:t>
            </w:r>
            <w:r>
              <w:rPr>
                <w:rFonts w:hint="eastAsia" w:ascii="宋体" w:hAnsi="宋体" w:eastAsia="宋体" w:cs="宋体"/>
                <w:bCs/>
                <w:color w:val="auto"/>
                <w:sz w:val="21"/>
                <w:szCs w:val="21"/>
                <w:lang w:val="zh-TW"/>
              </w:rPr>
              <w:t>版</w:t>
            </w:r>
            <w:r>
              <w:rPr>
                <w:rFonts w:hint="eastAsia" w:ascii="宋体" w:hAnsi="宋体" w:eastAsia="宋体" w:cs="宋体"/>
                <w:bCs/>
                <w:color w:val="auto"/>
                <w:sz w:val="21"/>
                <w:szCs w:val="21"/>
                <w:lang w:val="zh-TW" w:eastAsia="zh-TW"/>
              </w:rPr>
              <w:t>）</w:t>
            </w:r>
          </w:p>
          <w:p>
            <w:pPr>
              <w:numPr>
                <w:ilvl w:val="0"/>
                <w:numId w:val="0"/>
              </w:numPr>
              <w:shd w:val="clear" w:color="auto" w:fill="FFFFFF"/>
              <w:adjustRightInd w:val="0"/>
              <w:snapToGrid w:val="0"/>
              <w:spacing w:line="240" w:lineRule="auto"/>
              <w:ind w:firstLine="422" w:firstLineChars="200"/>
              <w:jc w:val="both"/>
              <w:textAlignment w:val="baseline"/>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eastAsia="zh-CN"/>
              </w:rPr>
              <w:t>第七条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eastAsia="zh-TW"/>
              </w:rPr>
              <w:t> </w:t>
            </w:r>
            <w:r>
              <w:rPr>
                <w:rFonts w:hint="eastAsia" w:ascii="宋体" w:hAnsi="宋体" w:eastAsia="宋体" w:cs="宋体"/>
                <w:bCs/>
                <w:color w:val="auto"/>
                <w:sz w:val="21"/>
                <w:szCs w:val="21"/>
                <w:lang w:val="zh-TW"/>
              </w:rPr>
              <w:t>单位和个人应当爱护城镇绿化植物和设施，有权对破坏行为进行劝阻、投诉和举报。</w:t>
            </w:r>
          </w:p>
          <w:p>
            <w:pPr>
              <w:pStyle w:val="20"/>
              <w:widowControl/>
              <w:spacing w:line="240" w:lineRule="auto"/>
              <w:ind w:firstLine="420" w:firstLineChars="200"/>
              <w:rPr>
                <w:rFonts w:hint="eastAsia" w:ascii="宋体" w:hAnsi="宋体" w:eastAsia="宋体" w:cs="宋体"/>
                <w:b/>
                <w:bCs w:val="0"/>
                <w:color w:val="auto"/>
                <w:sz w:val="21"/>
                <w:szCs w:val="21"/>
              </w:rPr>
            </w:pPr>
            <w:r>
              <w:rPr>
                <w:rFonts w:hint="eastAsia" w:ascii="宋体" w:hAnsi="宋体" w:eastAsia="宋体" w:cs="宋体"/>
                <w:bCs/>
                <w:color w:val="auto"/>
                <w:sz w:val="21"/>
                <w:szCs w:val="21"/>
                <w:lang w:val="zh-TW"/>
              </w:rPr>
              <w:t>省住房和城乡建设行政主管部门和市、县城镇绿化行政主管部门以及镇人民政府应当建立举报制度，受理有关城镇绿化的举报；举报事项经调查核实后，应当依法及时处理。</w:t>
            </w:r>
          </w:p>
        </w:tc>
        <w:tc>
          <w:tcPr>
            <w:tcW w:w="4119" w:type="dxa"/>
            <w:shd w:val="clear" w:color="auto" w:fill="auto"/>
            <w:tcMar>
              <w:top w:w="80" w:type="dxa"/>
              <w:left w:w="80" w:type="dxa"/>
              <w:bottom w:w="80" w:type="dxa"/>
              <w:right w:w="80" w:type="dxa"/>
            </w:tcMar>
          </w:tcPr>
          <w:p>
            <w:pPr>
              <w:pStyle w:val="2"/>
              <w:spacing w:line="240" w:lineRule="auto"/>
              <w:ind w:firstLine="31680"/>
              <w:rPr>
                <w:rFonts w:hint="eastAsia" w:ascii="宋体" w:hAnsi="宋体" w:eastAsia="宋体" w:cs="宋体"/>
                <w:bCs/>
                <w:color w:val="auto"/>
                <w:sz w:val="21"/>
                <w:szCs w:val="21"/>
              </w:rPr>
            </w:pPr>
            <w:r>
              <w:rPr>
                <w:rFonts w:hint="eastAsia" w:ascii="宋体" w:hAnsi="宋体" w:eastAsia="宋体" w:cs="宋体"/>
                <w:bCs/>
                <w:color w:val="auto"/>
                <w:sz w:val="21"/>
                <w:szCs w:val="21"/>
                <w:lang w:val="zh-TW"/>
              </w:rPr>
              <w:t>《汕头经济特区城市绿化条例》（</w:t>
            </w:r>
            <w:r>
              <w:rPr>
                <w:rFonts w:hint="eastAsia" w:ascii="宋体" w:hAnsi="宋体" w:eastAsia="宋体" w:cs="宋体"/>
                <w:bCs/>
                <w:color w:val="auto"/>
                <w:sz w:val="21"/>
                <w:szCs w:val="21"/>
              </w:rPr>
              <w:t>2011年10月31日汕头市第十二届人民代表大会常务委员会第三十七次会议通过，2018年12月27日修正版）</w:t>
            </w:r>
          </w:p>
          <w:p>
            <w:pPr>
              <w:pStyle w:val="8"/>
              <w:shd w:val="clear" w:color="auto" w:fill="FFFFFF"/>
              <w:spacing w:before="0" w:after="0" w:line="240" w:lineRule="auto"/>
              <w:ind w:firstLine="480"/>
              <w:rPr>
                <w:rFonts w:hint="eastAsia" w:ascii="宋体" w:hAnsi="宋体" w:eastAsia="宋体" w:cs="宋体"/>
                <w:bCs/>
                <w:color w:val="auto"/>
                <w:sz w:val="21"/>
                <w:szCs w:val="21"/>
                <w:lang w:val="zh-TW" w:eastAsia="zh-TW"/>
              </w:rPr>
            </w:pPr>
            <w:r>
              <w:rPr>
                <w:rFonts w:hint="eastAsia" w:ascii="宋体" w:hAnsi="宋体" w:eastAsia="宋体" w:cs="宋体"/>
                <w:b/>
                <w:bCs w:val="0"/>
                <w:color w:val="auto"/>
                <w:sz w:val="21"/>
                <w:szCs w:val="21"/>
              </w:rPr>
              <w:t>第七条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任何单位和个人都有权制止、投诉和举报损害城市绿化、破坏生态环境的行为。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6163" w:type="dxa"/>
            <w:gridSpan w:val="4"/>
            <w:shd w:val="clear" w:color="auto" w:fill="auto"/>
            <w:tcMar>
              <w:top w:w="80" w:type="dxa"/>
              <w:left w:w="80" w:type="dxa"/>
              <w:bottom w:w="80" w:type="dxa"/>
              <w:right w:w="80" w:type="dxa"/>
            </w:tcMar>
            <w:vAlign w:val="center"/>
          </w:tcPr>
          <w:p>
            <w:pPr>
              <w:pStyle w:val="20"/>
              <w:widowControl/>
              <w:ind w:firstLine="562" w:firstLineChars="200"/>
              <w:jc w:val="center"/>
              <w:rPr>
                <w:rFonts w:hint="eastAsia" w:asciiTheme="minorEastAsia" w:hAnsiTheme="minorEastAsia" w:eastAsiaTheme="minorEastAsia" w:cstheme="minorEastAsia"/>
                <w:b/>
                <w:color w:val="000000" w:themeColor="text1"/>
                <w:kern w:val="0"/>
                <w:sz w:val="28"/>
                <w:szCs w:val="28"/>
                <w:lang w:val="zh-TW" w:eastAsia="zh-CN"/>
                <w14:textFill>
                  <w14:solidFill>
                    <w14:schemeClr w14:val="tx1"/>
                  </w14:solidFill>
                </w14:textFill>
              </w:rPr>
            </w:pPr>
            <w:r>
              <w:rPr>
                <w:rFonts w:cs="Times New Roman" w:asciiTheme="minorEastAsia" w:hAnsiTheme="minorEastAsia" w:eastAsiaTheme="minorEastAsia"/>
                <w:b/>
                <w:sz w:val="28"/>
                <w:szCs w:val="28"/>
                <w:lang w:val="zh-TW" w:eastAsia="zh-TW"/>
              </w:rPr>
              <w:t>第</w:t>
            </w:r>
            <w:r>
              <w:rPr>
                <w:rFonts w:hint="eastAsia" w:cs="Times New Roman" w:asciiTheme="minorEastAsia" w:hAnsiTheme="minorEastAsia" w:eastAsiaTheme="minorEastAsia"/>
                <w:b/>
                <w:sz w:val="28"/>
                <w:szCs w:val="28"/>
                <w:lang w:val="zh-TW"/>
              </w:rPr>
              <w:t>二</w:t>
            </w:r>
            <w:r>
              <w:rPr>
                <w:rFonts w:cs="Times New Roman" w:asciiTheme="minorEastAsia" w:hAnsiTheme="minorEastAsia" w:eastAsiaTheme="minorEastAsia"/>
                <w:b/>
                <w:sz w:val="28"/>
                <w:szCs w:val="28"/>
                <w:lang w:val="zh-TW" w:eastAsia="zh-TW"/>
              </w:rPr>
              <w:t xml:space="preserve">章 </w:t>
            </w:r>
            <w:r>
              <w:rPr>
                <w:rFonts w:cs="Times New Roman" w:asciiTheme="minorEastAsia" w:hAnsiTheme="minorEastAsia" w:eastAsiaTheme="minorEastAsia"/>
                <w:b/>
                <w:sz w:val="28"/>
                <w:szCs w:val="28"/>
              </w:rPr>
              <w:t xml:space="preserve"> </w:t>
            </w:r>
            <w:r>
              <w:rPr>
                <w:rFonts w:hint="eastAsia" w:asciiTheme="minorEastAsia" w:hAnsiTheme="minorEastAsia" w:eastAsiaTheme="minorEastAsia"/>
                <w:b/>
                <w:sz w:val="28"/>
                <w:szCs w:val="28"/>
                <w:lang w:eastAsia="zh-CN"/>
              </w:rPr>
              <w:t>规划和建设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160"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color w:val="auto"/>
                <w:sz w:val="21"/>
                <w:szCs w:val="21"/>
                <w:highlight w:val="none"/>
                <w:lang w:val="zh-TW" w:eastAsia="zh-TW"/>
              </w:rPr>
            </w:pPr>
            <w:r>
              <w:rPr>
                <w:rFonts w:hint="eastAsia" w:ascii="宋体" w:hAnsi="宋体" w:eastAsia="宋体" w:cs="宋体"/>
                <w:b/>
                <w:bCs w:val="0"/>
                <w:color w:val="auto"/>
                <w:sz w:val="21"/>
                <w:szCs w:val="21"/>
                <w:highlight w:val="none"/>
              </w:rPr>
              <w:t>绿线管理</w:t>
            </w:r>
          </w:p>
        </w:tc>
        <w:tc>
          <w:tcPr>
            <w:tcW w:w="5010" w:type="dxa"/>
            <w:shd w:val="clear" w:color="auto" w:fill="auto"/>
            <w:tcMar>
              <w:top w:w="80" w:type="dxa"/>
              <w:left w:w="80" w:type="dxa"/>
              <w:bottom w:w="80" w:type="dxa"/>
              <w:right w:w="80" w:type="dxa"/>
            </w:tcMar>
          </w:tcPr>
          <w:p>
            <w:pPr>
              <w:spacing w:line="24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 xml:space="preserve">第七条  </w:t>
            </w:r>
            <w:r>
              <w:rPr>
                <w:rFonts w:hint="eastAsia" w:ascii="宋体" w:hAnsi="宋体" w:eastAsia="宋体" w:cs="宋体"/>
                <w:color w:val="auto"/>
                <w:sz w:val="21"/>
                <w:szCs w:val="21"/>
                <w:highlight w:val="none"/>
              </w:rPr>
              <w:t>建设项目应当按照规划安排附属绿化用地。</w:t>
            </w:r>
          </w:p>
          <w:p>
            <w:p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建设项目附属绿化用地面积占建设项目用地面积比例不得低于辽宁省规定的标准，其中新建居住区、居住小区不得低于百分之三十五, 改造的老旧小区绿地占比可以适当降低，但降幅不得超过五个百分点。</w:t>
            </w:r>
          </w:p>
          <w:p>
            <w:pPr>
              <w:pStyle w:val="2"/>
              <w:spacing w:line="240" w:lineRule="auto"/>
              <w:ind w:firstLine="316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然资源部门应当对建设项目设计方案中的配套绿化用地进行审查，配套绿化用地面积未达到本条例规定标准的，不予核发建设工程规划许可证。自然资源部门在规划验收时，建设工程项目的配套绿化用地面积不符合建设工程规划许可证要求的，不予通过规划验收</w:t>
            </w:r>
            <w:r>
              <w:rPr>
                <w:rFonts w:hint="eastAsia" w:ascii="宋体" w:hAnsi="宋体" w:eastAsia="宋体" w:cs="宋体"/>
                <w:b/>
                <w:bCs/>
                <w:color w:val="auto"/>
                <w:kern w:val="0"/>
                <w:sz w:val="21"/>
                <w:szCs w:val="21"/>
                <w:highlight w:val="none"/>
                <w:lang w:val="zh-CN"/>
              </w:rPr>
              <w:t>。</w:t>
            </w:r>
          </w:p>
          <w:p>
            <w:p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建设单位报送的建设工程设计方案应当包括附属绿化用地平面图并标明绿化用地的面积和位置。</w:t>
            </w:r>
          </w:p>
          <w:p>
            <w:p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公共绿地和单位绿地、居住区绿地的建设，应当以植物造景为主。</w:t>
            </w:r>
          </w:p>
          <w:p>
            <w:pPr>
              <w:pStyle w:val="20"/>
              <w:widowControl/>
              <w:spacing w:line="240" w:lineRule="auto"/>
              <w:ind w:firstLine="420" w:firstLineChars="200"/>
              <w:rPr>
                <w:rFonts w:hint="eastAsia" w:ascii="宋体" w:hAnsi="宋体" w:eastAsia="宋体" w:cs="宋体"/>
                <w:bCs/>
                <w:color w:val="auto"/>
                <w:kern w:val="0"/>
                <w:sz w:val="21"/>
                <w:szCs w:val="21"/>
                <w:highlight w:val="none"/>
              </w:rPr>
            </w:pPr>
          </w:p>
        </w:tc>
        <w:tc>
          <w:tcPr>
            <w:tcW w:w="5670" w:type="dxa"/>
            <w:shd w:val="clear" w:color="auto" w:fill="auto"/>
            <w:tcMar>
              <w:top w:w="80" w:type="dxa"/>
              <w:left w:w="80" w:type="dxa"/>
              <w:bottom w:w="80" w:type="dxa"/>
              <w:right w:w="80" w:type="dxa"/>
            </w:tcMar>
          </w:tcPr>
          <w:p>
            <w:pPr>
              <w:pStyle w:val="20"/>
              <w:widowControl/>
              <w:spacing w:line="240" w:lineRule="auto"/>
              <w:ind w:firstLine="420" w:firstLineChars="200"/>
              <w:rPr>
                <w:rFonts w:hint="eastAsia" w:ascii="宋体" w:hAnsi="宋体" w:eastAsia="宋体" w:cs="宋体"/>
                <w:bCs/>
                <w:color w:val="auto"/>
                <w:kern w:val="0"/>
                <w:sz w:val="21"/>
                <w:szCs w:val="21"/>
                <w:highlight w:val="none"/>
                <w:lang w:val="zh-TW"/>
              </w:rPr>
            </w:pPr>
            <w:r>
              <w:rPr>
                <w:rFonts w:hint="eastAsia" w:ascii="宋体" w:hAnsi="宋体" w:eastAsia="宋体" w:cs="宋体"/>
                <w:bCs/>
                <w:color w:val="auto"/>
                <w:kern w:val="0"/>
                <w:sz w:val="21"/>
                <w:szCs w:val="21"/>
                <w:highlight w:val="none"/>
                <w:lang w:val="zh-TW"/>
              </w:rPr>
              <w:t>《城市绿化条例》（经1992年5月20日国务院第104次常务会议通过，自1992年8月1日起施行。根据2011年1月8日《国务院关于废止和修改部分行政法规的决定》修订。</w:t>
            </w:r>
          </w:p>
          <w:p>
            <w:pPr>
              <w:pStyle w:val="20"/>
              <w:widowControl/>
              <w:spacing w:line="240" w:lineRule="auto"/>
              <w:ind w:firstLine="420" w:firstLineChars="200"/>
              <w:rPr>
                <w:rFonts w:hint="eastAsia" w:ascii="宋体" w:hAnsi="宋体" w:eastAsia="宋体" w:cs="宋体"/>
                <w:bCs/>
                <w:color w:val="auto"/>
                <w:kern w:val="0"/>
                <w:sz w:val="21"/>
                <w:szCs w:val="21"/>
                <w:highlight w:val="none"/>
                <w:lang w:val="zh-TW"/>
              </w:rPr>
            </w:pPr>
            <w:r>
              <w:rPr>
                <w:rFonts w:hint="eastAsia" w:ascii="宋体" w:hAnsi="宋体" w:eastAsia="宋体" w:cs="宋体"/>
                <w:bCs/>
                <w:color w:val="auto"/>
                <w:kern w:val="0"/>
                <w:sz w:val="21"/>
                <w:szCs w:val="21"/>
                <w:highlight w:val="none"/>
                <w:lang w:val="zh-TW"/>
              </w:rPr>
              <w:t>现行版本根据2017年03月21日发布的《国务院关于修改和废止部分行政法规的决定》修订）</w:t>
            </w:r>
          </w:p>
          <w:p>
            <w:pPr>
              <w:pStyle w:val="20"/>
              <w:widowControl/>
              <w:spacing w:line="240" w:lineRule="auto"/>
              <w:ind w:firstLine="422" w:firstLineChars="200"/>
              <w:rPr>
                <w:rFonts w:hint="eastAsia" w:ascii="宋体" w:hAnsi="宋体" w:eastAsia="宋体" w:cs="宋体"/>
                <w:bCs/>
                <w:color w:val="auto"/>
                <w:sz w:val="21"/>
                <w:szCs w:val="21"/>
                <w:highlight w:val="none"/>
                <w:lang w:val="zh-TW"/>
              </w:rPr>
            </w:pPr>
            <w:r>
              <w:rPr>
                <w:rFonts w:hint="eastAsia" w:ascii="宋体" w:hAnsi="宋体" w:eastAsia="宋体" w:cs="宋体"/>
                <w:b/>
                <w:bCs w:val="0"/>
                <w:color w:val="auto"/>
                <w:kern w:val="0"/>
                <w:sz w:val="21"/>
                <w:szCs w:val="21"/>
                <w:highlight w:val="none"/>
                <w:lang w:val="zh-TW"/>
              </w:rPr>
              <w:t>第十二条</w:t>
            </w:r>
            <w:r>
              <w:rPr>
                <w:rFonts w:hint="eastAsia" w:ascii="宋体" w:hAnsi="宋体" w:eastAsia="宋体" w:cs="宋体"/>
                <w:bCs/>
                <w:color w:val="auto"/>
                <w:kern w:val="0"/>
                <w:sz w:val="21"/>
                <w:szCs w:val="21"/>
                <w:highlight w:val="none"/>
                <w:lang w:val="en-US" w:eastAsia="zh-CN"/>
              </w:rPr>
              <w:t xml:space="preserve">  </w:t>
            </w:r>
            <w:r>
              <w:rPr>
                <w:rFonts w:hint="eastAsia" w:ascii="宋体" w:hAnsi="宋体" w:eastAsia="宋体" w:cs="宋体"/>
                <w:bCs/>
                <w:color w:val="auto"/>
                <w:kern w:val="0"/>
                <w:sz w:val="21"/>
                <w:szCs w:val="21"/>
                <w:highlight w:val="none"/>
              </w:rPr>
              <w:t>城市绿化工程的设计，应当借鉴国内外先进经验，体现民族风格和地方特色。城市公共绿地和居住区绿地的建设，应当以植物造景为主，选用适合当地自然条件的树木花草，并适当配置泉、石、雕塑等景物。</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highlight w:val="none"/>
                <w:lang w:val="zh-TW"/>
              </w:rPr>
            </w:pPr>
            <w:r>
              <w:rPr>
                <w:rFonts w:hint="eastAsia" w:ascii="宋体" w:hAnsi="宋体" w:eastAsia="宋体" w:cs="宋体"/>
                <w:bCs/>
                <w:color w:val="auto"/>
                <w:sz w:val="21"/>
                <w:szCs w:val="21"/>
                <w:highlight w:val="none"/>
                <w:lang w:val="zh-TW"/>
              </w:rPr>
              <w:t>《辽宁省城镇绿化条例》（2012年1月5日辽宁省第十一届人民代表大会常务委员会第27次会议通过，2017年9月28日修正版）</w:t>
            </w:r>
          </w:p>
          <w:p>
            <w:pPr>
              <w:shd w:val="clear" w:color="auto" w:fill="FFFFFF"/>
              <w:adjustRightInd w:val="0"/>
              <w:snapToGrid w:val="0"/>
              <w:spacing w:line="240" w:lineRule="auto"/>
              <w:ind w:firstLine="422" w:firstLineChars="200"/>
              <w:jc w:val="both"/>
              <w:textAlignment w:val="baseline"/>
              <w:rPr>
                <w:rFonts w:hint="eastAsia" w:ascii="宋体" w:hAnsi="宋体" w:eastAsia="宋体" w:cs="宋体"/>
                <w:bCs/>
                <w:color w:val="auto"/>
                <w:sz w:val="21"/>
                <w:szCs w:val="21"/>
                <w:highlight w:val="none"/>
                <w:lang w:val="zh-TW" w:eastAsia="zh-TW"/>
              </w:rPr>
            </w:pPr>
            <w:r>
              <w:rPr>
                <w:rFonts w:hint="eastAsia" w:ascii="宋体" w:hAnsi="宋体" w:eastAsia="宋体" w:cs="宋体"/>
                <w:b/>
                <w:bCs w:val="0"/>
                <w:color w:val="auto"/>
                <w:sz w:val="21"/>
                <w:szCs w:val="21"/>
                <w:highlight w:val="none"/>
                <w:lang w:val="zh-TW" w:eastAsia="zh-TW"/>
              </w:rPr>
              <w:t>第十四条</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lang w:val="zh-TW" w:eastAsia="zh-TW"/>
              </w:rPr>
              <w:t>建设项目应当按照规划安排附属绿化用地。 </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highlight w:val="none"/>
                <w:lang w:val="zh-TW" w:eastAsia="zh-TW"/>
              </w:rPr>
            </w:pPr>
            <w:r>
              <w:rPr>
                <w:rFonts w:hint="eastAsia" w:ascii="宋体" w:hAnsi="宋体" w:eastAsia="宋体" w:cs="宋体"/>
                <w:bCs/>
                <w:color w:val="auto"/>
                <w:sz w:val="21"/>
                <w:szCs w:val="21"/>
                <w:highlight w:val="none"/>
                <w:lang w:val="zh-TW" w:eastAsia="zh-TW"/>
              </w:rPr>
              <w:t>城乡规划行政主管部门在办理相关审批手续时，应当按照绿地系统规划、控制性详细规划和下列标准确定建设项目附属绿化用地： </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highlight w:val="none"/>
                <w:lang w:val="zh-TW" w:eastAsia="zh-TW"/>
              </w:rPr>
            </w:pPr>
            <w:r>
              <w:rPr>
                <w:rFonts w:hint="eastAsia" w:ascii="宋体" w:hAnsi="宋体" w:eastAsia="宋体" w:cs="宋体"/>
                <w:bCs/>
                <w:color w:val="auto"/>
                <w:sz w:val="21"/>
                <w:szCs w:val="21"/>
                <w:highlight w:val="none"/>
                <w:lang w:val="zh-TW" w:eastAsia="zh-TW"/>
              </w:rPr>
              <w:t>（一）新建居住区的绿地面积不得低于居住区总用地面积的百分之三十； </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highlight w:val="none"/>
                <w:lang w:val="zh-TW" w:eastAsia="zh-TW"/>
              </w:rPr>
            </w:pPr>
            <w:r>
              <w:rPr>
                <w:rFonts w:hint="eastAsia" w:ascii="宋体" w:hAnsi="宋体" w:eastAsia="宋体" w:cs="宋体"/>
                <w:bCs/>
                <w:color w:val="auto"/>
                <w:sz w:val="21"/>
                <w:szCs w:val="21"/>
                <w:highlight w:val="none"/>
                <w:lang w:val="zh-TW" w:eastAsia="zh-TW"/>
              </w:rPr>
              <w:t>（二）城镇道路主干道绿化带用地面积不得低于道路总用地面积的百分之二十，次干道绿化带用地面积不得低于道路总用地面积的百分之十五； </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highlight w:val="none"/>
                <w:lang w:val="zh-TW" w:eastAsia="zh-TW"/>
              </w:rPr>
            </w:pPr>
            <w:r>
              <w:rPr>
                <w:rFonts w:hint="eastAsia" w:ascii="宋体" w:hAnsi="宋体" w:eastAsia="宋体" w:cs="宋体"/>
                <w:bCs/>
                <w:color w:val="auto"/>
                <w:sz w:val="21"/>
                <w:szCs w:val="21"/>
                <w:highlight w:val="none"/>
                <w:lang w:val="zh-TW" w:eastAsia="zh-TW"/>
              </w:rPr>
              <w:t>（三）学校、医院、休疗养院所、机关团体、公共文化设施等绿地面积不得低于单位总用地面积的百分之三十五； </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highlight w:val="none"/>
                <w:lang w:val="zh-TW" w:eastAsia="zh-TW"/>
              </w:rPr>
            </w:pPr>
            <w:r>
              <w:rPr>
                <w:rFonts w:hint="eastAsia" w:ascii="宋体" w:hAnsi="宋体" w:eastAsia="宋体" w:cs="宋体"/>
                <w:bCs/>
                <w:color w:val="auto"/>
                <w:sz w:val="21"/>
                <w:szCs w:val="21"/>
                <w:highlight w:val="none"/>
                <w:lang w:val="zh-TW" w:eastAsia="zh-TW"/>
              </w:rPr>
              <w:t>（四）交通枢纽、仓储、商业中心等绿地面积不得低于项目总用地面积的百分之二十； </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highlight w:val="none"/>
                <w:lang w:val="zh-TW" w:eastAsia="zh-TW"/>
              </w:rPr>
            </w:pPr>
            <w:r>
              <w:rPr>
                <w:rFonts w:hint="eastAsia" w:ascii="宋体" w:hAnsi="宋体" w:eastAsia="宋体" w:cs="宋体"/>
                <w:bCs/>
                <w:color w:val="auto"/>
                <w:sz w:val="21"/>
                <w:szCs w:val="21"/>
                <w:highlight w:val="none"/>
                <w:lang w:val="zh-TW" w:eastAsia="zh-TW"/>
              </w:rPr>
              <w:t>（五）产生有害性气体及污染企业的绿地面积不得低于项目总用地面积的百分之三十，并根据国家标准设立不少于五十米的防护林带； </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highlight w:val="none"/>
                <w:lang w:val="zh-TW" w:eastAsia="zh-TW"/>
              </w:rPr>
            </w:pPr>
            <w:r>
              <w:rPr>
                <w:rFonts w:hint="eastAsia" w:ascii="宋体" w:hAnsi="宋体" w:eastAsia="宋体" w:cs="宋体"/>
                <w:bCs/>
                <w:color w:val="auto"/>
                <w:sz w:val="21"/>
                <w:szCs w:val="21"/>
                <w:highlight w:val="none"/>
                <w:lang w:val="zh-TW" w:eastAsia="zh-TW"/>
              </w:rPr>
              <w:t>（六）城镇内河、海、湖等水体及铁路旁的防护林带宽度应当根据水利、铁路等用地范围，条件允许的应当不少于三十米，并符合河道防洪、铁路安全运输等要求； </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highlight w:val="none"/>
                <w:lang w:val="zh-TW" w:eastAsia="zh-TW"/>
              </w:rPr>
            </w:pPr>
            <w:r>
              <w:rPr>
                <w:rFonts w:hint="eastAsia" w:ascii="宋体" w:hAnsi="宋体" w:eastAsia="宋体" w:cs="宋体"/>
                <w:bCs/>
                <w:color w:val="auto"/>
                <w:sz w:val="21"/>
                <w:szCs w:val="21"/>
                <w:highlight w:val="none"/>
                <w:lang w:val="zh-TW" w:eastAsia="zh-TW"/>
              </w:rPr>
              <w:t>（七）生产绿地面积不得低于城镇建成区总面积的百分之二。 </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highlight w:val="none"/>
                <w:lang w:val="zh-TW" w:eastAsia="zh-TW"/>
              </w:rPr>
            </w:pPr>
            <w:r>
              <w:rPr>
                <w:rFonts w:hint="eastAsia" w:ascii="宋体" w:hAnsi="宋体" w:eastAsia="宋体" w:cs="宋体"/>
                <w:bCs/>
                <w:color w:val="auto"/>
                <w:sz w:val="21"/>
                <w:szCs w:val="21"/>
                <w:highlight w:val="none"/>
                <w:lang w:val="zh-TW" w:eastAsia="zh-TW"/>
              </w:rPr>
              <w:t>属于旧城改造区的建设项目附属绿化用地标准，按照国家有关规定执行，并严格履行审批程序。 </w:t>
            </w:r>
          </w:p>
          <w:p>
            <w:pPr>
              <w:pStyle w:val="20"/>
              <w:widowControl/>
              <w:spacing w:line="240" w:lineRule="auto"/>
              <w:ind w:firstLine="420" w:firstLineChars="200"/>
              <w:rPr>
                <w:rFonts w:hint="eastAsia" w:ascii="宋体" w:hAnsi="宋体" w:eastAsia="宋体" w:cs="宋体"/>
                <w:color w:val="auto"/>
                <w:sz w:val="21"/>
                <w:szCs w:val="21"/>
                <w:highlight w:val="none"/>
                <w:lang w:eastAsia="zh-TW"/>
              </w:rPr>
            </w:pPr>
          </w:p>
        </w:tc>
        <w:tc>
          <w:tcPr>
            <w:tcW w:w="4119" w:type="dxa"/>
            <w:shd w:val="clear" w:color="auto" w:fill="auto"/>
            <w:tcMar>
              <w:top w:w="80" w:type="dxa"/>
              <w:left w:w="80" w:type="dxa"/>
              <w:bottom w:w="80" w:type="dxa"/>
              <w:right w:w="80" w:type="dxa"/>
            </w:tcMar>
          </w:tcPr>
          <w:p>
            <w:pPr>
              <w:spacing w:line="240" w:lineRule="auto"/>
              <w:ind w:firstLine="420" w:firstLineChars="200"/>
              <w:jc w:val="both"/>
              <w:rPr>
                <w:rFonts w:hint="eastAsia" w:ascii="宋体" w:hAnsi="宋体" w:eastAsia="宋体" w:cs="宋体"/>
                <w:bCs/>
                <w:color w:val="auto"/>
                <w:sz w:val="21"/>
                <w:szCs w:val="21"/>
                <w:highlight w:val="none"/>
                <w:lang w:val="zh-TW" w:eastAsia="zh-TW"/>
              </w:rPr>
            </w:pPr>
            <w:r>
              <w:rPr>
                <w:rFonts w:hint="eastAsia" w:ascii="宋体" w:hAnsi="宋体" w:eastAsia="宋体" w:cs="宋体"/>
                <w:bCs/>
                <w:color w:val="auto"/>
                <w:sz w:val="21"/>
                <w:szCs w:val="21"/>
                <w:highlight w:val="none"/>
                <w:lang w:val="zh-TW" w:eastAsia="zh-TW"/>
              </w:rPr>
              <w:t>中华人民共和国住房和城乡建设部《国家园林城市标准》规定：“城市道路绿化符合《城市道路绿化规划与设计规范》，道路绿化普及率、达标率分别在95%和80%以上，市区干道绿化带面积不少于道路总用地面积的25%；新建居住小区绿化面积占总用地面积的30%以上，辟有休息活动园地，旧居住区改造，绿化面积不少于总用地面积的25%。</w:t>
            </w:r>
          </w:p>
          <w:p>
            <w:pPr>
              <w:spacing w:line="240" w:lineRule="auto"/>
              <w:ind w:firstLine="420" w:firstLineChars="200"/>
              <w:jc w:val="both"/>
              <w:rPr>
                <w:rFonts w:hint="eastAsia" w:ascii="宋体" w:hAnsi="宋体" w:eastAsia="宋体" w:cs="宋体"/>
                <w:bCs/>
                <w:color w:val="auto"/>
                <w:sz w:val="21"/>
                <w:szCs w:val="21"/>
                <w:highlight w:val="none"/>
                <w:lang w:val="zh-TW" w:eastAsia="zh-TW"/>
              </w:rPr>
            </w:pPr>
            <w:r>
              <w:rPr>
                <w:rFonts w:hint="eastAsia" w:ascii="宋体" w:hAnsi="宋体" w:eastAsia="宋体" w:cs="宋体"/>
                <w:bCs/>
                <w:color w:val="auto"/>
                <w:sz w:val="21"/>
                <w:szCs w:val="21"/>
                <w:highlight w:val="none"/>
                <w:lang w:val="zh-TW" w:eastAsia="zh-TW"/>
              </w:rPr>
              <w:t>中华人民共和国住房和城乡建设部《城市居住区规划设计规范》GB 50180-93规定：“绿地率：新区建设不应低于30％；旧区改建不宜低于25％。”</w:t>
            </w:r>
          </w:p>
          <w:p>
            <w:pPr>
              <w:spacing w:line="240" w:lineRule="auto"/>
              <w:ind w:firstLine="420" w:firstLineChars="20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zh-TW"/>
              </w:rPr>
              <w:t>《北京市绿化条例》（</w:t>
            </w:r>
            <w:r>
              <w:rPr>
                <w:rFonts w:hint="eastAsia" w:ascii="宋体" w:hAnsi="宋体" w:eastAsia="宋体" w:cs="宋体"/>
                <w:bCs/>
                <w:color w:val="auto"/>
                <w:sz w:val="21"/>
                <w:szCs w:val="21"/>
                <w:highlight w:val="none"/>
              </w:rPr>
              <w:t>2009年11月20日北京市第十三届人民代表大会常务委员会第十四次会议通过，2019年7月26日修正版）</w:t>
            </w:r>
          </w:p>
          <w:p>
            <w:pPr>
              <w:pStyle w:val="20"/>
              <w:widowControl/>
              <w:spacing w:line="240" w:lineRule="auto"/>
              <w:ind w:firstLine="422" w:firstLineChars="200"/>
              <w:rPr>
                <w:rFonts w:hint="eastAsia" w:ascii="宋体" w:hAnsi="宋体" w:eastAsia="宋体" w:cs="宋体"/>
                <w:bCs/>
                <w:color w:val="auto"/>
                <w:kern w:val="0"/>
                <w:sz w:val="21"/>
                <w:szCs w:val="21"/>
                <w:highlight w:val="none"/>
              </w:rPr>
            </w:pPr>
            <w:r>
              <w:rPr>
                <w:rFonts w:hint="eastAsia" w:ascii="宋体" w:hAnsi="宋体" w:eastAsia="宋体" w:cs="宋体"/>
                <w:b/>
                <w:bCs w:val="0"/>
                <w:color w:val="auto"/>
                <w:kern w:val="0"/>
                <w:sz w:val="21"/>
                <w:szCs w:val="21"/>
                <w:highlight w:val="none"/>
                <w:lang w:val="zh-TW"/>
              </w:rPr>
              <w:t>第二十条</w:t>
            </w:r>
            <w:r>
              <w:rPr>
                <w:rFonts w:hint="eastAsia" w:ascii="宋体" w:hAnsi="宋体" w:eastAsia="宋体" w:cs="宋体"/>
                <w:bCs/>
                <w:color w:val="auto"/>
                <w:kern w:val="0"/>
                <w:sz w:val="21"/>
                <w:szCs w:val="21"/>
                <w:highlight w:val="none"/>
                <w:lang w:val="en-US" w:eastAsia="zh-CN"/>
              </w:rPr>
              <w:t xml:space="preserve">  </w:t>
            </w:r>
            <w:r>
              <w:rPr>
                <w:rFonts w:hint="eastAsia" w:ascii="宋体" w:hAnsi="宋体" w:eastAsia="宋体" w:cs="宋体"/>
                <w:bCs/>
                <w:color w:val="auto"/>
                <w:kern w:val="0"/>
                <w:sz w:val="21"/>
                <w:szCs w:val="21"/>
                <w:highlight w:val="none"/>
              </w:rPr>
              <w:t>建设工程应当按照规划安排绿化用地。</w:t>
            </w:r>
          </w:p>
          <w:p>
            <w:pPr>
              <w:pStyle w:val="20"/>
              <w:widowControl/>
              <w:spacing w:line="240" w:lineRule="auto"/>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规划自然资源部门在办理相关审批手续时，应当按照绿地系统规划和详细规划确定建设工程附属绿化用地面积占建设工程用地总面积的比例。其中，新建居住区、居住小区绿化用地面积比例不得低于30%，并按照居住区人均不低于2平方米、居住小区人均不低于1平方米的标准建设集中绿地；成片开发或者改造的地区应当按照规划要求建设集中绿地，绿地建设费用纳入开发建设总投资。</w:t>
            </w:r>
          </w:p>
          <w:p>
            <w:pPr>
              <w:pStyle w:val="20"/>
              <w:widowControl/>
              <w:spacing w:line="240" w:lineRule="auto"/>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建设单位报送的建设工程设计方案应当包括附属绿化用地平面图并标明绿化用地的面积和位置。</w:t>
            </w:r>
          </w:p>
          <w:p>
            <w:pPr>
              <w:pStyle w:val="20"/>
              <w:widowControl/>
              <w:spacing w:line="240" w:lineRule="auto"/>
              <w:ind w:firstLine="420" w:firstLineChars="200"/>
              <w:rPr>
                <w:rFonts w:hint="eastAsia" w:ascii="宋体" w:hAnsi="宋体" w:eastAsia="宋体" w:cs="宋体"/>
                <w:color w:val="auto"/>
                <w:kern w:val="0"/>
                <w:sz w:val="21"/>
                <w:szCs w:val="21"/>
                <w:shd w:val="clear" w:color="auto" w:fill="FFFFFF"/>
                <w:lang w:val="en-US" w:eastAsia="zh-CN" w:bidi="ar"/>
              </w:rPr>
            </w:pPr>
            <w:r>
              <w:rPr>
                <w:rFonts w:hint="eastAsia" w:ascii="宋体" w:hAnsi="宋体" w:eastAsia="宋体" w:cs="宋体"/>
                <w:color w:val="auto"/>
                <w:kern w:val="0"/>
                <w:sz w:val="21"/>
                <w:szCs w:val="21"/>
                <w:shd w:val="clear" w:color="auto" w:fill="FFFFFF"/>
                <w:lang w:val="en-US" w:eastAsia="zh-CN" w:bidi="ar"/>
              </w:rPr>
              <w:t>《三明市城市园林</w:t>
            </w:r>
            <w:r>
              <w:rPr>
                <w:rStyle w:val="48"/>
                <w:rFonts w:hint="eastAsia" w:ascii="宋体" w:hAnsi="宋体" w:eastAsia="宋体" w:cs="宋体"/>
                <w:color w:val="auto"/>
                <w:sz w:val="21"/>
                <w:szCs w:val="21"/>
                <w:shd w:val="clear" w:color="auto" w:fill="FFFFFF"/>
                <w:lang w:val="en-US" w:eastAsia="zh-CN" w:bidi="ar"/>
              </w:rPr>
              <w:t>绿化</w:t>
            </w:r>
            <w:r>
              <w:rPr>
                <w:rFonts w:hint="eastAsia" w:ascii="宋体" w:hAnsi="宋体" w:eastAsia="宋体" w:cs="宋体"/>
                <w:color w:val="auto"/>
                <w:kern w:val="0"/>
                <w:sz w:val="21"/>
                <w:szCs w:val="21"/>
                <w:shd w:val="clear" w:color="auto" w:fill="FFFFFF"/>
                <w:lang w:val="en-US" w:eastAsia="zh-CN" w:bidi="ar"/>
              </w:rPr>
              <w:t>管理条例》(2019年4月25日三明市第十三届人民代表大会常务委员会第十八次会议通过,2019年7月26日福建省第十三届人民代表大会常务委员会第十一次会议批准)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Autospacing="0" w:afterAutospacing="0" w:line="240" w:lineRule="auto"/>
              <w:ind w:firstLine="422" w:firstLineChars="200"/>
              <w:jc w:val="left"/>
              <w:textAlignment w:val="auto"/>
              <w:rPr>
                <w:rFonts w:hint="eastAsia" w:ascii="宋体" w:hAnsi="宋体" w:eastAsia="宋体" w:cs="宋体"/>
                <w:color w:val="auto"/>
                <w:sz w:val="21"/>
                <w:szCs w:val="21"/>
              </w:rPr>
            </w:pPr>
            <w:bookmarkStart w:id="2" w:name="_GoBack"/>
            <w:r>
              <w:rPr>
                <w:rFonts w:hint="eastAsia" w:ascii="宋体" w:hAnsi="宋体" w:eastAsia="宋体" w:cs="宋体"/>
                <w:b/>
                <w:bCs/>
                <w:color w:val="auto"/>
                <w:kern w:val="0"/>
                <w:sz w:val="21"/>
                <w:szCs w:val="21"/>
                <w:shd w:val="clear" w:color="auto" w:fill="FFFFFF"/>
                <w:lang w:val="en-US" w:eastAsia="zh-CN" w:bidi="ar"/>
              </w:rPr>
              <w:t>第十条</w:t>
            </w:r>
            <w:bookmarkEnd w:id="2"/>
            <w:bookmarkStart w:id="0" w:name="tiao_10_kuan_1"/>
            <w:bookmarkEnd w:id="0"/>
            <w:r>
              <w:rPr>
                <w:rFonts w:hint="eastAsia" w:ascii="宋体" w:hAnsi="宋体" w:eastAsia="宋体" w:cs="宋体"/>
                <w:color w:val="auto"/>
                <w:kern w:val="0"/>
                <w:sz w:val="21"/>
                <w:szCs w:val="21"/>
                <w:shd w:val="clear" w:color="auto" w:fill="FFFFFF"/>
                <w:lang w:val="en-US" w:eastAsia="zh-CN" w:bidi="ar"/>
              </w:rPr>
              <w:t>　自然资源部门在核发建设工程规划许可证时，应当按照第九条的规定核实园林</w:t>
            </w:r>
            <w:r>
              <w:rPr>
                <w:rStyle w:val="48"/>
                <w:rFonts w:hint="eastAsia" w:ascii="宋体" w:hAnsi="宋体" w:eastAsia="宋体" w:cs="宋体"/>
                <w:color w:val="auto"/>
                <w:sz w:val="21"/>
                <w:szCs w:val="21"/>
                <w:shd w:val="clear" w:color="auto" w:fill="FFFFFF"/>
                <w:lang w:val="en-US" w:eastAsia="zh-CN" w:bidi="ar"/>
              </w:rPr>
              <w:t>绿化</w:t>
            </w:r>
            <w:r>
              <w:rPr>
                <w:rFonts w:hint="eastAsia" w:ascii="宋体" w:hAnsi="宋体" w:eastAsia="宋体" w:cs="宋体"/>
                <w:color w:val="auto"/>
                <w:kern w:val="0"/>
                <w:sz w:val="21"/>
                <w:szCs w:val="21"/>
                <w:shd w:val="clear" w:color="auto" w:fill="FFFFFF"/>
                <w:lang w:val="en-US" w:eastAsia="zh-CN" w:bidi="ar"/>
              </w:rPr>
              <w:t>用地面积；未达到要求的，不得核发。</w:t>
            </w:r>
            <w:r>
              <w:rPr>
                <w:rFonts w:hint="eastAsia" w:ascii="宋体" w:hAnsi="宋体" w:eastAsia="宋体" w:cs="宋体"/>
                <w:color w:val="auto"/>
                <w:kern w:val="0"/>
                <w:sz w:val="21"/>
                <w:szCs w:val="21"/>
                <w:shd w:val="clear" w:color="auto" w:fill="FFFFFF"/>
                <w:lang w:val="en-US" w:eastAsia="zh-CN" w:bidi="ar"/>
              </w:rPr>
              <w:fldChar w:fldCharType="begin"/>
            </w:r>
            <w:r>
              <w:rPr>
                <w:rFonts w:hint="eastAsia" w:ascii="宋体" w:hAnsi="宋体" w:eastAsia="宋体" w:cs="宋体"/>
                <w:color w:val="auto"/>
                <w:kern w:val="0"/>
                <w:sz w:val="21"/>
                <w:szCs w:val="21"/>
                <w:shd w:val="clear" w:color="auto" w:fill="FFFFFF"/>
                <w:lang w:val="en-US" w:eastAsia="zh-CN" w:bidi="ar"/>
              </w:rPr>
              <w:instrText xml:space="preserve"> HYPERLINK "https://www.pkulaw.com/lar/javascript:void(0);" </w:instrText>
            </w:r>
            <w:r>
              <w:rPr>
                <w:rFonts w:hint="eastAsia" w:ascii="宋体" w:hAnsi="宋体" w:eastAsia="宋体" w:cs="宋体"/>
                <w:color w:val="auto"/>
                <w:kern w:val="0"/>
                <w:sz w:val="21"/>
                <w:szCs w:val="21"/>
                <w:shd w:val="clear" w:color="auto" w:fill="FFFFFF"/>
                <w:lang w:val="en-US" w:eastAsia="zh-CN" w:bidi="ar"/>
              </w:rPr>
              <w:fldChar w:fldCharType="separate"/>
            </w:r>
            <w:r>
              <w:rPr>
                <w:rFonts w:hint="eastAsia" w:ascii="宋体" w:hAnsi="宋体" w:eastAsia="宋体" w:cs="宋体"/>
                <w:color w:val="auto"/>
                <w:kern w:val="0"/>
                <w:sz w:val="21"/>
                <w:szCs w:val="21"/>
                <w:shd w:val="clear" w:color="auto" w:fill="FFFFFF"/>
                <w:lang w:val="en-US" w:eastAsia="zh-CN" w:bidi="ar"/>
              </w:rPr>
              <w:fldChar w:fldCharType="end"/>
            </w:r>
          </w:p>
          <w:p>
            <w:pPr>
              <w:pStyle w:val="20"/>
              <w:widowControl/>
              <w:spacing w:line="240" w:lineRule="auto"/>
              <w:ind w:firstLine="420" w:firstLineChars="200"/>
              <w:rPr>
                <w:rFonts w:hint="eastAsia" w:ascii="宋体" w:hAnsi="宋体" w:eastAsia="宋体" w:cs="宋体"/>
                <w:color w:val="auto"/>
                <w:kern w:val="0"/>
                <w:sz w:val="21"/>
                <w:szCs w:val="21"/>
                <w:shd w:val="clear" w:color="auto" w:fill="FFFFFF"/>
                <w:lang w:val="en-US" w:eastAsia="zh-CN" w:bidi="ar"/>
              </w:rPr>
            </w:pPr>
            <w:bookmarkStart w:id="1" w:name="tiao_10_kuan_2"/>
            <w:bookmarkEnd w:id="1"/>
            <w:r>
              <w:rPr>
                <w:rFonts w:hint="eastAsia" w:ascii="宋体" w:hAnsi="宋体" w:eastAsia="宋体" w:cs="宋体"/>
                <w:color w:val="auto"/>
                <w:kern w:val="0"/>
                <w:sz w:val="21"/>
                <w:szCs w:val="21"/>
                <w:shd w:val="clear" w:color="auto" w:fill="FFFFFF"/>
                <w:lang w:val="en-US" w:eastAsia="zh-CN" w:bidi="ar"/>
              </w:rPr>
              <w:t>自然资源部门在编制房地产用地出让方案时，应当会同城市园林</w:t>
            </w:r>
            <w:r>
              <w:rPr>
                <w:rStyle w:val="48"/>
                <w:rFonts w:hint="eastAsia" w:ascii="宋体" w:hAnsi="宋体" w:eastAsia="宋体" w:cs="宋体"/>
                <w:color w:val="auto"/>
                <w:sz w:val="21"/>
                <w:szCs w:val="21"/>
                <w:shd w:val="clear" w:color="auto" w:fill="FFFFFF"/>
                <w:lang w:val="en-US" w:eastAsia="zh-CN" w:bidi="ar"/>
              </w:rPr>
              <w:t>绿化</w:t>
            </w:r>
            <w:r>
              <w:rPr>
                <w:rFonts w:hint="eastAsia" w:ascii="宋体" w:hAnsi="宋体" w:eastAsia="宋体" w:cs="宋体"/>
                <w:color w:val="auto"/>
                <w:kern w:val="0"/>
                <w:sz w:val="21"/>
                <w:szCs w:val="21"/>
                <w:shd w:val="clear" w:color="auto" w:fill="FFFFFF"/>
                <w:lang w:val="en-US" w:eastAsia="zh-CN" w:bidi="ar"/>
              </w:rPr>
              <w:t>主管部门明确配套建设的园林</w:t>
            </w:r>
            <w:r>
              <w:rPr>
                <w:rStyle w:val="48"/>
                <w:rFonts w:hint="eastAsia" w:ascii="宋体" w:hAnsi="宋体" w:eastAsia="宋体" w:cs="宋体"/>
                <w:color w:val="auto"/>
                <w:sz w:val="21"/>
                <w:szCs w:val="21"/>
                <w:shd w:val="clear" w:color="auto" w:fill="FFFFFF"/>
                <w:lang w:val="en-US" w:eastAsia="zh-CN" w:bidi="ar"/>
              </w:rPr>
              <w:t>绿化</w:t>
            </w:r>
            <w:r>
              <w:rPr>
                <w:rFonts w:hint="eastAsia" w:ascii="宋体" w:hAnsi="宋体" w:eastAsia="宋体" w:cs="宋体"/>
                <w:color w:val="auto"/>
                <w:kern w:val="0"/>
                <w:sz w:val="21"/>
                <w:szCs w:val="21"/>
                <w:shd w:val="clear" w:color="auto" w:fill="FFFFFF"/>
                <w:lang w:val="en-US" w:eastAsia="zh-CN" w:bidi="ar"/>
              </w:rPr>
              <w:t>相关要求。</w:t>
            </w:r>
          </w:p>
          <w:p>
            <w:pPr>
              <w:pStyle w:val="20"/>
              <w:widowControl/>
              <w:spacing w:line="240" w:lineRule="auto"/>
              <w:ind w:firstLine="420" w:firstLineChars="200"/>
              <w:rPr>
                <w:rFonts w:hint="eastAsia" w:ascii="宋体" w:hAnsi="宋体" w:eastAsia="宋体" w:cs="宋体"/>
                <w:bCs/>
                <w:color w:val="auto"/>
                <w:sz w:val="21"/>
                <w:szCs w:val="21"/>
                <w:highlight w:val="none"/>
                <w:lang w:val="zh-TW" w:eastAsia="zh-TW"/>
              </w:rPr>
            </w:pPr>
            <w:r>
              <w:rPr>
                <w:rFonts w:hint="eastAsia" w:ascii="宋体" w:hAnsi="宋体" w:eastAsia="宋体" w:cs="宋体"/>
                <w:bCs/>
                <w:color w:val="auto"/>
                <w:sz w:val="21"/>
                <w:szCs w:val="21"/>
                <w:highlight w:val="none"/>
                <w:lang w:val="zh-TW" w:eastAsia="zh-TW"/>
              </w:rPr>
              <w:t>《厦门经济特区园林绿化条例》（2018年6月29日厦门市第十五届人民代表大会常务委员会第十四次会议通过）</w:t>
            </w:r>
          </w:p>
          <w:p>
            <w:pPr>
              <w:pStyle w:val="20"/>
              <w:widowControl/>
              <w:spacing w:line="240" w:lineRule="auto"/>
              <w:ind w:firstLine="422" w:firstLineChars="200"/>
              <w:rPr>
                <w:rFonts w:hint="eastAsia" w:ascii="宋体" w:hAnsi="宋体" w:eastAsia="宋体" w:cs="宋体"/>
                <w:color w:val="auto"/>
                <w:sz w:val="21"/>
                <w:szCs w:val="21"/>
                <w:highlight w:val="none"/>
                <w:lang w:eastAsia="zh-TW"/>
              </w:rPr>
            </w:pPr>
            <w:r>
              <w:rPr>
                <w:rFonts w:hint="eastAsia" w:ascii="宋体" w:hAnsi="宋体" w:eastAsia="宋体" w:cs="宋体"/>
                <w:b/>
                <w:bCs w:val="0"/>
                <w:color w:val="auto"/>
                <w:sz w:val="21"/>
                <w:szCs w:val="21"/>
                <w:highlight w:val="none"/>
                <w:lang w:val="zh-TW"/>
              </w:rPr>
              <w:t>第二十条</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公共绿地和单位绿地、居住区绿地的建设，应当以植物造景为主，其地面绿化面积不得低于规划绿地总面积的百分之八十五，其他区域仅限用于建设园路、园林建筑小品、景观水体，铺装场地等园林附属设施。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160"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color w:val="auto"/>
                <w:sz w:val="21"/>
                <w:szCs w:val="21"/>
                <w:highlight w:val="none"/>
                <w:lang w:val="zh-TW" w:eastAsia="zh-CN"/>
              </w:rPr>
            </w:pPr>
            <w:r>
              <w:rPr>
                <w:rFonts w:hint="eastAsia" w:ascii="宋体" w:hAnsi="宋体" w:eastAsia="宋体" w:cs="宋体"/>
                <w:b/>
                <w:color w:val="auto"/>
                <w:sz w:val="21"/>
                <w:szCs w:val="21"/>
                <w:highlight w:val="none"/>
                <w:lang w:val="zh-TW" w:eastAsia="zh-CN"/>
              </w:rPr>
              <w:t>附属绿化</w:t>
            </w:r>
          </w:p>
        </w:tc>
        <w:tc>
          <w:tcPr>
            <w:tcW w:w="5010" w:type="dxa"/>
            <w:shd w:val="clear" w:color="auto" w:fill="auto"/>
            <w:tcMar>
              <w:top w:w="80" w:type="dxa"/>
              <w:left w:w="80" w:type="dxa"/>
              <w:bottom w:w="80" w:type="dxa"/>
              <w:right w:w="80" w:type="dxa"/>
            </w:tcMar>
          </w:tcPr>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225" w:afterAutospacing="0" w:line="240" w:lineRule="auto"/>
              <w:ind w:firstLine="691" w:firstLineChars="328"/>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2"/>
                <w:sz w:val="21"/>
                <w:szCs w:val="21"/>
                <w:highlight w:val="none"/>
              </w:rPr>
              <w:t xml:space="preserve">第八条  </w:t>
            </w:r>
            <w:r>
              <w:rPr>
                <w:rFonts w:hint="eastAsia" w:ascii="宋体" w:hAnsi="宋体" w:eastAsia="宋体" w:cs="宋体"/>
                <w:color w:val="auto"/>
                <w:sz w:val="21"/>
                <w:szCs w:val="21"/>
                <w:highlight w:val="none"/>
              </w:rPr>
              <w:t>建设项目附属绿化工程应当与主体工程同步规划、同步设计，建设单位向市、县（区）</w:t>
            </w:r>
            <w:r>
              <w:rPr>
                <w:rFonts w:hint="eastAsia" w:ascii="宋体" w:hAnsi="宋体" w:eastAsia="宋体" w:cs="宋体"/>
                <w:color w:val="auto"/>
                <w:sz w:val="21"/>
                <w:szCs w:val="21"/>
                <w:highlight w:val="none"/>
                <w:shd w:val="clear" w:color="auto" w:fill="FFFFFF"/>
              </w:rPr>
              <w:t>自然资源部门</w:t>
            </w:r>
            <w:r>
              <w:rPr>
                <w:rFonts w:hint="eastAsia" w:ascii="宋体" w:hAnsi="宋体" w:eastAsia="宋体" w:cs="宋体"/>
                <w:color w:val="auto"/>
                <w:sz w:val="21"/>
                <w:szCs w:val="21"/>
                <w:highlight w:val="none"/>
              </w:rPr>
              <w:t>报送建设工程设计方案时，应当同时报送附属绿化工程设计方案。</w:t>
            </w:r>
          </w:p>
          <w:p>
            <w:pPr>
              <w:keepNext w:val="0"/>
              <w:keepLines w:val="0"/>
              <w:pageBreakBefore w:val="0"/>
              <w:widowControl/>
              <w:kinsoku/>
              <w:wordWrap/>
              <w:overflowPunct/>
              <w:topLinePunct w:val="0"/>
              <w:autoSpaceDE/>
              <w:autoSpaceDN/>
              <w:bidi w:val="0"/>
              <w:adjustRightInd/>
              <w:snapToGrid/>
              <w:spacing w:line="240" w:lineRule="auto"/>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项目附属绿化工程设计方案按照基本建设程序审批时，市、县（区）自然资源部门应当就附属绿化工程设计方案征求市、县（区）住房和城乡建设行政主管部门的意见，住房和城乡建设行政主管部门应当在五个工作日内予以反馈。设计方案未经审查或者审查不合格的，自然资源部门不得核发建设工程规划许可证。</w:t>
            </w:r>
          </w:p>
          <w:p>
            <w:pPr>
              <w:pStyle w:val="20"/>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　建设项目附属绿化工程应当按照批准的设计方案进行建设。确需改变设计方案的，应当按照原审批程序报批。</w:t>
            </w:r>
          </w:p>
        </w:tc>
        <w:tc>
          <w:tcPr>
            <w:tcW w:w="5670" w:type="dxa"/>
            <w:shd w:val="clear" w:color="auto" w:fill="auto"/>
            <w:tcMar>
              <w:top w:w="80" w:type="dxa"/>
              <w:left w:w="80" w:type="dxa"/>
              <w:bottom w:w="80" w:type="dxa"/>
              <w:right w:w="80" w:type="dxa"/>
            </w:tcMar>
          </w:tcPr>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highlight w:val="none"/>
                <w:lang w:val="zh-TW"/>
              </w:rPr>
            </w:pPr>
            <w:r>
              <w:rPr>
                <w:rFonts w:hint="eastAsia" w:ascii="宋体" w:hAnsi="宋体" w:eastAsia="宋体" w:cs="宋体"/>
                <w:bCs/>
                <w:color w:val="auto"/>
                <w:sz w:val="21"/>
                <w:szCs w:val="21"/>
                <w:highlight w:val="none"/>
                <w:lang w:val="zh-TW" w:eastAsia="zh-CN"/>
              </w:rPr>
              <w:t>《</w:t>
            </w:r>
            <w:r>
              <w:rPr>
                <w:rFonts w:hint="eastAsia" w:ascii="宋体" w:hAnsi="宋体" w:eastAsia="宋体" w:cs="宋体"/>
                <w:bCs/>
                <w:color w:val="auto"/>
                <w:sz w:val="21"/>
                <w:szCs w:val="21"/>
                <w:highlight w:val="none"/>
                <w:lang w:val="zh-TW"/>
              </w:rPr>
              <w:t>辽宁省城镇绿化条例》（2012年1月5日辽宁省第十一届人民代表大会常务委员会第27次会议通过，2017年9月28日修正版）</w:t>
            </w:r>
          </w:p>
          <w:p>
            <w:pPr>
              <w:pStyle w:val="20"/>
              <w:widowControl/>
              <w:numPr>
                <w:ilvl w:val="0"/>
                <w:numId w:val="1"/>
              </w:numPr>
              <w:spacing w:line="240" w:lineRule="auto"/>
              <w:ind w:firstLine="420" w:firstLineChars="20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 xml:space="preserve"> 建设项目附属绿化工程，应当与建设项目主体工程同步设计、同步施工、同步验收，同时落实管护责任。</w:t>
            </w:r>
          </w:p>
          <w:p>
            <w:pPr>
              <w:pStyle w:val="20"/>
              <w:widowControl/>
              <w:numPr>
                <w:ilvl w:val="0"/>
                <w:numId w:val="0"/>
              </w:numPr>
              <w:spacing w:line="240" w:lineRule="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 xml:space="preserve">    建设项目附属的绿化工程设计方案，按照基本建设程序审批时，应当有城镇绿化行政主管部门参加审查。</w:t>
            </w:r>
          </w:p>
          <w:p>
            <w:pPr>
              <w:pStyle w:val="20"/>
              <w:widowControl/>
              <w:numPr>
                <w:ilvl w:val="0"/>
                <w:numId w:val="0"/>
              </w:numPr>
              <w:spacing w:line="240" w:lineRule="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 xml:space="preserve">    建设单位应当按照批准的设计方案进行施工。设计方案确需改变时，应当经原批准机关审批。</w:t>
            </w:r>
          </w:p>
        </w:tc>
        <w:tc>
          <w:tcPr>
            <w:tcW w:w="4119" w:type="dxa"/>
            <w:shd w:val="clear" w:color="auto" w:fill="auto"/>
            <w:tcMar>
              <w:top w:w="80" w:type="dxa"/>
              <w:left w:w="80" w:type="dxa"/>
              <w:bottom w:w="80" w:type="dxa"/>
              <w:right w:w="80" w:type="dxa"/>
            </w:tcMar>
          </w:tcPr>
          <w:p>
            <w:pPr>
              <w:pStyle w:val="20"/>
              <w:widowControl/>
              <w:spacing w:line="240" w:lineRule="auto"/>
              <w:ind w:firstLine="420"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eastAsia="zh-CN"/>
              </w:rPr>
              <w:t>《南宁市城市绿化条例》（</w:t>
            </w:r>
            <w:r>
              <w:rPr>
                <w:rFonts w:hint="eastAsia" w:ascii="宋体" w:hAnsi="宋体" w:eastAsia="宋体" w:cs="宋体"/>
                <w:b w:val="0"/>
                <w:bCs/>
                <w:color w:val="auto"/>
                <w:sz w:val="21"/>
                <w:szCs w:val="21"/>
                <w:highlight w:val="none"/>
                <w:lang w:val="en-US" w:eastAsia="zh-CN"/>
              </w:rPr>
              <w:t>2011年5月20日南宁市第十二届人民代表大会常务委员会第四十一次会议通过，2016年3月31日广西壮族自治区第十二届人民代表大会常务委员会第二十二次会议批准修正）</w:t>
            </w:r>
          </w:p>
          <w:p>
            <w:pPr>
              <w:pStyle w:val="20"/>
              <w:widowControl/>
              <w:numPr>
                <w:ilvl w:val="0"/>
                <w:numId w:val="0"/>
              </w:numPr>
              <w:spacing w:line="240" w:lineRule="auto"/>
              <w:ind w:firstLine="422"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第十二条</w:t>
            </w:r>
            <w:r>
              <w:rPr>
                <w:rFonts w:hint="eastAsia" w:ascii="宋体" w:hAnsi="宋体" w:eastAsia="宋体" w:cs="宋体"/>
                <w:b w:val="0"/>
                <w:bCs/>
                <w:color w:val="auto"/>
                <w:sz w:val="21"/>
                <w:szCs w:val="21"/>
                <w:highlight w:val="none"/>
                <w:lang w:val="en-US" w:eastAsia="zh-CN"/>
              </w:rPr>
              <w:t xml:space="preserve"> 建设单位向市、县规划行政主管部门报送建设工程设计方案时，应当同时报送附属绿化工程设计方案。</w:t>
            </w:r>
          </w:p>
          <w:p>
            <w:pPr>
              <w:pStyle w:val="20"/>
              <w:widowControl/>
              <w:numPr>
                <w:ilvl w:val="0"/>
                <w:numId w:val="0"/>
              </w:numPr>
              <w:spacing w:line="240" w:lineRule="auto"/>
              <w:ind w:firstLine="42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市、县规划行政主管部门应当就附属绿化工程设计方案征求市、县园林绿化行政主管部门的意见，园林绿化行政主管部门应当在五个工作日内反馈意见。经市、县园林绿化行政主管部门审核确认绿化工程设计方案不符合本条例第九条、第十条规定的，市、县规划行政主管部门不予核发建设工程规划许可证。</w:t>
            </w:r>
          </w:p>
          <w:p>
            <w:pPr>
              <w:pStyle w:val="20"/>
              <w:widowControl/>
              <w:numPr>
                <w:ilvl w:val="0"/>
                <w:numId w:val="0"/>
              </w:numPr>
              <w:spacing w:line="240" w:lineRule="auto"/>
              <w:ind w:firstLine="42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规划调整涉及绿地率指标变更的，按前款规定办理。</w:t>
            </w:r>
          </w:p>
          <w:p>
            <w:pPr>
              <w:pStyle w:val="20"/>
              <w:widowControl/>
              <w:numPr>
                <w:ilvl w:val="0"/>
                <w:numId w:val="0"/>
              </w:numPr>
              <w:spacing w:line="240" w:lineRule="auto"/>
              <w:ind w:firstLine="422"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第九条</w:t>
            </w:r>
            <w:r>
              <w:rPr>
                <w:rFonts w:hint="eastAsia" w:ascii="宋体" w:hAnsi="宋体" w:eastAsia="宋体" w:cs="宋体"/>
                <w:b w:val="0"/>
                <w:bCs/>
                <w:color w:val="auto"/>
                <w:sz w:val="21"/>
                <w:szCs w:val="21"/>
                <w:highlight w:val="none"/>
                <w:lang w:val="en-US" w:eastAsia="zh-CN"/>
              </w:rPr>
              <w:t xml:space="preserve"> 城市绿地的规划和设计应当符合国家、自治区有关标准和规范。</w:t>
            </w:r>
          </w:p>
          <w:p>
            <w:pPr>
              <w:pStyle w:val="20"/>
              <w:widowControl/>
              <w:numPr>
                <w:ilvl w:val="0"/>
                <w:numId w:val="0"/>
              </w:numPr>
              <w:spacing w:line="240" w:lineRule="auto"/>
              <w:ind w:firstLine="42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第十条</w:t>
            </w:r>
            <w:r>
              <w:rPr>
                <w:rFonts w:hint="eastAsia" w:ascii="宋体" w:hAnsi="宋体" w:eastAsia="宋体" w:cs="宋体"/>
                <w:b w:val="0"/>
                <w:bCs/>
                <w:color w:val="auto"/>
                <w:sz w:val="21"/>
                <w:szCs w:val="21"/>
                <w:highlight w:val="none"/>
                <w:lang w:val="en-US" w:eastAsia="zh-CN"/>
              </w:rPr>
              <w:t xml:space="preserve">  建设工程附属绿化用地面积占建设用地总面积的比例（以下称为绿地率）应当符合下列标准：</w:t>
            </w:r>
          </w:p>
          <w:p>
            <w:pPr>
              <w:pStyle w:val="20"/>
              <w:widowControl/>
              <w:numPr>
                <w:ilvl w:val="0"/>
                <w:numId w:val="0"/>
              </w:numPr>
              <w:spacing w:line="240" w:lineRule="auto"/>
              <w:ind w:firstLine="42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一）新建居住区、居住小区不低于百分之三十五，且居住区人均集中绿地面积不低于一点五平方米，居住小区人均集中绿地面积不低于一平方米；旧改住宅项目不低于百分之二十五，人均集中绿地面积可以按规定适当降低；</w:t>
            </w:r>
          </w:p>
          <w:p>
            <w:pPr>
              <w:pStyle w:val="20"/>
              <w:widowControl/>
              <w:numPr>
                <w:ilvl w:val="0"/>
                <w:numId w:val="0"/>
              </w:numPr>
              <w:spacing w:line="240" w:lineRule="auto"/>
              <w:ind w:firstLine="42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（二）交通枢纽、商业中心不低于百分之二十五；</w:t>
            </w:r>
          </w:p>
          <w:p>
            <w:pPr>
              <w:pStyle w:val="20"/>
              <w:widowControl/>
              <w:numPr>
                <w:ilvl w:val="0"/>
                <w:numId w:val="0"/>
              </w:numPr>
              <w:spacing w:line="240" w:lineRule="auto"/>
              <w:ind w:firstLine="42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（三）机关、中小学校、部队、公共文化设施等单位不低于百分之三十五；</w:t>
            </w:r>
          </w:p>
          <w:p>
            <w:pPr>
              <w:pStyle w:val="20"/>
              <w:widowControl/>
              <w:numPr>
                <w:ilvl w:val="0"/>
                <w:numId w:val="0"/>
              </w:numPr>
              <w:spacing w:line="240" w:lineRule="auto"/>
              <w:ind w:firstLine="42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（四）高等院校、宾馆、疗养院不低于百分之四十；</w:t>
            </w:r>
          </w:p>
          <w:p>
            <w:pPr>
              <w:pStyle w:val="20"/>
              <w:widowControl/>
              <w:numPr>
                <w:ilvl w:val="0"/>
                <w:numId w:val="0"/>
              </w:numPr>
              <w:spacing w:line="240" w:lineRule="auto"/>
              <w:ind w:firstLine="42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（五）市区新建主干道不低于百分之三十，次干道不低于百分之二十；市区改、扩建主干道不低于百分之二十，次干道不低于百分之十五；</w:t>
            </w:r>
          </w:p>
          <w:p>
            <w:pPr>
              <w:pStyle w:val="20"/>
              <w:widowControl/>
              <w:numPr>
                <w:ilvl w:val="0"/>
                <w:numId w:val="0"/>
              </w:numPr>
              <w:spacing w:line="240" w:lineRule="auto"/>
              <w:ind w:firstLine="42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（六）除国家另有规定外，其他建设项目不低于百分之三十。</w:t>
            </w:r>
          </w:p>
          <w:p>
            <w:pPr>
              <w:pStyle w:val="20"/>
              <w:widowControl/>
              <w:spacing w:line="240" w:lineRule="auto"/>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 w:val="0"/>
                <w:bCs/>
                <w:color w:val="auto"/>
                <w:sz w:val="21"/>
                <w:szCs w:val="21"/>
                <w:highlight w:val="none"/>
                <w:lang w:val="en-US" w:eastAsia="zh-CN"/>
              </w:rPr>
              <w:t>商住建筑等混合功能建设项目，以其建筑面积占总建筑面积比例最大部分的使用性质确定其应适用的绿地率标准。</w:t>
            </w:r>
          </w:p>
          <w:p>
            <w:pPr>
              <w:pStyle w:val="20"/>
              <w:widowControl/>
              <w:numPr>
                <w:ilvl w:val="0"/>
                <w:numId w:val="0"/>
              </w:numPr>
              <w:spacing w:line="240" w:lineRule="auto"/>
              <w:ind w:firstLine="42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《孝感市城市绿化条例》（2017年10月31日孝感市第六届人民代表大会常务委员会第七次会议通过，2018年1月18日湖北省第十二届人民人民代表大会常务委员会第三十二次会议批准）</w:t>
            </w:r>
          </w:p>
          <w:p>
            <w:pPr>
              <w:pStyle w:val="20"/>
              <w:widowControl/>
              <w:numPr>
                <w:ilvl w:val="0"/>
                <w:numId w:val="0"/>
              </w:numPr>
              <w:spacing w:line="240" w:lineRule="auto"/>
              <w:ind w:firstLine="42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第十三条</w:t>
            </w:r>
            <w:r>
              <w:rPr>
                <w:rFonts w:hint="eastAsia" w:ascii="宋体" w:hAnsi="宋体" w:eastAsia="宋体" w:cs="宋体"/>
                <w:b w:val="0"/>
                <w:bCs/>
                <w:color w:val="auto"/>
                <w:sz w:val="21"/>
                <w:szCs w:val="21"/>
                <w:highlight w:val="none"/>
                <w:lang w:val="en-US" w:eastAsia="zh-CN"/>
              </w:rPr>
              <w:t xml:space="preserve">  建设项目配套绿化工程应当与主体工程同步规划、同步设计。设计方案按照基本建设程序审批时，城市绿化主管部门应当参加审查。设计方案未经审查或者审查不合格的，城乡规划主管部门不得核发建设工程规划许可证。</w:t>
            </w:r>
          </w:p>
          <w:p>
            <w:pPr>
              <w:pStyle w:val="20"/>
              <w:widowControl/>
              <w:numPr>
                <w:ilvl w:val="0"/>
                <w:numId w:val="0"/>
              </w:numPr>
              <w:spacing w:line="240" w:lineRule="auto"/>
              <w:ind w:firstLine="42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绿化工程应当按照批准的设计方案进行建设。确需改变设计方案的，应当按照原审批程序报批。</w:t>
            </w:r>
          </w:p>
          <w:p>
            <w:pPr>
              <w:pStyle w:val="2"/>
              <w:spacing w:line="240" w:lineRule="auto"/>
              <w:ind w:firstLine="3168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zh-TW"/>
              </w:rPr>
              <w:t>《汕头经济特区城市绿化条例》（</w:t>
            </w:r>
            <w:r>
              <w:rPr>
                <w:rFonts w:hint="eastAsia" w:ascii="宋体" w:hAnsi="宋体" w:eastAsia="宋体" w:cs="宋体"/>
                <w:bCs/>
                <w:color w:val="auto"/>
                <w:sz w:val="21"/>
                <w:szCs w:val="21"/>
                <w:highlight w:val="none"/>
              </w:rPr>
              <w:t>2011年10月31日汕头市第十二届人民代表大会常务委员会第三十七次会议通过，2018年12月27日修正版）</w:t>
            </w:r>
          </w:p>
          <w:p>
            <w:pPr>
              <w:pStyle w:val="2"/>
              <w:spacing w:line="240" w:lineRule="auto"/>
              <w:ind w:firstLine="31680"/>
              <w:rPr>
                <w:rFonts w:hint="eastAsia" w:ascii="宋体" w:hAnsi="宋体" w:eastAsia="宋体" w:cs="宋体"/>
                <w:bCs/>
                <w:color w:val="auto"/>
                <w:sz w:val="21"/>
                <w:szCs w:val="21"/>
                <w:highlight w:val="none"/>
                <w:lang w:val="en-US" w:eastAsia="zh-CN"/>
              </w:rPr>
            </w:pPr>
            <w:r>
              <w:rPr>
                <w:rFonts w:hint="eastAsia" w:ascii="宋体" w:hAnsi="宋体" w:eastAsia="宋体" w:cs="宋体"/>
                <w:b/>
                <w:bCs w:val="0"/>
                <w:color w:val="auto"/>
                <w:sz w:val="21"/>
                <w:szCs w:val="21"/>
                <w:highlight w:val="none"/>
                <w:lang w:eastAsia="zh-CN"/>
              </w:rPr>
              <w:t>第二十五条</w:t>
            </w:r>
            <w:r>
              <w:rPr>
                <w:rFonts w:hint="eastAsia" w:ascii="宋体" w:hAnsi="宋体" w:eastAsia="宋体" w:cs="宋体"/>
                <w:bCs/>
                <w:color w:val="auto"/>
                <w:sz w:val="21"/>
                <w:szCs w:val="21"/>
                <w:highlight w:val="none"/>
                <w:lang w:val="en-US" w:eastAsia="zh-CN"/>
              </w:rPr>
              <w:t xml:space="preserve">  建设项目的配套绿化工程应当与主体工程同时设计、同时施工、同时验收、同时交付使用。</w:t>
            </w:r>
          </w:p>
          <w:p>
            <w:pPr>
              <w:pStyle w:val="2"/>
              <w:spacing w:line="240" w:lineRule="auto"/>
              <w:ind w:firstLine="3168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建设项目配套绿化工程的设计方案由城市绿化行政主管部门审查同意后，方可办理建设工程报建手续。</w:t>
            </w:r>
          </w:p>
          <w:p>
            <w:pPr>
              <w:pStyle w:val="2"/>
              <w:spacing w:line="240" w:lineRule="auto"/>
              <w:ind w:firstLine="31680"/>
              <w:rPr>
                <w:rFonts w:hint="eastAsia" w:ascii="宋体" w:hAnsi="宋体" w:eastAsia="宋体" w:cs="宋体"/>
                <w:b w:val="0"/>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建设项目配套绿化工程竣工验收时，应当有城市绿化行政主管部门参加。建设单位应当在办妥竣工验收备案手续三十日内，将配套绿化工程的有关建设资料移交城市绿化行政主管部门。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70"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color w:val="auto"/>
                <w:sz w:val="21"/>
                <w:szCs w:val="21"/>
                <w:lang w:val="zh-TW"/>
              </w:rPr>
            </w:pPr>
            <w:r>
              <w:rPr>
                <w:rFonts w:hint="eastAsia" w:ascii="宋体" w:hAnsi="宋体" w:eastAsia="宋体" w:cs="宋体"/>
                <w:b/>
                <w:bCs w:val="0"/>
                <w:color w:val="auto"/>
                <w:sz w:val="21"/>
                <w:szCs w:val="21"/>
              </w:rPr>
              <w:t>审查</w:t>
            </w:r>
          </w:p>
        </w:tc>
        <w:tc>
          <w:tcPr>
            <w:tcW w:w="5010" w:type="dxa"/>
            <w:shd w:val="clear" w:color="auto" w:fill="auto"/>
            <w:tcMar>
              <w:top w:w="80" w:type="dxa"/>
              <w:left w:w="80" w:type="dxa"/>
              <w:bottom w:w="80" w:type="dxa"/>
              <w:right w:w="80" w:type="dxa"/>
            </w:tcMar>
          </w:tcPr>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第九条  </w:t>
            </w:r>
            <w:r>
              <w:rPr>
                <w:rFonts w:hint="eastAsia" w:ascii="宋体" w:hAnsi="宋体" w:eastAsia="宋体" w:cs="宋体"/>
                <w:color w:val="auto"/>
                <w:sz w:val="21"/>
                <w:szCs w:val="21"/>
              </w:rPr>
              <w:t>城镇绿化工程以及建设工程项目附属绿化工程设计方案，按照基本建设程序审批时，必须有住房和城乡建设行政主管部门参加审查，对以下内容提出意见：</w:t>
            </w:r>
          </w:p>
          <w:p>
            <w:p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（一）绿地面积是否符合规定标准；</w:t>
            </w:r>
          </w:p>
          <w:p>
            <w:p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（二）绿地布局是否合理；</w:t>
            </w:r>
          </w:p>
          <w:p>
            <w:p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（三）植物的种类、配置是否适当；</w:t>
            </w:r>
          </w:p>
          <w:p>
            <w:p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（四）绿化设计是否符合园林景观要求；</w:t>
            </w:r>
          </w:p>
          <w:p>
            <w:p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（五）绿地内道路、给排水、防火以及其他设施的设计是否符合有关园林设计规范。</w:t>
            </w:r>
          </w:p>
          <w:p>
            <w:p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建设项目附属绿化工程设计方案应当通过网站向社会公开。</w:t>
            </w:r>
          </w:p>
          <w:p>
            <w:pPr>
              <w:pStyle w:val="20"/>
              <w:widowControl/>
              <w:spacing w:line="240" w:lineRule="auto"/>
              <w:ind w:firstLine="420" w:firstLineChars="200"/>
              <w:rPr>
                <w:rFonts w:hint="eastAsia" w:ascii="宋体" w:hAnsi="宋体" w:eastAsia="宋体" w:cs="宋体"/>
                <w:color w:val="auto"/>
                <w:kern w:val="0"/>
                <w:sz w:val="21"/>
                <w:szCs w:val="21"/>
              </w:rPr>
            </w:pPr>
          </w:p>
        </w:tc>
        <w:tc>
          <w:tcPr>
            <w:tcW w:w="5670" w:type="dxa"/>
            <w:shd w:val="clear" w:color="auto" w:fill="auto"/>
            <w:tcMar>
              <w:top w:w="80" w:type="dxa"/>
              <w:left w:w="80" w:type="dxa"/>
              <w:bottom w:w="80" w:type="dxa"/>
              <w:right w:w="80" w:type="dxa"/>
            </w:tcMar>
          </w:tcPr>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rPr>
            </w:pPr>
            <w:r>
              <w:rPr>
                <w:rFonts w:hint="eastAsia" w:ascii="宋体" w:hAnsi="宋体" w:eastAsia="宋体" w:cs="宋体"/>
                <w:bCs/>
                <w:color w:val="auto"/>
                <w:sz w:val="21"/>
                <w:szCs w:val="21"/>
                <w:lang w:val="zh-TW"/>
              </w:rPr>
              <w:t>《城市绿化条例》经</w:t>
            </w:r>
            <w:r>
              <w:rPr>
                <w:rFonts w:hint="eastAsia" w:ascii="宋体" w:hAnsi="宋体" w:eastAsia="宋体" w:cs="宋体"/>
                <w:bCs/>
                <w:color w:val="auto"/>
                <w:sz w:val="21"/>
                <w:szCs w:val="21"/>
              </w:rPr>
              <w:t>1992年5月20日国务院第104次常务会议通过，自1992年8月1日起施行。根据2011年1月8日《国务院关于废止和修改部分行政法规的决定》修订，现行版本根据2017年3月21日发布的《国务院关于修改和废止部分行政法规的决定》修订。</w:t>
            </w:r>
          </w:p>
          <w:p>
            <w:pPr>
              <w:pStyle w:val="2"/>
              <w:spacing w:line="240" w:lineRule="auto"/>
              <w:ind w:firstLine="31680"/>
              <w:rPr>
                <w:rFonts w:hint="eastAsia" w:ascii="宋体" w:hAnsi="宋体" w:eastAsia="宋体" w:cs="宋体"/>
                <w:bCs/>
                <w:color w:val="auto"/>
                <w:sz w:val="21"/>
                <w:szCs w:val="21"/>
              </w:rPr>
            </w:pPr>
            <w:r>
              <w:rPr>
                <w:rFonts w:hint="eastAsia" w:ascii="宋体" w:hAnsi="宋体" w:eastAsia="宋体" w:cs="宋体"/>
                <w:b/>
                <w:bCs w:val="0"/>
                <w:color w:val="auto"/>
                <w:sz w:val="21"/>
                <w:szCs w:val="21"/>
              </w:rPr>
              <w:t>第十一条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城市绿化工程的设计，应当委托持有相应资格证书的设计单位承担。工程建设项目的附属绿化工程设计方案，按照基本建设程序审批时，必须有城市人民政府城市绿化行政主管部门参加审查。建设单位必须按照批准的设计方案进行施工。设计方案确需改变时，须经原批准机关审批。</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rPr>
              <w:t>《</w:t>
            </w:r>
            <w:r>
              <w:rPr>
                <w:rFonts w:hint="eastAsia" w:ascii="宋体" w:hAnsi="宋体" w:eastAsia="宋体" w:cs="宋体"/>
                <w:bCs/>
                <w:color w:val="auto"/>
                <w:sz w:val="21"/>
                <w:szCs w:val="21"/>
                <w:lang w:val="zh-TW" w:eastAsia="zh-TW"/>
              </w:rPr>
              <w:t>辽宁省城镇绿化条例</w:t>
            </w:r>
            <w:r>
              <w:rPr>
                <w:rFonts w:hint="eastAsia" w:ascii="宋体" w:hAnsi="宋体" w:eastAsia="宋体" w:cs="宋体"/>
                <w:bCs/>
                <w:color w:val="auto"/>
                <w:sz w:val="21"/>
                <w:szCs w:val="21"/>
                <w:lang w:val="zh-TW"/>
              </w:rPr>
              <w:t>》</w:t>
            </w:r>
            <w:r>
              <w:rPr>
                <w:rFonts w:hint="eastAsia" w:ascii="宋体" w:hAnsi="宋体" w:eastAsia="宋体" w:cs="宋体"/>
                <w:bCs/>
                <w:color w:val="auto"/>
                <w:sz w:val="21"/>
                <w:szCs w:val="21"/>
                <w:lang w:val="zh-TW" w:eastAsia="zh-TW"/>
              </w:rPr>
              <w:t>（2012年1月5日辽宁省第十一届人民代表大会常务委员会第27次会议通过</w:t>
            </w:r>
            <w:r>
              <w:rPr>
                <w:rFonts w:hint="eastAsia" w:ascii="宋体" w:hAnsi="宋体" w:eastAsia="宋体" w:cs="宋体"/>
                <w:bCs/>
                <w:color w:val="auto"/>
                <w:sz w:val="21"/>
                <w:szCs w:val="21"/>
                <w:lang w:val="zh-TW"/>
              </w:rPr>
              <w:t>，</w:t>
            </w:r>
            <w:r>
              <w:rPr>
                <w:rFonts w:hint="eastAsia" w:ascii="宋体" w:hAnsi="宋体" w:eastAsia="宋体" w:cs="宋体"/>
                <w:bCs/>
                <w:color w:val="auto"/>
                <w:sz w:val="21"/>
                <w:szCs w:val="21"/>
                <w:lang w:val="zh-TW" w:eastAsia="zh-TW"/>
              </w:rPr>
              <w:t>2017年9月28日修正</w:t>
            </w:r>
            <w:r>
              <w:rPr>
                <w:rFonts w:hint="eastAsia" w:ascii="宋体" w:hAnsi="宋体" w:eastAsia="宋体" w:cs="宋体"/>
                <w:bCs/>
                <w:color w:val="auto"/>
                <w:sz w:val="21"/>
                <w:szCs w:val="21"/>
                <w:lang w:val="zh-TW"/>
              </w:rPr>
              <w:t>版</w:t>
            </w:r>
            <w:r>
              <w:rPr>
                <w:rFonts w:hint="eastAsia" w:ascii="宋体" w:hAnsi="宋体" w:eastAsia="宋体" w:cs="宋体"/>
                <w:bCs/>
                <w:color w:val="auto"/>
                <w:sz w:val="21"/>
                <w:szCs w:val="21"/>
                <w:lang w:val="zh-TW" w:eastAsia="zh-TW"/>
              </w:rPr>
              <w:t>）</w:t>
            </w:r>
          </w:p>
          <w:p>
            <w:pPr>
              <w:pStyle w:val="2"/>
              <w:spacing w:line="240" w:lineRule="auto"/>
              <w:ind w:firstLine="31680"/>
              <w:rPr>
                <w:rFonts w:hint="eastAsia" w:ascii="宋体" w:hAnsi="宋体" w:eastAsia="宋体" w:cs="宋体"/>
                <w:bCs/>
                <w:color w:val="auto"/>
                <w:sz w:val="21"/>
                <w:szCs w:val="21"/>
              </w:rPr>
            </w:pPr>
            <w:r>
              <w:rPr>
                <w:rFonts w:hint="eastAsia" w:ascii="宋体" w:hAnsi="宋体" w:eastAsia="宋体" w:cs="宋体"/>
                <w:b/>
                <w:bCs w:val="0"/>
                <w:color w:val="auto"/>
                <w:sz w:val="21"/>
                <w:szCs w:val="21"/>
              </w:rPr>
              <w:t>第十七条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建设项目附属绿化工程，应当与建设项目主体工程同步设计、同步施工、同步验收，同时落实管护责任。 </w:t>
            </w:r>
          </w:p>
          <w:p>
            <w:pPr>
              <w:pStyle w:val="2"/>
              <w:spacing w:line="240" w:lineRule="auto"/>
              <w:ind w:firstLine="31680"/>
              <w:rPr>
                <w:rFonts w:hint="eastAsia" w:ascii="宋体" w:hAnsi="宋体" w:eastAsia="宋体" w:cs="宋体"/>
                <w:bCs/>
                <w:color w:val="auto"/>
                <w:sz w:val="21"/>
                <w:szCs w:val="21"/>
              </w:rPr>
            </w:pPr>
            <w:r>
              <w:rPr>
                <w:rFonts w:hint="eastAsia" w:ascii="宋体" w:hAnsi="宋体" w:eastAsia="宋体" w:cs="宋体"/>
                <w:bCs/>
                <w:color w:val="auto"/>
                <w:sz w:val="21"/>
                <w:szCs w:val="21"/>
              </w:rPr>
              <w:t>建设项目附属的绿化工程设计方案，按照基本建设程序审批时，应当有城镇绿化行政主管部门参加审查。 </w:t>
            </w:r>
          </w:p>
          <w:p>
            <w:pPr>
              <w:spacing w:line="240" w:lineRule="auto"/>
              <w:ind w:firstLine="420" w:firstLineChars="200"/>
              <w:jc w:val="both"/>
              <w:rPr>
                <w:rFonts w:hint="eastAsia" w:ascii="宋体" w:hAnsi="宋体" w:eastAsia="宋体" w:cs="宋体"/>
                <w:color w:val="auto"/>
                <w:sz w:val="21"/>
                <w:szCs w:val="21"/>
              </w:rPr>
            </w:pPr>
            <w:r>
              <w:rPr>
                <w:rFonts w:hint="eastAsia" w:ascii="宋体" w:hAnsi="宋体" w:eastAsia="宋体" w:cs="宋体"/>
                <w:bCs/>
                <w:color w:val="auto"/>
                <w:sz w:val="21"/>
                <w:szCs w:val="21"/>
              </w:rPr>
              <w:t>建设单位应当按照批准的设计方案进行施工。设计方案确需改变时，应当经原批准机关审批。</w:t>
            </w:r>
          </w:p>
        </w:tc>
        <w:tc>
          <w:tcPr>
            <w:tcW w:w="4119" w:type="dxa"/>
            <w:shd w:val="clear" w:color="auto" w:fill="auto"/>
            <w:tcMar>
              <w:top w:w="80" w:type="dxa"/>
              <w:left w:w="80" w:type="dxa"/>
              <w:bottom w:w="80" w:type="dxa"/>
              <w:right w:w="80" w:type="dxa"/>
            </w:tcMar>
          </w:tcPr>
          <w:p>
            <w:pPr>
              <w:shd w:val="clear" w:color="auto" w:fill="FFFFFF"/>
              <w:spacing w:line="240" w:lineRule="auto"/>
              <w:ind w:firstLine="420" w:firstLineChars="200"/>
              <w:jc w:val="both"/>
              <w:textAlignment w:val="baseline"/>
              <w:rPr>
                <w:rFonts w:hint="eastAsia" w:ascii="宋体" w:hAnsi="宋体" w:eastAsia="宋体" w:cs="宋体"/>
                <w:bCs/>
                <w:color w:val="auto"/>
                <w:sz w:val="21"/>
                <w:szCs w:val="21"/>
              </w:rPr>
            </w:pPr>
            <w:r>
              <w:rPr>
                <w:rFonts w:hint="eastAsia" w:ascii="宋体" w:hAnsi="宋体" w:eastAsia="宋体" w:cs="宋体"/>
                <w:bCs/>
                <w:color w:val="auto"/>
                <w:sz w:val="21"/>
                <w:szCs w:val="21"/>
                <w:lang w:val="zh-TW"/>
              </w:rPr>
              <w:t>《</w:t>
            </w:r>
            <w:r>
              <w:rPr>
                <w:rFonts w:hint="eastAsia" w:ascii="宋体" w:hAnsi="宋体" w:eastAsia="宋体" w:cs="宋体"/>
                <w:bCs/>
                <w:color w:val="auto"/>
                <w:sz w:val="21"/>
                <w:szCs w:val="21"/>
              </w:rPr>
              <w:t>CJJ82-2012园林绿化工程施工及验收规范》</w:t>
            </w:r>
          </w:p>
          <w:p>
            <w:pPr>
              <w:shd w:val="clear" w:color="auto" w:fill="FFFFFF"/>
              <w:spacing w:line="240" w:lineRule="auto"/>
              <w:ind w:firstLine="420" w:firstLineChars="200"/>
              <w:jc w:val="both"/>
              <w:textAlignment w:val="baseline"/>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eastAsia="zh-TW"/>
              </w:rPr>
              <w:t>《济宁市城市绿化条例》</w:t>
            </w:r>
            <w:r>
              <w:rPr>
                <w:rFonts w:hint="eastAsia" w:ascii="宋体" w:hAnsi="宋体" w:eastAsia="宋体" w:cs="宋体"/>
                <w:bCs/>
                <w:color w:val="auto"/>
                <w:sz w:val="21"/>
                <w:szCs w:val="21"/>
                <w:lang w:val="zh-TW"/>
              </w:rPr>
              <w:t>（</w:t>
            </w:r>
            <w:r>
              <w:rPr>
                <w:rFonts w:hint="eastAsia" w:ascii="宋体" w:hAnsi="宋体" w:eastAsia="宋体" w:cs="宋体"/>
                <w:bCs/>
                <w:color w:val="auto"/>
                <w:sz w:val="21"/>
                <w:szCs w:val="21"/>
                <w:lang w:val="zh-TW" w:eastAsia="zh-TW"/>
              </w:rPr>
              <w:t>2017年12月22日经济宁市第十七届人民代表大会常务委员会第八次会议通过,自2018年5月1日起施行。</w:t>
            </w:r>
            <w:r>
              <w:rPr>
                <w:rFonts w:hint="eastAsia" w:ascii="宋体" w:hAnsi="宋体" w:eastAsia="宋体" w:cs="宋体"/>
                <w:bCs/>
                <w:color w:val="auto"/>
                <w:sz w:val="21"/>
                <w:szCs w:val="21"/>
                <w:lang w:val="zh-TW"/>
              </w:rPr>
              <w:t>）</w:t>
            </w:r>
          </w:p>
          <w:p>
            <w:pPr>
              <w:shd w:val="clear" w:color="auto" w:fill="FFFFFF"/>
              <w:spacing w:line="240" w:lineRule="auto"/>
              <w:ind w:firstLine="422"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
                <w:bCs w:val="0"/>
                <w:color w:val="auto"/>
                <w:sz w:val="21"/>
                <w:szCs w:val="21"/>
                <w:lang w:val="zh-TW" w:eastAsia="zh-TW"/>
              </w:rPr>
              <w:t>第十九条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eastAsia="zh-TW"/>
              </w:rPr>
              <w:t>市城市规划区内公园绿地、风景林地、道路绿地等绿化工程在设计时,应当征求市城市绿化行政主管部门的意见。</w:t>
            </w:r>
          </w:p>
          <w:p>
            <w:pPr>
              <w:shd w:val="clear" w:color="auto" w:fill="FFFFFF"/>
              <w:spacing w:line="240" w:lineRule="auto"/>
              <w:ind w:firstLine="420"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建设项目的附属绿化工程设计方案,按照基本建设程序审批时,必须有城市绿化行政主管部门参加审查,对以下内容提出意见:</w:t>
            </w:r>
          </w:p>
          <w:p>
            <w:pPr>
              <w:shd w:val="clear" w:color="auto" w:fill="FFFFFF"/>
              <w:spacing w:line="240" w:lineRule="auto"/>
              <w:ind w:firstLine="420"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(一)绿地面积是否符合规定标准;</w:t>
            </w:r>
          </w:p>
          <w:p>
            <w:pPr>
              <w:shd w:val="clear" w:color="auto" w:fill="FFFFFF"/>
              <w:spacing w:line="240" w:lineRule="auto"/>
              <w:ind w:firstLine="420"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(二)绿地布局是否合理;</w:t>
            </w:r>
          </w:p>
          <w:p>
            <w:pPr>
              <w:shd w:val="clear" w:color="auto" w:fill="FFFFFF"/>
              <w:spacing w:line="240" w:lineRule="auto"/>
              <w:ind w:firstLine="420"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(三)植物的种类、配置是否适当;</w:t>
            </w:r>
          </w:p>
          <w:p>
            <w:pPr>
              <w:shd w:val="clear" w:color="auto" w:fill="FFFFFF"/>
              <w:spacing w:line="240" w:lineRule="auto"/>
              <w:ind w:firstLine="420"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(四)绿化设计是否符合园林景观要求;</w:t>
            </w:r>
          </w:p>
          <w:p>
            <w:pPr>
              <w:shd w:val="clear" w:color="auto" w:fill="FFFFFF"/>
              <w:spacing w:line="240" w:lineRule="auto"/>
              <w:ind w:firstLine="420"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(五)绿地内道路、给排水以及其他设施的设计是否符合有关园林设计规范。</w:t>
            </w:r>
          </w:p>
          <w:p>
            <w:pPr>
              <w:shd w:val="clear" w:color="auto" w:fill="FFFFFF"/>
              <w:spacing w:line="240" w:lineRule="auto"/>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建设项目附属绿化工程的设计方案应当通过网站向社会公开。</w:t>
            </w:r>
          </w:p>
          <w:p>
            <w:pPr>
              <w:shd w:val="clear" w:color="auto" w:fill="FFFFFF"/>
              <w:spacing w:line="240" w:lineRule="auto"/>
              <w:ind w:firstLine="420"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《北京市绿化条例》（2009年11月20日北京市第十三届人民代表大会常务委员会第十四次会议通过，2019年7月26日修正版）</w:t>
            </w:r>
          </w:p>
          <w:p>
            <w:pPr>
              <w:shd w:val="clear" w:color="auto" w:fill="FFFFFF"/>
              <w:spacing w:line="240" w:lineRule="auto"/>
              <w:ind w:firstLine="422"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
                <w:bCs w:val="0"/>
                <w:color w:val="auto"/>
                <w:sz w:val="21"/>
                <w:szCs w:val="21"/>
                <w:lang w:val="zh-TW" w:eastAsia="zh-TW"/>
              </w:rPr>
              <w:t>第二十条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eastAsia="zh-TW"/>
              </w:rPr>
              <w:t>建设工程应当按照规划安排绿化用地。</w:t>
            </w:r>
          </w:p>
          <w:p>
            <w:pPr>
              <w:shd w:val="clear" w:color="auto" w:fill="FFFFFF"/>
              <w:spacing w:line="240" w:lineRule="auto"/>
              <w:ind w:firstLine="420"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规划自然部门在办理相关审批手续时，应当按照绿地系统规划和详细规划确定建设工程附属绿化用地面积占建设工程用地总面积的比例。其中，新建居住区、居住小区绿化用地面积比例不得低于30%，并按照居住区人均不低于2平方米、居住小区人均不低于1平方米的标准建设集中绿地；成片开发或者改造的地区应当按照规划要求建设集中绿地，绿地建设费用纳入开发建设总投资。</w:t>
            </w:r>
          </w:p>
          <w:p>
            <w:pPr>
              <w:pStyle w:val="2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bCs/>
                <w:color w:val="auto"/>
                <w:sz w:val="21"/>
                <w:szCs w:val="21"/>
                <w:lang w:val="zh-TW" w:eastAsia="zh-TW"/>
              </w:rPr>
              <w:t>建设单位报送的建设工程设计方案应当包括附属绿化用地平面图并标明绿化用地的面积和位置。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70"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color w:val="auto"/>
                <w:sz w:val="21"/>
                <w:szCs w:val="21"/>
                <w:lang w:val="zh-TW"/>
              </w:rPr>
            </w:pPr>
            <w:r>
              <w:rPr>
                <w:rFonts w:hint="eastAsia" w:ascii="宋体" w:hAnsi="宋体" w:eastAsia="宋体" w:cs="宋体"/>
                <w:b/>
                <w:bCs w:val="0"/>
                <w:color w:val="auto"/>
                <w:sz w:val="21"/>
                <w:szCs w:val="21"/>
              </w:rPr>
              <w:t>监督管理</w:t>
            </w:r>
          </w:p>
        </w:tc>
        <w:tc>
          <w:tcPr>
            <w:tcW w:w="5010" w:type="dxa"/>
            <w:shd w:val="clear" w:color="auto" w:fill="auto"/>
            <w:tcMar>
              <w:top w:w="80" w:type="dxa"/>
              <w:left w:w="80" w:type="dxa"/>
              <w:bottom w:w="80" w:type="dxa"/>
              <w:right w:w="80" w:type="dxa"/>
            </w:tcMar>
          </w:tcPr>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第十条  </w:t>
            </w:r>
            <w:r>
              <w:rPr>
                <w:rFonts w:hint="eastAsia" w:ascii="宋体" w:hAnsi="宋体" w:eastAsia="宋体" w:cs="宋体"/>
                <w:color w:val="auto"/>
                <w:sz w:val="21"/>
                <w:szCs w:val="21"/>
              </w:rPr>
              <w:t>使用国有资金或者国家融资资金的城镇绿化工程以及建设工程项目附属绿化工程开工前，建设单位应当向住房和城乡建设行政主管部门办理绿化工程质量监督手续。</w:t>
            </w:r>
          </w:p>
          <w:p>
            <w:p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市、县（区）住房和城乡建设行政主管部门应当加强对本行政区内园林绿化工程的质量监督管理，重点对以下内容进行监管：</w:t>
            </w:r>
          </w:p>
          <w:p>
            <w:pPr>
              <w:numPr>
                <w:ilvl w:val="0"/>
                <w:numId w:val="2"/>
              </w:num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苗木、种植土、置石等园林工程材料的质量情况；</w:t>
            </w:r>
          </w:p>
          <w:p>
            <w:pPr>
              <w:numPr>
                <w:ilvl w:val="0"/>
                <w:numId w:val="2"/>
              </w:num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亭、台、廊、榭等园林构筑物主体结构安全和工程质量情况；</w:t>
            </w:r>
          </w:p>
          <w:p>
            <w:pPr>
              <w:pStyle w:val="20"/>
              <w:widowControl/>
              <w:spacing w:line="24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sz w:val="21"/>
                <w:szCs w:val="21"/>
              </w:rPr>
              <w:t>地形整理、假山建造、树穴开挖、苗木吊装、高空修剪等施工关键环节质量安全管理情况。</w:t>
            </w:r>
          </w:p>
        </w:tc>
        <w:tc>
          <w:tcPr>
            <w:tcW w:w="5670" w:type="dxa"/>
            <w:shd w:val="clear" w:color="auto" w:fill="auto"/>
            <w:tcMar>
              <w:top w:w="80" w:type="dxa"/>
              <w:left w:w="80" w:type="dxa"/>
              <w:bottom w:w="80" w:type="dxa"/>
              <w:right w:w="80" w:type="dxa"/>
            </w:tcMar>
          </w:tcPr>
          <w:p>
            <w:pPr>
              <w:spacing w:line="24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《辽宁省城镇绿化条例》（2012年1月5日辽宁省第十一届人民代表大会常务委员会第27次会议通过，2017年9月28日修正版）</w:t>
            </w:r>
          </w:p>
          <w:p>
            <w:pPr>
              <w:shd w:val="clear" w:color="auto" w:fill="FFFFFF"/>
              <w:adjustRightInd w:val="0"/>
              <w:snapToGrid w:val="0"/>
              <w:spacing w:line="240" w:lineRule="auto"/>
              <w:ind w:firstLine="422"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
                <w:bCs w:val="0"/>
                <w:color w:val="auto"/>
                <w:sz w:val="21"/>
                <w:szCs w:val="21"/>
                <w:lang w:val="zh-TW" w:eastAsia="zh-TW"/>
              </w:rPr>
              <w:t>第十七条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eastAsia="zh-TW"/>
              </w:rPr>
              <w:t>建设项目附属绿化工程，应当与建设项目主体工程同步设计、同步施工、同步验收，同时落实管护责任。 </w:t>
            </w:r>
          </w:p>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建设项目附属的绿化工程设计方案，按照基本建设程序审批时，应当有城镇绿化行政主管部门参加审查。 </w:t>
            </w:r>
          </w:p>
          <w:p>
            <w:pPr>
              <w:pStyle w:val="20"/>
              <w:widowControl/>
              <w:spacing w:line="240" w:lineRule="auto"/>
              <w:ind w:firstLine="420" w:firstLineChars="200"/>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建设单位应当按照批准的设计方案进行施工。设计方案确需改变时，应当经原批准机关审批。</w:t>
            </w:r>
          </w:p>
          <w:p>
            <w:pPr>
              <w:shd w:val="clear" w:color="auto" w:fill="FFFFFF"/>
              <w:adjustRightInd w:val="0"/>
              <w:snapToGrid w:val="0"/>
              <w:spacing w:line="240" w:lineRule="auto"/>
              <w:ind w:firstLine="422" w:firstLineChars="200"/>
              <w:textAlignment w:val="baseline"/>
              <w:rPr>
                <w:rFonts w:hint="eastAsia" w:ascii="宋体" w:hAnsi="宋体" w:eastAsia="宋体" w:cs="宋体"/>
                <w:bCs/>
                <w:color w:val="auto"/>
                <w:sz w:val="21"/>
                <w:szCs w:val="21"/>
                <w:lang w:val="zh-TW" w:eastAsia="zh-TW"/>
              </w:rPr>
            </w:pPr>
            <w:r>
              <w:rPr>
                <w:rFonts w:hint="eastAsia" w:ascii="宋体" w:hAnsi="宋体" w:eastAsia="宋体" w:cs="宋体"/>
                <w:b/>
                <w:bCs w:val="0"/>
                <w:color w:val="auto"/>
                <w:sz w:val="21"/>
                <w:szCs w:val="21"/>
                <w:lang w:val="zh-TW" w:eastAsia="zh-TW"/>
              </w:rPr>
              <w:t>第十九条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eastAsia="zh-TW"/>
              </w:rPr>
              <w:t>建设项目附属绿化工程应当纳入建设工程竣工验收范围。 </w:t>
            </w:r>
          </w:p>
          <w:p>
            <w:pPr>
              <w:pStyle w:val="20"/>
              <w:widowControl/>
              <w:spacing w:line="240" w:lineRule="auto"/>
              <w:ind w:firstLine="420" w:firstLineChars="200"/>
              <w:jc w:val="left"/>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建设单位应当自验收合格之日起十五个工作日内将附属绿化工程的竣工验收资料报送城镇绿化行政主管部门备案。有关资料应当纳入城镇建设档案进行管理。</w:t>
            </w:r>
          </w:p>
          <w:p>
            <w:pPr>
              <w:pStyle w:val="20"/>
              <w:widowControl/>
              <w:spacing w:line="240" w:lineRule="auto"/>
              <w:ind w:firstLine="420" w:firstLineChars="200"/>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国务院关于修改部分行政法规的决定》（国务院第714号令）2019年4月23日《建设工程质量管理条例》第十三条修改为：建设单位在开工前，应当按照国家有关规定办理工程质量监督手续，工程质量监督手续可以与施工许可证或者开工报告合并办理。</w:t>
            </w:r>
          </w:p>
          <w:p>
            <w:pPr>
              <w:pStyle w:val="20"/>
              <w:widowControl/>
              <w:spacing w:line="240" w:lineRule="auto"/>
              <w:ind w:firstLine="420" w:firstLineChars="200"/>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修改《住房城乡建设部关于印发&lt;房屋建筑和市政基础设施工程施工安全监督规定&gt;的通知》（建质〔2014〕153号）（一）将第七条“县级以上地方人民政府住房城乡建设主管部门或其所属的施工安全监督机构（以下合称监督机构）应当对本行政区域内已办理施工安全监督手续并取得施工许可证的工程项目实施施工安全监督”修改为“县级以上地方人民政府住房城乡建设主管部门或其所属的施工安全监督机构（以下合称监督机构）应当对本行政区域内已取得施工许可证的工程项目实施施工安全监督”。</w:t>
            </w:r>
          </w:p>
          <w:p>
            <w:pPr>
              <w:pStyle w:val="20"/>
              <w:widowControl/>
              <w:spacing w:line="240" w:lineRule="auto"/>
              <w:ind w:firstLine="420" w:firstLineChars="200"/>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修改《房屋建筑和市政基础设施工程施工安全监督工作规程》（建质〔2014〕154号）</w:t>
            </w:r>
          </w:p>
          <w:p>
            <w:pPr>
              <w:pStyle w:val="8"/>
              <w:shd w:val="clear" w:color="auto" w:fill="FFFFFF"/>
              <w:spacing w:before="0" w:after="225" w:line="240" w:lineRule="auto"/>
              <w:ind w:firstLine="420"/>
              <w:rPr>
                <w:rFonts w:hint="eastAsia" w:ascii="宋体" w:hAnsi="宋体" w:eastAsia="宋体" w:cs="宋体"/>
                <w:bCs/>
                <w:color w:val="auto"/>
                <w:sz w:val="21"/>
                <w:szCs w:val="21"/>
              </w:rPr>
            </w:pPr>
            <w:r>
              <w:rPr>
                <w:rFonts w:hint="eastAsia" w:ascii="宋体" w:hAnsi="宋体" w:eastAsia="宋体" w:cs="宋体"/>
                <w:bCs/>
                <w:color w:val="auto"/>
                <w:kern w:val="0"/>
                <w:sz w:val="21"/>
                <w:szCs w:val="21"/>
              </w:rPr>
              <w:t>将第四条“工程项目施工前，建设单位应当申请办理施工安全监督手续，并提交以下资料：（一）工程概况；（二）建设、勘察、设计、施工、监理等单位及项目负责人等主要管理人员一览表；（三）危险性较大分部分项工程清单；（四）施工合同中约定的安全防护、文明施工措施费用支付计划；（五）建设、施工、监理单位法定代表人及项目负责人安全生产承诺书；（六）省级住房城乡建设主管部门规定的其他保障安全施工具体措施的资料。监督机构收到建设单位提交的资料后进行查验，必要时进行现场踏勘，对符合要求的，在5个工作日内向建设单位发放《施工安全监督告知书》”修改为“工程项目施工前，建设单位应当申请办理施工许可证。住房城乡建设主管部门可以将建设单位提交的保证安全施工具体措施的资料（包括工程项目及参建单位基本信息）委托监督机构进行查验，必要时可以进行现场踏勘，对不符合施工许可条件的，不得颁发施工许可证”。</w:t>
            </w:r>
          </w:p>
        </w:tc>
        <w:tc>
          <w:tcPr>
            <w:tcW w:w="4119" w:type="dxa"/>
            <w:shd w:val="clear" w:color="auto" w:fill="auto"/>
            <w:tcMar>
              <w:top w:w="80" w:type="dxa"/>
              <w:left w:w="80" w:type="dxa"/>
              <w:bottom w:w="80" w:type="dxa"/>
              <w:right w:w="80" w:type="dxa"/>
            </w:tcMar>
          </w:tcPr>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《住房城乡建设部印发&lt;园林绿化工程建设管理规定&gt;的通知》（建城[2017]251号）</w:t>
            </w:r>
          </w:p>
          <w:p>
            <w:pPr>
              <w:spacing w:line="240" w:lineRule="auto"/>
              <w:ind w:firstLine="422" w:firstLineChars="200"/>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rPr>
              <w:t>第九条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城镇园林绿化主管部门应当加强对本行政区内园林绿化工程质量安全监督管理，重点对以下内容进行监管:</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(一)苗木、种植土、置石等园林工程材料的质量情况;</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(二)亭、台、廊、榭等园林构筑物主体结构安全和工程质量情况;</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(三)地形整理、假山建造、树穴开挖、苗木吊装、高空修剪等施工关键环节质量安全管理情况。</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园林绿化工程质量安全监督管理可由城镇园林绿化主管部门委托园林绿化工程质量安全监督机构具体实施。</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《厦门经济特区园林绿化条例》（2018年6月29日厦门市第十五届人民代表大会常务委员会第十四次会议通过）</w:t>
            </w:r>
          </w:p>
          <w:p>
            <w:pPr>
              <w:spacing w:line="240" w:lineRule="auto"/>
              <w:ind w:firstLine="422" w:firstLineChars="200"/>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rPr>
              <w:t>第二十八条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园林绿化工程建设单位应当按照国家、省、市的有关规定，在园林绿化工程开工前向相应的质量安全监督机构办理工程质量安全监督手续。</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园林绿化工程建设单位组织园林绿化工程竣工验收时，应当向质量安全监督机构申报监督检查，验收合格后方能交付使用。</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质量安全监督机构开展园林绿化工程质量安全监督，应当建立随机检查、结果公开、监管建档、信用记录的监管机制，加强对地形改造、树穴开挖等施工关键环节，苗木、种植土质量以及文明施工情况的监管。</w:t>
            </w:r>
          </w:p>
          <w:p>
            <w:pPr>
              <w:pStyle w:val="2"/>
              <w:spacing w:line="240" w:lineRule="auto"/>
              <w:ind w:firstLine="3168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《舟山市城市绿化条例》（2017年12月29日舟山市第七届人民代表大会常务委员会第九次会议通过，2018年3月31日浙江省第十三届人民代表大会常务委员会第二次会议批准）</w:t>
            </w:r>
          </w:p>
          <w:p>
            <w:pPr>
              <w:pStyle w:val="2"/>
              <w:spacing w:line="240" w:lineRule="auto"/>
              <w:ind w:firstLine="31680"/>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rPr>
              <w:t>第二十一条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城市绿化建设工程的设计、施工，应当执行绿化建设工程设计规范和施工规程，并接受住房城乡建设行政主管部门的监督、检查和指导。</w:t>
            </w:r>
          </w:p>
          <w:p>
            <w:pPr>
              <w:pStyle w:val="2"/>
              <w:spacing w:line="240" w:lineRule="auto"/>
              <w:ind w:firstLine="3168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建设单位应当按照规定办理城市绿化建设工程质量和安全监督手续。</w:t>
            </w:r>
          </w:p>
          <w:p>
            <w:pPr>
              <w:pStyle w:val="20"/>
              <w:widowControl/>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bCs/>
                <w:color w:val="auto"/>
                <w:sz w:val="21"/>
                <w:szCs w:val="21"/>
                <w:lang w:val="zh-TW"/>
              </w:rPr>
              <w:t>城市绿化建设工程竣工后，有关质量安全监督机构应当按照规定对符合竣工验收要求的城市绿化建设工程出具质量监督报告。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5"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bCs/>
                <w:color w:val="auto"/>
                <w:sz w:val="21"/>
                <w:szCs w:val="21"/>
                <w:lang w:val="zh-TW"/>
              </w:rPr>
            </w:pPr>
            <w:r>
              <w:rPr>
                <w:rFonts w:hint="eastAsia" w:ascii="宋体" w:hAnsi="宋体" w:eastAsia="宋体" w:cs="宋体"/>
                <w:b/>
                <w:bCs w:val="0"/>
                <w:color w:val="auto"/>
                <w:sz w:val="21"/>
                <w:szCs w:val="21"/>
              </w:rPr>
              <w:t>竣工验收</w:t>
            </w:r>
          </w:p>
        </w:tc>
        <w:tc>
          <w:tcPr>
            <w:tcW w:w="5010" w:type="dxa"/>
            <w:shd w:val="clear" w:color="auto" w:fill="auto"/>
            <w:tcMar>
              <w:top w:w="80" w:type="dxa"/>
              <w:left w:w="80" w:type="dxa"/>
              <w:bottom w:w="80" w:type="dxa"/>
              <w:right w:w="80" w:type="dxa"/>
            </w:tcMar>
          </w:tcPr>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第十一条  </w:t>
            </w:r>
            <w:r>
              <w:rPr>
                <w:rFonts w:hint="eastAsia" w:ascii="宋体" w:hAnsi="宋体" w:eastAsia="宋体" w:cs="宋体"/>
                <w:color w:val="auto"/>
                <w:sz w:val="21"/>
                <w:szCs w:val="21"/>
              </w:rPr>
              <w:t>建设单位应当遵守下列规定</w:t>
            </w:r>
          </w:p>
          <w:p>
            <w:pPr>
              <w:numPr>
                <w:ilvl w:val="0"/>
                <w:numId w:val="3"/>
              </w:numPr>
              <w:spacing w:line="240" w:lineRule="auto"/>
              <w:ind w:firstLine="420" w:firstLineChars="200"/>
              <w:rPr>
                <w:rFonts w:hint="eastAsia" w:ascii="宋体" w:hAnsi="宋体" w:eastAsia="宋体" w:cs="宋体"/>
                <w:b/>
                <w:bCs/>
                <w:color w:val="auto"/>
                <w:sz w:val="21"/>
                <w:szCs w:val="21"/>
              </w:rPr>
            </w:pPr>
            <w:r>
              <w:rPr>
                <w:rFonts w:hint="eastAsia" w:ascii="宋体" w:hAnsi="宋体" w:eastAsia="宋体" w:cs="宋体"/>
                <w:color w:val="auto"/>
                <w:sz w:val="21"/>
                <w:szCs w:val="21"/>
              </w:rPr>
              <w:t>建设单位应当组织绿化工程的设计、施工、工程监理等有关单位对绿化工程是否符合设计方案进行验收，并将验收结果载于建设工程竣工验收报告；</w:t>
            </w:r>
          </w:p>
          <w:p>
            <w:pPr>
              <w:numPr>
                <w:ilvl w:val="0"/>
                <w:numId w:val="3"/>
              </w:num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自绿化工程竣工验收合格之日起十五日内，将相关资料报送住房和城乡建设行政主管部门备案；</w:t>
            </w:r>
          </w:p>
          <w:p>
            <w:pPr>
              <w:numPr>
                <w:ilvl w:val="0"/>
                <w:numId w:val="3"/>
              </w:num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自住房和城乡建设行政主管部门备案通过之日起十五日内，在建设项目所在地显著位置设置绿地平面图，并标明绿地面积；</w:t>
            </w:r>
          </w:p>
          <w:p>
            <w:pPr>
              <w:numPr>
                <w:ilvl w:val="0"/>
                <w:numId w:val="3"/>
              </w:num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按照有关规定将绿化工程建设档案移交城建档案管理机构。</w:t>
            </w:r>
          </w:p>
          <w:p>
            <w:pPr>
              <w:pStyle w:val="8"/>
              <w:spacing w:before="0" w:after="0" w:line="240" w:lineRule="auto"/>
              <w:ind w:firstLine="422" w:firstLineChars="200"/>
              <w:jc w:val="both"/>
              <w:rPr>
                <w:rFonts w:hint="eastAsia" w:ascii="宋体" w:hAnsi="宋体" w:eastAsia="宋体" w:cs="宋体"/>
                <w:b/>
                <w:color w:val="auto"/>
                <w:sz w:val="21"/>
                <w:szCs w:val="21"/>
              </w:rPr>
            </w:pPr>
          </w:p>
        </w:tc>
        <w:tc>
          <w:tcPr>
            <w:tcW w:w="5670" w:type="dxa"/>
            <w:shd w:val="clear" w:color="auto" w:fill="auto"/>
            <w:tcMar>
              <w:top w:w="80" w:type="dxa"/>
              <w:left w:w="80" w:type="dxa"/>
              <w:bottom w:w="80" w:type="dxa"/>
              <w:right w:w="80" w:type="dxa"/>
            </w:tcMar>
          </w:tcPr>
          <w:p>
            <w:pPr>
              <w:spacing w:line="24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《辽宁省城镇绿化条例》（2012年1月5日辽宁省第十一届人民代表大会常务委员会第27次会议通过，2017年9月28日修正版）</w:t>
            </w:r>
          </w:p>
          <w:p>
            <w:pPr>
              <w:spacing w:line="240" w:lineRule="auto"/>
              <w:ind w:firstLine="422" w:firstLineChars="200"/>
              <w:rPr>
                <w:rFonts w:hint="eastAsia" w:ascii="宋体" w:hAnsi="宋体" w:eastAsia="宋体" w:cs="宋体"/>
                <w:bCs/>
                <w:color w:val="auto"/>
                <w:sz w:val="21"/>
                <w:szCs w:val="21"/>
              </w:rPr>
            </w:pPr>
            <w:r>
              <w:rPr>
                <w:rFonts w:hint="eastAsia" w:ascii="宋体" w:hAnsi="宋体" w:eastAsia="宋体" w:cs="宋体"/>
                <w:b/>
                <w:bCs w:val="0"/>
                <w:color w:val="auto"/>
                <w:sz w:val="21"/>
                <w:szCs w:val="21"/>
              </w:rPr>
              <w:t>第十九条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建设项目附属绿化工程应当纳入建设工程竣工验收范围。 </w:t>
            </w:r>
          </w:p>
          <w:p>
            <w:pPr>
              <w:spacing w:line="24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建设单位应当自验收合格之日起十五个工作日内将附属绿化工程的竣工验收资料报送城镇绿化行政主管部门备案。有关资料应当纳入城镇建设档案进行管理。 </w:t>
            </w:r>
          </w:p>
          <w:p>
            <w:pPr>
              <w:spacing w:line="240" w:lineRule="auto"/>
              <w:ind w:firstLine="430"/>
              <w:jc w:val="both"/>
              <w:rPr>
                <w:rFonts w:hint="eastAsia" w:ascii="宋体" w:hAnsi="宋体" w:eastAsia="宋体" w:cs="宋体"/>
                <w:bCs/>
                <w:color w:val="auto"/>
                <w:sz w:val="21"/>
                <w:szCs w:val="21"/>
              </w:rPr>
            </w:pPr>
          </w:p>
        </w:tc>
        <w:tc>
          <w:tcPr>
            <w:tcW w:w="4119" w:type="dxa"/>
            <w:shd w:val="clear" w:color="auto" w:fill="auto"/>
            <w:tcMar>
              <w:top w:w="80" w:type="dxa"/>
              <w:left w:w="80" w:type="dxa"/>
              <w:bottom w:w="80" w:type="dxa"/>
              <w:right w:w="80" w:type="dxa"/>
            </w:tcMar>
          </w:tcPr>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rPr>
            </w:pPr>
            <w:r>
              <w:rPr>
                <w:rFonts w:hint="eastAsia" w:ascii="宋体" w:hAnsi="宋体" w:eastAsia="宋体" w:cs="宋体"/>
                <w:bCs/>
                <w:color w:val="auto"/>
                <w:sz w:val="21"/>
                <w:szCs w:val="21"/>
                <w:lang w:val="zh-TW"/>
              </w:rPr>
              <w:t>《住房城乡建设部印发&lt;园林绿化工程建设管理</w:t>
            </w:r>
            <w:r>
              <w:rPr>
                <w:rFonts w:hint="eastAsia" w:ascii="宋体" w:hAnsi="宋体" w:eastAsia="宋体" w:cs="宋体"/>
                <w:bCs/>
                <w:color w:val="auto"/>
                <w:sz w:val="21"/>
                <w:szCs w:val="21"/>
              </w:rPr>
              <w:t>规定&gt;的通知》（建城[2017]251号）</w:t>
            </w:r>
          </w:p>
          <w:p>
            <w:pPr>
              <w:pStyle w:val="20"/>
              <w:widowControl/>
              <w:spacing w:line="240" w:lineRule="auto"/>
              <w:ind w:firstLine="422" w:firstLineChars="200"/>
              <w:rPr>
                <w:rFonts w:hint="eastAsia" w:ascii="宋体" w:hAnsi="宋体" w:eastAsia="宋体" w:cs="宋体"/>
                <w:bCs/>
                <w:color w:val="auto"/>
                <w:kern w:val="0"/>
                <w:sz w:val="21"/>
                <w:szCs w:val="21"/>
              </w:rPr>
            </w:pPr>
            <w:r>
              <w:rPr>
                <w:rFonts w:hint="eastAsia" w:ascii="宋体" w:hAnsi="宋体" w:eastAsia="宋体" w:cs="宋体"/>
                <w:b/>
                <w:bCs w:val="0"/>
                <w:color w:val="auto"/>
                <w:kern w:val="0"/>
                <w:sz w:val="21"/>
                <w:szCs w:val="21"/>
              </w:rPr>
              <w:t>第十条</w:t>
            </w:r>
            <w:r>
              <w:rPr>
                <w:rFonts w:hint="eastAsia" w:ascii="宋体" w:hAnsi="宋体" w:eastAsia="宋体" w:cs="宋体"/>
                <w:bCs/>
                <w:color w:val="auto"/>
                <w:kern w:val="0"/>
                <w:sz w:val="21"/>
                <w:szCs w:val="21"/>
                <w:lang w:val="en-US" w:eastAsia="zh-CN"/>
              </w:rPr>
              <w:t xml:space="preserve">  </w:t>
            </w:r>
            <w:r>
              <w:rPr>
                <w:rFonts w:hint="eastAsia" w:ascii="宋体" w:hAnsi="宋体" w:eastAsia="宋体" w:cs="宋体"/>
                <w:bCs/>
                <w:color w:val="auto"/>
                <w:kern w:val="0"/>
                <w:sz w:val="21"/>
                <w:szCs w:val="21"/>
              </w:rPr>
              <w:t>园林绿化工程竣工验收应通知项目所在地城镇园林绿化主管部门，城镇园林绿化主管部门或其委托的质量安全监督机构应按照有关规定监督工程竣工验收，出具《工程质量监督报告》，并纳入园林绿化市场主体信用记录。</w:t>
            </w:r>
          </w:p>
          <w:p>
            <w:pPr>
              <w:pStyle w:val="20"/>
              <w:widowControl/>
              <w:spacing w:line="240" w:lineRule="auto"/>
              <w:ind w:firstLine="420" w:firstLineChars="200"/>
              <w:rPr>
                <w:rFonts w:hint="eastAsia" w:ascii="宋体" w:hAnsi="宋体" w:eastAsia="宋体" w:cs="宋体"/>
                <w:bCs/>
                <w:color w:val="auto"/>
                <w:kern w:val="0"/>
                <w:sz w:val="21"/>
                <w:szCs w:val="21"/>
                <w:lang w:val="zh-TW"/>
              </w:rPr>
            </w:pPr>
            <w:r>
              <w:rPr>
                <w:rFonts w:hint="eastAsia" w:ascii="宋体" w:hAnsi="宋体" w:eastAsia="宋体" w:cs="宋体"/>
                <w:bCs/>
                <w:color w:val="auto"/>
                <w:kern w:val="0"/>
                <w:sz w:val="21"/>
                <w:szCs w:val="21"/>
                <w:lang w:val="zh-TW"/>
              </w:rPr>
              <w:t>《临沧市城市绿化管理条例》（2019年8月26日临沧市第四届人民代表大会常务委员会第十三次会议通过，2020年1月1日起施行。）</w:t>
            </w:r>
          </w:p>
          <w:p>
            <w:pPr>
              <w:pStyle w:val="20"/>
              <w:widowControl/>
              <w:spacing w:line="240" w:lineRule="auto"/>
              <w:ind w:firstLine="422" w:firstLineChars="200"/>
              <w:rPr>
                <w:rFonts w:hint="eastAsia" w:ascii="宋体" w:hAnsi="宋体" w:eastAsia="宋体" w:cs="宋体"/>
                <w:bCs/>
                <w:color w:val="auto"/>
                <w:kern w:val="0"/>
                <w:sz w:val="21"/>
                <w:szCs w:val="21"/>
                <w:lang w:val="zh-TW"/>
              </w:rPr>
            </w:pPr>
            <w:r>
              <w:rPr>
                <w:rFonts w:hint="eastAsia" w:ascii="宋体" w:hAnsi="宋体" w:eastAsia="宋体" w:cs="宋体"/>
                <w:b/>
                <w:bCs w:val="0"/>
                <w:color w:val="auto"/>
                <w:kern w:val="0"/>
                <w:sz w:val="21"/>
                <w:szCs w:val="21"/>
                <w:lang w:val="zh-TW"/>
              </w:rPr>
              <w:t>第十五条</w:t>
            </w:r>
            <w:r>
              <w:rPr>
                <w:rFonts w:hint="eastAsia" w:ascii="宋体" w:hAnsi="宋体" w:eastAsia="宋体" w:cs="宋体"/>
                <w:bCs/>
                <w:color w:val="auto"/>
                <w:kern w:val="0"/>
                <w:sz w:val="21"/>
                <w:szCs w:val="21"/>
                <w:lang w:val="en-US" w:eastAsia="zh-CN"/>
              </w:rPr>
              <w:t xml:space="preserve">  </w:t>
            </w:r>
            <w:r>
              <w:rPr>
                <w:rFonts w:hint="eastAsia" w:ascii="宋体" w:hAnsi="宋体" w:eastAsia="宋体" w:cs="宋体"/>
                <w:bCs/>
                <w:color w:val="auto"/>
                <w:kern w:val="0"/>
                <w:sz w:val="21"/>
                <w:szCs w:val="21"/>
                <w:lang w:val="zh-TW"/>
              </w:rPr>
              <w:t>城市公共绿化工程和工程建设项目的附属绿化工程竣工后，项目建设单位应当依法组织设计、施工、监理等单位进行竣工验收；质量监督机构应当按照有关规定监督工程竣工验收。</w:t>
            </w:r>
          </w:p>
          <w:p>
            <w:pPr>
              <w:pStyle w:val="20"/>
              <w:widowControl/>
              <w:spacing w:line="240" w:lineRule="auto"/>
              <w:ind w:firstLine="420" w:firstLineChars="200"/>
              <w:rPr>
                <w:rFonts w:hint="eastAsia" w:ascii="宋体" w:hAnsi="宋体" w:eastAsia="宋体" w:cs="宋体"/>
                <w:bCs/>
                <w:color w:val="auto"/>
                <w:kern w:val="0"/>
                <w:sz w:val="21"/>
                <w:szCs w:val="21"/>
                <w:lang w:val="zh-TW"/>
              </w:rPr>
            </w:pPr>
            <w:r>
              <w:rPr>
                <w:rFonts w:hint="eastAsia" w:ascii="宋体" w:hAnsi="宋体" w:eastAsia="宋体" w:cs="宋体"/>
                <w:bCs/>
                <w:color w:val="auto"/>
                <w:kern w:val="0"/>
                <w:sz w:val="21"/>
                <w:szCs w:val="21"/>
                <w:lang w:val="zh-TW"/>
              </w:rPr>
              <w:t>居住区建设项目附属绿化工程竣工后，建设单位应当在居住区显著位置公布绿地平面图。</w:t>
            </w:r>
          </w:p>
          <w:p>
            <w:pPr>
              <w:pStyle w:val="20"/>
              <w:widowControl/>
              <w:spacing w:line="240" w:lineRule="auto"/>
              <w:ind w:firstLine="420" w:firstLineChars="200"/>
              <w:rPr>
                <w:rFonts w:hint="eastAsia" w:ascii="宋体" w:hAnsi="宋体" w:eastAsia="宋体" w:cs="宋体"/>
                <w:bCs/>
                <w:color w:val="auto"/>
                <w:kern w:val="0"/>
                <w:sz w:val="21"/>
                <w:szCs w:val="21"/>
                <w:lang w:val="zh-TW"/>
              </w:rPr>
            </w:pPr>
            <w:r>
              <w:rPr>
                <w:rFonts w:hint="eastAsia" w:ascii="宋体" w:hAnsi="宋体" w:eastAsia="宋体" w:cs="宋体"/>
                <w:bCs/>
                <w:color w:val="auto"/>
                <w:kern w:val="0"/>
                <w:sz w:val="21"/>
                <w:szCs w:val="21"/>
                <w:lang w:val="zh-TW"/>
              </w:rPr>
              <w:t>项目建设单位应当在城市绿化工程竣工验收合格后15日内，将绿化工程竣工验收资料分别报送自然资源规划行政主管部门和城市绿化行政主管部门备案。</w:t>
            </w:r>
          </w:p>
          <w:p>
            <w:pPr>
              <w:pStyle w:val="20"/>
              <w:widowControl/>
              <w:spacing w:line="24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lang w:val="zh-TW"/>
              </w:rPr>
              <w:t>《北京市绿化条例》（</w:t>
            </w:r>
            <w:r>
              <w:rPr>
                <w:rFonts w:hint="eastAsia" w:ascii="宋体" w:hAnsi="宋体" w:eastAsia="宋体" w:cs="宋体"/>
                <w:bCs/>
                <w:color w:val="auto"/>
                <w:sz w:val="21"/>
                <w:szCs w:val="21"/>
              </w:rPr>
              <w:t>2009年11月20日北京市第十三届人民代表大会常务委员会第十四次会议通过，2019年7月26日修正版）</w:t>
            </w:r>
          </w:p>
          <w:p>
            <w:pPr>
              <w:pStyle w:val="20"/>
              <w:widowControl/>
              <w:spacing w:line="240" w:lineRule="auto"/>
              <w:ind w:firstLine="422" w:firstLineChars="200"/>
              <w:rPr>
                <w:rFonts w:hint="eastAsia" w:ascii="宋体" w:hAnsi="宋体" w:eastAsia="宋体" w:cs="宋体"/>
                <w:bCs/>
                <w:color w:val="auto"/>
                <w:sz w:val="21"/>
                <w:szCs w:val="21"/>
              </w:rPr>
            </w:pPr>
            <w:r>
              <w:rPr>
                <w:rFonts w:hint="eastAsia" w:ascii="宋体" w:hAnsi="宋体" w:eastAsia="宋体" w:cs="宋体"/>
                <w:b/>
                <w:bCs w:val="0"/>
                <w:color w:val="auto"/>
                <w:sz w:val="21"/>
                <w:szCs w:val="21"/>
                <w:lang w:val="zh-TW"/>
              </w:rPr>
              <w:t>第二十四条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公共绿地建设工程竣工后，市或者区园林绿化部门应当组织验收，验收合格后方可交付使用。</w:t>
            </w:r>
          </w:p>
          <w:p>
            <w:pPr>
              <w:pStyle w:val="20"/>
              <w:widowControl/>
              <w:spacing w:line="24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建设工程附属绿化工程应当纳入建设工程竣工验收范围，规划自然资源部门应当对附属绿化用地的面积和位置是否符合规划许可的内容予以核实；建设单位应当组织绿化工程的设计、施工、监理等有关单位对绿化工程是否符合设计方案进行验收，将验收结果载于建设工程竣工验收报告。</w:t>
            </w:r>
          </w:p>
          <w:p>
            <w:pPr>
              <w:pStyle w:val="8"/>
              <w:shd w:val="clear" w:color="auto" w:fill="FFFFFF"/>
              <w:spacing w:before="0" w:after="0" w:line="240" w:lineRule="auto"/>
              <w:ind w:firstLine="480"/>
              <w:rPr>
                <w:rFonts w:hint="eastAsia" w:ascii="宋体" w:hAnsi="宋体" w:eastAsia="宋体" w:cs="宋体"/>
                <w:bCs/>
                <w:color w:val="auto"/>
                <w:sz w:val="21"/>
                <w:szCs w:val="21"/>
                <w:lang w:eastAsia="zh-TW"/>
              </w:rPr>
            </w:pPr>
            <w:r>
              <w:rPr>
                <w:rFonts w:hint="eastAsia" w:ascii="宋体" w:hAnsi="宋体" w:eastAsia="宋体" w:cs="宋体"/>
                <w:bCs/>
                <w:color w:val="auto"/>
                <w:sz w:val="21"/>
                <w:szCs w:val="21"/>
              </w:rPr>
              <w:t>公共绿地建设工程、建设工程附属绿化工程竣工验收后，有关资料应当纳入城市建设档案进行管理。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5"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val="0"/>
                <w:color w:val="auto"/>
                <w:sz w:val="21"/>
                <w:szCs w:val="21"/>
              </w:rPr>
              <w:t>闲置土地</w:t>
            </w:r>
          </w:p>
        </w:tc>
        <w:tc>
          <w:tcPr>
            <w:tcW w:w="5010" w:type="dxa"/>
            <w:shd w:val="clear" w:color="auto" w:fill="auto"/>
            <w:tcMar>
              <w:top w:w="80" w:type="dxa"/>
              <w:left w:w="80" w:type="dxa"/>
              <w:bottom w:w="80" w:type="dxa"/>
              <w:right w:w="80" w:type="dxa"/>
            </w:tcMar>
          </w:tcPr>
          <w:p>
            <w:pPr>
              <w:pStyle w:val="8"/>
              <w:spacing w:line="240" w:lineRule="auto"/>
              <w:ind w:firstLine="422" w:firstLineChars="200"/>
              <w:jc w:val="both"/>
              <w:rPr>
                <w:rFonts w:hint="eastAsia" w:ascii="宋体" w:hAnsi="宋体" w:eastAsia="宋体" w:cs="宋体"/>
                <w:b/>
                <w:color w:val="auto"/>
                <w:sz w:val="21"/>
                <w:szCs w:val="21"/>
              </w:rPr>
            </w:pPr>
            <w:r>
              <w:rPr>
                <w:rFonts w:hint="eastAsia" w:ascii="宋体" w:hAnsi="宋体" w:eastAsia="宋体" w:cs="宋体"/>
                <w:b/>
                <w:bCs/>
                <w:color w:val="auto"/>
                <w:sz w:val="21"/>
                <w:szCs w:val="21"/>
              </w:rPr>
              <w:t xml:space="preserve">第十二条  </w:t>
            </w:r>
            <w:r>
              <w:rPr>
                <w:rFonts w:hint="eastAsia" w:ascii="宋体" w:hAnsi="宋体" w:eastAsia="宋体" w:cs="宋体"/>
                <w:color w:val="auto"/>
                <w:sz w:val="21"/>
                <w:szCs w:val="21"/>
              </w:rPr>
              <w:t>自然资源行政主管部门确定为闲置土地的，土地使用人应当进行临时绿化，满足覆盖裸露土地、防治扬尘污染的要求，所需费用由土地使用权人承担。</w:t>
            </w:r>
          </w:p>
        </w:tc>
        <w:tc>
          <w:tcPr>
            <w:tcW w:w="5670" w:type="dxa"/>
            <w:shd w:val="clear" w:color="auto" w:fill="auto"/>
            <w:tcMar>
              <w:top w:w="80" w:type="dxa"/>
              <w:left w:w="80" w:type="dxa"/>
              <w:bottom w:w="80" w:type="dxa"/>
              <w:right w:w="80" w:type="dxa"/>
            </w:tcMar>
          </w:tcPr>
          <w:p>
            <w:pPr>
              <w:pStyle w:val="20"/>
              <w:widowControl/>
              <w:spacing w:line="240" w:lineRule="auto"/>
              <w:ind w:firstLine="420" w:firstLineChars="200"/>
              <w:rPr>
                <w:rFonts w:hint="eastAsia" w:ascii="宋体" w:hAnsi="宋体" w:eastAsia="宋体" w:cs="宋体"/>
                <w:bCs/>
                <w:color w:val="auto"/>
                <w:sz w:val="21"/>
                <w:szCs w:val="21"/>
              </w:rPr>
            </w:pPr>
          </w:p>
        </w:tc>
        <w:tc>
          <w:tcPr>
            <w:tcW w:w="4119" w:type="dxa"/>
            <w:shd w:val="clear" w:color="auto" w:fill="auto"/>
            <w:tcMar>
              <w:top w:w="80" w:type="dxa"/>
              <w:left w:w="80" w:type="dxa"/>
              <w:bottom w:w="80" w:type="dxa"/>
              <w:right w:w="80" w:type="dxa"/>
            </w:tcMar>
          </w:tcPr>
          <w:p>
            <w:pPr>
              <w:spacing w:line="24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《闲置土地处置办法》（国土资源部令第53号）</w:t>
            </w:r>
          </w:p>
          <w:p>
            <w:pPr>
              <w:spacing w:line="240" w:lineRule="auto"/>
              <w:ind w:firstLine="422" w:firstLineChars="200"/>
              <w:rPr>
                <w:rFonts w:hint="eastAsia" w:ascii="宋体" w:hAnsi="宋体" w:eastAsia="宋体" w:cs="宋体"/>
                <w:bCs/>
                <w:color w:val="auto"/>
                <w:sz w:val="21"/>
                <w:szCs w:val="21"/>
              </w:rPr>
            </w:pPr>
            <w:r>
              <w:rPr>
                <w:rFonts w:hint="eastAsia" w:ascii="宋体" w:hAnsi="宋体" w:eastAsia="宋体" w:cs="宋体"/>
                <w:b/>
                <w:bCs w:val="0"/>
                <w:color w:val="auto"/>
                <w:sz w:val="21"/>
                <w:szCs w:val="21"/>
              </w:rPr>
              <w:t>第二条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本办法所称闲置土地，是指国有建设用地使用权人超过国有建设用地使用权有偿使用合同或者划拨决定书约定、规定的动工开发日期满一年未动工开发的国有建设用地。</w:t>
            </w:r>
          </w:p>
          <w:p>
            <w:pPr>
              <w:spacing w:line="24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已动工开发但开发建设用地面积占应动工开发建设用地总面积不足三分之一或者已投资额占总投资额不足百分之二十五，中止开发建设满一年的国有建设用地，也可以认定为闲置土地。</w:t>
            </w:r>
          </w:p>
          <w:p>
            <w:pPr>
              <w:spacing w:line="240" w:lineRule="auto"/>
              <w:ind w:firstLine="420" w:firstLineChars="20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《北京市绿化条例》（2009年11月20日北京市第十三届人民代表大会常务委员会第十四次会议通过，2019年7月26日修正版）</w:t>
            </w:r>
          </w:p>
          <w:p>
            <w:pPr>
              <w:pStyle w:val="2"/>
              <w:spacing w:line="240" w:lineRule="auto"/>
              <w:ind w:firstLine="31680"/>
              <w:rPr>
                <w:rFonts w:hint="eastAsia" w:ascii="宋体" w:hAnsi="宋体" w:eastAsia="宋体" w:cs="宋体"/>
                <w:bCs/>
                <w:color w:val="auto"/>
                <w:sz w:val="21"/>
                <w:szCs w:val="21"/>
              </w:rPr>
            </w:pPr>
            <w:r>
              <w:rPr>
                <w:rFonts w:hint="eastAsia" w:ascii="宋体" w:hAnsi="宋体" w:eastAsia="宋体" w:cs="宋体"/>
                <w:b/>
                <w:bCs w:val="0"/>
                <w:color w:val="auto"/>
                <w:sz w:val="21"/>
                <w:szCs w:val="21"/>
              </w:rPr>
              <w:t>第二十七条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经规划自然资源部门确定为闲置土地的，土地使用权人应当按照有关规定进行临时绿化，所需费用由土地使用权人承担。</w:t>
            </w:r>
          </w:p>
          <w:p>
            <w:pPr>
              <w:pStyle w:val="8"/>
              <w:shd w:val="clear" w:color="auto" w:fill="FFFFFF"/>
              <w:spacing w:before="0" w:after="0" w:line="240" w:lineRule="auto"/>
              <w:ind w:firstLine="420" w:firstLineChars="20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《重庆市城市园林绿化条例》（1997年10月17日重庆市第一届人民代表大会常务委员会第四次会议通过，2019年11月29日修订）</w:t>
            </w:r>
          </w:p>
          <w:p>
            <w:pPr>
              <w:pStyle w:val="8"/>
              <w:shd w:val="clear" w:color="auto" w:fill="FFFFFF"/>
              <w:spacing w:before="0" w:after="0" w:line="240" w:lineRule="auto"/>
              <w:ind w:firstLine="422" w:firstLineChars="200"/>
              <w:jc w:val="both"/>
              <w:rPr>
                <w:rFonts w:hint="eastAsia" w:ascii="宋体" w:hAnsi="宋体" w:eastAsia="宋体" w:cs="宋体"/>
                <w:bCs/>
                <w:color w:val="auto"/>
                <w:sz w:val="21"/>
                <w:szCs w:val="21"/>
              </w:rPr>
            </w:pPr>
            <w:r>
              <w:rPr>
                <w:rFonts w:hint="eastAsia" w:ascii="宋体" w:hAnsi="宋体" w:eastAsia="宋体" w:cs="宋体"/>
                <w:b/>
                <w:bCs w:val="0"/>
                <w:color w:val="auto"/>
                <w:sz w:val="21"/>
                <w:szCs w:val="21"/>
              </w:rPr>
              <w:t>第二十二条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城市建成区适宜绿化的闲置土地和储备土地应当按照国家和本市对相关土地进行临时利用的规定，由土地使用权人或者建设单位、土地储备机构进行简易绿化。</w:t>
            </w:r>
          </w:p>
          <w:p>
            <w:pPr>
              <w:pStyle w:val="20"/>
              <w:spacing w:line="24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　　当地人民政府组织实施简易绿化的，土地使用权人或者建设单位、土地储备机构应当予以配合。</w:t>
            </w:r>
          </w:p>
          <w:p>
            <w:pPr>
              <w:pStyle w:val="20"/>
              <w:spacing w:line="240" w:lineRule="auto"/>
              <w:ind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eastAsia="zh-CN"/>
              </w:rPr>
              <w:t>《龙岩市城市绿化条例》（</w:t>
            </w:r>
            <w:r>
              <w:rPr>
                <w:rFonts w:hint="eastAsia" w:ascii="宋体" w:hAnsi="宋体" w:eastAsia="宋体" w:cs="宋体"/>
                <w:bCs/>
                <w:color w:val="auto"/>
                <w:sz w:val="21"/>
                <w:szCs w:val="21"/>
                <w:lang w:val="en-US" w:eastAsia="zh-CN"/>
              </w:rPr>
              <w:t>2019年9月27日龙岩市第五届人民代表大会常务委员会第十七次会议通过，2019年11月27日福建省第十三届人民代表大会常务委员会第十三次会议批准）</w:t>
            </w:r>
          </w:p>
          <w:p>
            <w:pPr>
              <w:pStyle w:val="20"/>
              <w:spacing w:line="240" w:lineRule="auto"/>
              <w:ind w:firstLine="422" w:firstLineChars="200"/>
              <w:rPr>
                <w:rFonts w:hint="eastAsia" w:ascii="宋体" w:hAnsi="宋体" w:eastAsia="宋体" w:cs="宋体"/>
                <w:bCs/>
                <w:color w:val="auto"/>
                <w:sz w:val="21"/>
                <w:szCs w:val="21"/>
                <w:lang w:val="en-US" w:eastAsia="zh-CN"/>
              </w:rPr>
            </w:pPr>
            <w:r>
              <w:rPr>
                <w:rFonts w:hint="eastAsia" w:ascii="宋体" w:hAnsi="宋体" w:eastAsia="宋体" w:cs="宋体"/>
                <w:b/>
                <w:bCs w:val="0"/>
                <w:color w:val="auto"/>
                <w:sz w:val="21"/>
                <w:szCs w:val="21"/>
                <w:lang w:val="en-US" w:eastAsia="zh-CN"/>
              </w:rPr>
              <w:t>第二十三条</w:t>
            </w:r>
            <w:r>
              <w:rPr>
                <w:rFonts w:hint="eastAsia" w:ascii="宋体" w:hAnsi="宋体" w:eastAsia="宋体" w:cs="宋体"/>
                <w:bCs/>
                <w:color w:val="auto"/>
                <w:sz w:val="21"/>
                <w:szCs w:val="21"/>
                <w:lang w:val="en-US" w:eastAsia="zh-CN"/>
              </w:rPr>
              <w:t xml:space="preserve">  闲置土地和逾期三个月未开工建设的建设项目用地，土地使用权人和建设单位应当进行临时绿化，满足覆盖裸露土地、防治扬尘污染的要求。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387" w:hRule="atLeast"/>
          <w:jc w:val="center"/>
        </w:trPr>
        <w:tc>
          <w:tcPr>
            <w:tcW w:w="16163" w:type="dxa"/>
            <w:gridSpan w:val="4"/>
            <w:shd w:val="clear" w:color="auto" w:fill="auto"/>
            <w:tcMar>
              <w:top w:w="80" w:type="dxa"/>
              <w:left w:w="80" w:type="dxa"/>
              <w:bottom w:w="80" w:type="dxa"/>
              <w:right w:w="80" w:type="dxa"/>
            </w:tcMar>
            <w:vAlign w:val="center"/>
          </w:tcPr>
          <w:p>
            <w:pPr>
              <w:pStyle w:val="20"/>
              <w:widowControl/>
              <w:jc w:val="center"/>
              <w:rPr>
                <w:rFonts w:hint="eastAsia" w:asciiTheme="minorEastAsia" w:hAnsiTheme="minorEastAsia" w:eastAsiaTheme="minorEastAsia" w:cstheme="minorEastAsia"/>
                <w:b/>
                <w:color w:val="000000" w:themeColor="text1"/>
                <w:kern w:val="0"/>
                <w:sz w:val="28"/>
                <w:szCs w:val="28"/>
                <w:lang w:val="zh-TW" w:eastAsia="zh-CN"/>
                <w14:textFill>
                  <w14:solidFill>
                    <w14:schemeClr w14:val="tx1"/>
                  </w14:solidFill>
                </w14:textFill>
              </w:rPr>
            </w:pPr>
            <w:r>
              <w:rPr>
                <w:rFonts w:hint="eastAsia" w:cs="Times New Roman" w:asciiTheme="minorEastAsia" w:hAnsiTheme="minorEastAsia" w:eastAsiaTheme="minorEastAsia"/>
                <w:b/>
                <w:sz w:val="28"/>
                <w:szCs w:val="28"/>
                <w:lang w:val="zh-TW" w:eastAsia="zh-TW"/>
              </w:rPr>
              <w:t>第</w:t>
            </w:r>
            <w:r>
              <w:rPr>
                <w:rFonts w:hint="eastAsia" w:cs="Times New Roman" w:asciiTheme="minorEastAsia" w:hAnsiTheme="minorEastAsia" w:eastAsiaTheme="minorEastAsia"/>
                <w:b/>
                <w:sz w:val="28"/>
                <w:szCs w:val="28"/>
                <w:lang w:val="zh-TW"/>
              </w:rPr>
              <w:t>三</w:t>
            </w:r>
            <w:r>
              <w:rPr>
                <w:rFonts w:hint="eastAsia" w:cs="Times New Roman" w:asciiTheme="minorEastAsia" w:hAnsiTheme="minorEastAsia" w:eastAsiaTheme="minorEastAsia"/>
                <w:b/>
                <w:sz w:val="28"/>
                <w:szCs w:val="28"/>
                <w:lang w:val="zh-TW" w:eastAsia="zh-TW"/>
              </w:rPr>
              <w:t xml:space="preserve">章  </w:t>
            </w:r>
            <w:r>
              <w:rPr>
                <w:rFonts w:hint="eastAsia" w:cs="黑体" w:asciiTheme="minorEastAsia" w:hAnsiTheme="minorEastAsia" w:eastAsiaTheme="minorEastAsia"/>
                <w:b/>
                <w:sz w:val="28"/>
                <w:szCs w:val="28"/>
                <w:lang w:eastAsia="zh-CN"/>
              </w:rPr>
              <w:t>保护和管理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val="0"/>
                <w:color w:val="auto"/>
                <w:sz w:val="21"/>
                <w:szCs w:val="21"/>
              </w:rPr>
              <w:t>防火</w:t>
            </w:r>
          </w:p>
        </w:tc>
        <w:tc>
          <w:tcPr>
            <w:tcW w:w="5010" w:type="dxa"/>
            <w:shd w:val="clear" w:color="auto" w:fill="auto"/>
            <w:tcMar>
              <w:top w:w="80" w:type="dxa"/>
              <w:left w:w="80" w:type="dxa"/>
              <w:bottom w:w="80" w:type="dxa"/>
              <w:right w:w="80" w:type="dxa"/>
            </w:tcMar>
          </w:tcPr>
          <w:p>
            <w:pPr>
              <w:pStyle w:val="20"/>
              <w:widowControl/>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第十三条  </w:t>
            </w:r>
            <w:r>
              <w:rPr>
                <w:rFonts w:hint="eastAsia" w:ascii="宋体" w:hAnsi="宋体" w:eastAsia="宋体" w:cs="宋体"/>
                <w:color w:val="auto"/>
                <w:sz w:val="21"/>
                <w:szCs w:val="21"/>
              </w:rPr>
              <w:t>管护单位应当按照绿地、树木养护规范对绿地、树木进行管护并做好防火工作。</w:t>
            </w:r>
          </w:p>
        </w:tc>
        <w:tc>
          <w:tcPr>
            <w:tcW w:w="5670" w:type="dxa"/>
            <w:shd w:val="clear" w:color="auto" w:fill="auto"/>
            <w:tcMar>
              <w:top w:w="80" w:type="dxa"/>
              <w:left w:w="80" w:type="dxa"/>
              <w:bottom w:w="80" w:type="dxa"/>
              <w:right w:w="80" w:type="dxa"/>
            </w:tcMar>
          </w:tcPr>
          <w:p>
            <w:pPr>
              <w:widowControl w:val="0"/>
              <w:spacing w:line="240" w:lineRule="auto"/>
              <w:ind w:firstLine="420" w:firstLineChars="200"/>
              <w:jc w:val="both"/>
              <w:rPr>
                <w:rFonts w:hint="eastAsia" w:ascii="宋体" w:hAnsi="宋体" w:eastAsia="宋体" w:cs="宋体"/>
                <w:bCs/>
                <w:color w:val="auto"/>
                <w:sz w:val="21"/>
                <w:szCs w:val="21"/>
              </w:rPr>
            </w:pPr>
          </w:p>
        </w:tc>
        <w:tc>
          <w:tcPr>
            <w:tcW w:w="4119" w:type="dxa"/>
            <w:shd w:val="clear" w:color="auto" w:fill="auto"/>
            <w:tcMar>
              <w:top w:w="80" w:type="dxa"/>
              <w:left w:w="80" w:type="dxa"/>
              <w:bottom w:w="80" w:type="dxa"/>
              <w:right w:w="80" w:type="dxa"/>
            </w:tcMar>
          </w:tcPr>
          <w:p>
            <w:pPr>
              <w:pStyle w:val="20"/>
              <w:spacing w:line="24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lang w:val="zh-TW"/>
              </w:rPr>
              <w:t>《北京市绿化条例》（</w:t>
            </w:r>
            <w:r>
              <w:rPr>
                <w:rFonts w:hint="eastAsia" w:ascii="宋体" w:hAnsi="宋体" w:eastAsia="宋体" w:cs="宋体"/>
                <w:bCs/>
                <w:color w:val="auto"/>
                <w:sz w:val="21"/>
                <w:szCs w:val="21"/>
              </w:rPr>
              <w:t>2009年11月20日北京市第十三届人民代表大会常务委员会第十四次会议通过，2019年7月26日修正版）</w:t>
            </w:r>
          </w:p>
          <w:p>
            <w:pPr>
              <w:pStyle w:val="20"/>
              <w:spacing w:line="240" w:lineRule="auto"/>
              <w:ind w:firstLine="422" w:firstLineChars="200"/>
              <w:rPr>
                <w:rFonts w:hint="eastAsia" w:ascii="宋体" w:hAnsi="宋体" w:eastAsia="宋体" w:cs="宋体"/>
                <w:bCs/>
                <w:color w:val="auto"/>
                <w:sz w:val="21"/>
                <w:szCs w:val="21"/>
              </w:rPr>
            </w:pPr>
            <w:r>
              <w:rPr>
                <w:rFonts w:hint="eastAsia" w:ascii="宋体" w:hAnsi="宋体" w:eastAsia="宋体" w:cs="宋体"/>
                <w:b/>
                <w:bCs w:val="0"/>
                <w:color w:val="auto"/>
                <w:sz w:val="21"/>
                <w:szCs w:val="21"/>
              </w:rPr>
              <w:t>第四十条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管护单位应当按照国家和本市绿地、树木养护规范对绿地、树木进行管护并做好防火工作。</w:t>
            </w:r>
          </w:p>
          <w:p>
            <w:pPr>
              <w:pStyle w:val="8"/>
              <w:shd w:val="clear" w:color="auto" w:fill="FFFFFF"/>
              <w:spacing w:line="240" w:lineRule="auto"/>
              <w:ind w:firstLine="420" w:firstLineChars="200"/>
              <w:jc w:val="both"/>
              <w:rPr>
                <w:rFonts w:hint="eastAsia" w:ascii="宋体" w:hAnsi="宋体" w:eastAsia="宋体" w:cs="宋体"/>
                <w:color w:val="auto"/>
                <w:sz w:val="21"/>
                <w:szCs w:val="21"/>
              </w:rPr>
            </w:pPr>
            <w:r>
              <w:rPr>
                <w:rFonts w:hint="eastAsia" w:ascii="宋体" w:hAnsi="宋体" w:eastAsia="宋体" w:cs="宋体"/>
                <w:bCs/>
                <w:color w:val="auto"/>
                <w:sz w:val="21"/>
                <w:szCs w:val="21"/>
              </w:rPr>
              <w:t>园林绿化部门应当对绿地、树木的管护给予技术指导。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val="0"/>
                <w:color w:val="auto"/>
                <w:sz w:val="21"/>
                <w:szCs w:val="21"/>
                <w:highlight w:val="none"/>
              </w:rPr>
              <w:t>占用绿地</w:t>
            </w:r>
          </w:p>
        </w:tc>
        <w:tc>
          <w:tcPr>
            <w:tcW w:w="5010" w:type="dxa"/>
            <w:shd w:val="clear" w:color="auto" w:fill="auto"/>
            <w:tcMar>
              <w:top w:w="80" w:type="dxa"/>
              <w:left w:w="80" w:type="dxa"/>
              <w:bottom w:w="80" w:type="dxa"/>
              <w:right w:w="80" w:type="dxa"/>
            </w:tcMar>
          </w:tcPr>
          <w:p>
            <w:pPr>
              <w:spacing w:line="24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 xml:space="preserve">第十四条  </w:t>
            </w:r>
            <w:r>
              <w:rPr>
                <w:rFonts w:hint="eastAsia" w:ascii="宋体" w:hAnsi="宋体" w:eastAsia="宋体" w:cs="宋体"/>
                <w:color w:val="auto"/>
                <w:sz w:val="21"/>
                <w:szCs w:val="21"/>
                <w:highlight w:val="none"/>
              </w:rPr>
              <w:t>任何单位不得擅自占用公共绿地，因特殊原因确需临时占用绿地的，应当经住房和城乡建设行政主管部门同意，并依法办理临时用地审批手续。</w:t>
            </w:r>
          </w:p>
          <w:p>
            <w:p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临时占用绿地期限一般不得超过一年；确需延长的，应当办理延期手续，占用期限总时长不得超过两年。临时占用绿地期满后，占用人应当按照规定及时归还并恢复原状。</w:t>
            </w:r>
          </w:p>
          <w:p>
            <w:p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临时占用公共绿地的，按照有关规定缴纳补偿费。</w:t>
            </w:r>
          </w:p>
          <w:p>
            <w:pPr>
              <w:pStyle w:val="8"/>
              <w:shd w:val="clear" w:color="auto" w:fill="FFFFFF"/>
              <w:spacing w:before="0" w:after="0" w:line="240" w:lineRule="auto"/>
              <w:ind w:firstLine="482"/>
              <w:jc w:val="both"/>
              <w:rPr>
                <w:rFonts w:hint="eastAsia" w:ascii="宋体" w:hAnsi="宋体" w:eastAsia="宋体" w:cs="宋体"/>
                <w:color w:val="auto"/>
                <w:kern w:val="2"/>
                <w:sz w:val="21"/>
                <w:szCs w:val="21"/>
                <w:highlight w:val="none"/>
              </w:rPr>
            </w:pPr>
          </w:p>
        </w:tc>
        <w:tc>
          <w:tcPr>
            <w:tcW w:w="5670" w:type="dxa"/>
            <w:shd w:val="clear" w:color="auto" w:fill="auto"/>
            <w:tcMar>
              <w:top w:w="80" w:type="dxa"/>
              <w:left w:w="80" w:type="dxa"/>
              <w:bottom w:w="80" w:type="dxa"/>
              <w:right w:w="80" w:type="dxa"/>
            </w:tcMar>
          </w:tcPr>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highlight w:val="none"/>
                <w:lang w:val="zh-TW"/>
              </w:rPr>
            </w:pPr>
            <w:r>
              <w:rPr>
                <w:rFonts w:hint="eastAsia" w:ascii="宋体" w:hAnsi="宋体" w:eastAsia="宋体" w:cs="宋体"/>
                <w:bCs/>
                <w:color w:val="auto"/>
                <w:sz w:val="21"/>
                <w:szCs w:val="21"/>
                <w:highlight w:val="none"/>
                <w:lang w:val="zh-TW"/>
              </w:rPr>
              <w:t>《辽宁省城镇绿化条例》（2012年1月5日辽宁省第十一届人民代表大会常务委员会第27次会议通过，2017年9月28日修正版）</w:t>
            </w:r>
          </w:p>
          <w:p>
            <w:pPr>
              <w:pStyle w:val="20"/>
              <w:widowControl/>
              <w:spacing w:line="240" w:lineRule="auto"/>
              <w:ind w:firstLine="422" w:firstLineChars="200"/>
              <w:rPr>
                <w:rFonts w:hint="eastAsia" w:ascii="宋体" w:hAnsi="宋体" w:eastAsia="宋体" w:cs="宋体"/>
                <w:bCs/>
                <w:color w:val="auto"/>
                <w:kern w:val="0"/>
                <w:sz w:val="21"/>
                <w:szCs w:val="21"/>
                <w:highlight w:val="none"/>
                <w:lang w:val="zh-TW" w:eastAsia="zh-TW"/>
              </w:rPr>
            </w:pPr>
            <w:r>
              <w:rPr>
                <w:rFonts w:hint="eastAsia" w:ascii="宋体" w:hAnsi="宋体" w:eastAsia="宋体" w:cs="宋体"/>
                <w:b/>
                <w:bCs w:val="0"/>
                <w:color w:val="auto"/>
                <w:kern w:val="0"/>
                <w:sz w:val="21"/>
                <w:szCs w:val="21"/>
                <w:highlight w:val="none"/>
                <w:lang w:val="zh-TW" w:eastAsia="zh-TW"/>
              </w:rPr>
              <w:t>第二十六条</w:t>
            </w:r>
            <w:r>
              <w:rPr>
                <w:rFonts w:hint="eastAsia" w:ascii="宋体" w:hAnsi="宋体" w:eastAsia="宋体" w:cs="宋体"/>
                <w:bCs/>
                <w:color w:val="auto"/>
                <w:kern w:val="0"/>
                <w:sz w:val="21"/>
                <w:szCs w:val="21"/>
                <w:highlight w:val="none"/>
                <w:lang w:val="en-US" w:eastAsia="zh-CN"/>
              </w:rPr>
              <w:t xml:space="preserve">  </w:t>
            </w:r>
            <w:r>
              <w:rPr>
                <w:rFonts w:hint="eastAsia" w:ascii="宋体" w:hAnsi="宋体" w:eastAsia="宋体" w:cs="宋体"/>
                <w:bCs/>
                <w:color w:val="auto"/>
                <w:kern w:val="0"/>
                <w:sz w:val="21"/>
                <w:szCs w:val="21"/>
                <w:highlight w:val="none"/>
                <w:lang w:val="zh-TW" w:eastAsia="zh-TW"/>
              </w:rPr>
              <w:t>任何单位和个人不得擅自占用绿地。因建设或者其他特殊需要临时占用绿地的，应当经城镇绿化行政主管部门同意，并依法办理临时用地审批手续，按照有关规定缴纳补偿费。 </w:t>
            </w:r>
          </w:p>
          <w:p>
            <w:pPr>
              <w:pStyle w:val="20"/>
              <w:widowControl/>
              <w:spacing w:line="240" w:lineRule="auto"/>
              <w:ind w:firstLine="420" w:firstLineChars="200"/>
              <w:rPr>
                <w:rFonts w:hint="eastAsia" w:ascii="宋体" w:hAnsi="宋体" w:eastAsia="宋体" w:cs="宋体"/>
                <w:bCs/>
                <w:color w:val="auto"/>
                <w:kern w:val="0"/>
                <w:sz w:val="21"/>
                <w:szCs w:val="21"/>
                <w:highlight w:val="none"/>
                <w:lang w:val="zh-TW" w:eastAsia="zh-TW"/>
              </w:rPr>
            </w:pPr>
            <w:r>
              <w:rPr>
                <w:rFonts w:hint="eastAsia" w:ascii="宋体" w:hAnsi="宋体" w:eastAsia="宋体" w:cs="宋体"/>
                <w:bCs/>
                <w:color w:val="auto"/>
                <w:kern w:val="0"/>
                <w:sz w:val="21"/>
                <w:szCs w:val="21"/>
                <w:highlight w:val="none"/>
                <w:lang w:val="zh-TW" w:eastAsia="zh-TW"/>
              </w:rPr>
              <w:t>临时占用绿地期限不得超过一年；确需延长的，应当办理延期手续，延长期限不得超过一年。临时占用期满后，应当及时归还并恢复原状。</w:t>
            </w:r>
          </w:p>
          <w:p>
            <w:pPr>
              <w:pStyle w:val="20"/>
              <w:widowControl/>
              <w:spacing w:line="240" w:lineRule="auto"/>
              <w:ind w:firstLine="429"/>
              <w:rPr>
                <w:rFonts w:hint="eastAsia" w:ascii="宋体" w:hAnsi="宋体" w:eastAsia="宋体" w:cs="宋体"/>
                <w:bCs/>
                <w:color w:val="auto"/>
                <w:kern w:val="0"/>
                <w:sz w:val="21"/>
                <w:szCs w:val="21"/>
                <w:highlight w:val="none"/>
                <w:lang w:eastAsia="zh-TW"/>
              </w:rPr>
            </w:pPr>
          </w:p>
        </w:tc>
        <w:tc>
          <w:tcPr>
            <w:tcW w:w="4119" w:type="dxa"/>
            <w:shd w:val="clear" w:color="auto" w:fill="auto"/>
            <w:tcMar>
              <w:top w:w="80" w:type="dxa"/>
              <w:left w:w="80" w:type="dxa"/>
              <w:bottom w:w="80" w:type="dxa"/>
              <w:right w:w="80" w:type="dxa"/>
            </w:tcMar>
          </w:tcPr>
          <w:p>
            <w:pPr>
              <w:pStyle w:val="20"/>
              <w:spacing w:line="240" w:lineRule="auto"/>
              <w:ind w:firstLine="420" w:firstLineChars="200"/>
              <w:rPr>
                <w:rFonts w:hint="eastAsia" w:ascii="宋体" w:hAnsi="宋体" w:eastAsia="宋体" w:cs="宋体"/>
                <w:bCs/>
                <w:color w:val="auto"/>
                <w:sz w:val="21"/>
                <w:szCs w:val="21"/>
                <w:highlight w:val="none"/>
                <w:lang w:val="zh-TW" w:eastAsia="zh-TW"/>
              </w:rPr>
            </w:pPr>
            <w:r>
              <w:rPr>
                <w:rFonts w:hint="eastAsia" w:ascii="宋体" w:hAnsi="宋体" w:eastAsia="宋体" w:cs="宋体"/>
                <w:bCs/>
                <w:color w:val="auto"/>
                <w:sz w:val="21"/>
                <w:szCs w:val="21"/>
                <w:highlight w:val="none"/>
                <w:lang w:val="zh-TW" w:eastAsia="zh-TW"/>
              </w:rPr>
              <w:t>《厦门经济特区园林绿化条例》（2018年6月29日厦门市第十五届人民代表大会常务委员会第十四次会议通过）</w:t>
            </w:r>
          </w:p>
          <w:p>
            <w:pPr>
              <w:pStyle w:val="20"/>
              <w:spacing w:line="240" w:lineRule="auto"/>
              <w:ind w:firstLine="422" w:firstLineChars="200"/>
              <w:rPr>
                <w:rFonts w:hint="eastAsia" w:ascii="宋体" w:hAnsi="宋体" w:eastAsia="宋体" w:cs="宋体"/>
                <w:bCs/>
                <w:color w:val="auto"/>
                <w:sz w:val="21"/>
                <w:szCs w:val="21"/>
                <w:highlight w:val="none"/>
              </w:rPr>
            </w:pPr>
            <w:r>
              <w:rPr>
                <w:rFonts w:hint="eastAsia" w:ascii="宋体" w:hAnsi="宋体" w:eastAsia="宋体" w:cs="宋体"/>
                <w:b/>
                <w:bCs w:val="0"/>
                <w:color w:val="auto"/>
                <w:sz w:val="21"/>
                <w:szCs w:val="21"/>
                <w:highlight w:val="none"/>
                <w:lang w:val="zh-TW"/>
              </w:rPr>
              <w:t>第三十九条</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任何单位和个人不得擅自占用绿地。</w:t>
            </w:r>
          </w:p>
          <w:p>
            <w:pPr>
              <w:pStyle w:val="20"/>
              <w:spacing w:line="24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建设项目应当按照规划要求，执行建筑退让建设用地红线距离相关规定。在红线范围内施工以及设置消防通道、消防登高场地等，不得占用绿地。</w:t>
            </w:r>
          </w:p>
          <w:p>
            <w:pPr>
              <w:pStyle w:val="20"/>
              <w:spacing w:line="24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因建设或者其他特殊需要临时占用绿地的，应当经该绿地管理单位同意，报园林绿化部门按照职责权限批准。经批准临时占用的，办理临时用地手续，并按照要求进行围挡作业，文明施工，临时占用方案和绿化恢复方案应当在施工场所的显著位置公布。</w:t>
            </w:r>
          </w:p>
          <w:p>
            <w:pPr>
              <w:pStyle w:val="20"/>
              <w:spacing w:line="24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临时占用绿地的期限不得超过两年。占用期满后，应当按照规定期限恢复绿化原状。逾期未恢复绿化原状的，视为擅自占用绿地。</w:t>
            </w:r>
          </w:p>
          <w:p>
            <w:pPr>
              <w:pStyle w:val="20"/>
              <w:spacing w:line="24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临时占用公共绿地的，应当交纳临时使用费。</w:t>
            </w:r>
          </w:p>
          <w:p>
            <w:pPr>
              <w:pStyle w:val="20"/>
              <w:spacing w:line="24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《西安市城市绿化条例》（2013年12月26日西安市第十五届人民代表大会常务委员会第十三次会议通过，2017年3月30日修正）</w:t>
            </w:r>
          </w:p>
          <w:p>
            <w:pPr>
              <w:pStyle w:val="20"/>
              <w:spacing w:line="240" w:lineRule="auto"/>
              <w:ind w:firstLine="422" w:firstLineChars="200"/>
              <w:rPr>
                <w:rFonts w:hint="eastAsia" w:ascii="宋体" w:hAnsi="宋体" w:eastAsia="宋体" w:cs="宋体"/>
                <w:bCs/>
                <w:color w:val="auto"/>
                <w:sz w:val="21"/>
                <w:szCs w:val="21"/>
                <w:highlight w:val="none"/>
              </w:rPr>
            </w:pPr>
            <w:r>
              <w:rPr>
                <w:rFonts w:hint="eastAsia" w:ascii="宋体" w:hAnsi="宋体" w:eastAsia="宋体" w:cs="宋体"/>
                <w:b/>
                <w:bCs w:val="0"/>
                <w:color w:val="auto"/>
                <w:sz w:val="21"/>
                <w:szCs w:val="21"/>
                <w:highlight w:val="none"/>
              </w:rPr>
              <w:t>第二十九条</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临时占用城市绿地期限一般不超过一年。占用期满后，占用人应当及时退还并恢复绿化原状。确需延长期限的，应当办理延期手续，延长期限不得超过一年。</w:t>
            </w:r>
          </w:p>
          <w:p>
            <w:pPr>
              <w:pStyle w:val="20"/>
              <w:widowControl/>
              <w:spacing w:line="240" w:lineRule="auto"/>
              <w:ind w:firstLine="420" w:firstLineChars="200"/>
              <w:rPr>
                <w:rFonts w:hint="eastAsia" w:ascii="宋体" w:hAnsi="宋体" w:eastAsia="宋体" w:cs="宋体"/>
                <w:bCs/>
                <w:color w:val="auto"/>
                <w:kern w:val="0"/>
                <w:sz w:val="21"/>
                <w:szCs w:val="21"/>
                <w:highlight w:val="none"/>
                <w:lang w:val="zh-TW"/>
              </w:rPr>
            </w:pPr>
            <w:r>
              <w:rPr>
                <w:rFonts w:hint="eastAsia" w:ascii="宋体" w:hAnsi="宋体" w:eastAsia="宋体" w:cs="宋体"/>
                <w:bCs/>
                <w:color w:val="auto"/>
                <w:sz w:val="21"/>
                <w:szCs w:val="21"/>
                <w:highlight w:val="none"/>
              </w:rPr>
              <w:t>占用人应当按照批准的面积和期限占用城市绿地，并向城市管理行政管理部门缴纳绿地补偿金。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223"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bCs/>
                <w:color w:val="auto"/>
                <w:sz w:val="21"/>
                <w:szCs w:val="21"/>
                <w:lang w:val="zh-TW"/>
              </w:rPr>
            </w:pPr>
            <w:r>
              <w:rPr>
                <w:rFonts w:hint="eastAsia" w:ascii="宋体" w:hAnsi="宋体" w:eastAsia="宋体" w:cs="宋体"/>
                <w:b/>
                <w:bCs w:val="0"/>
                <w:color w:val="auto"/>
                <w:sz w:val="21"/>
                <w:szCs w:val="21"/>
              </w:rPr>
              <w:t>移植、砍伐树木</w:t>
            </w:r>
          </w:p>
        </w:tc>
        <w:tc>
          <w:tcPr>
            <w:tcW w:w="5010" w:type="dxa"/>
            <w:shd w:val="clear" w:color="auto" w:fill="auto"/>
            <w:tcMar>
              <w:top w:w="80" w:type="dxa"/>
              <w:left w:w="80" w:type="dxa"/>
              <w:bottom w:w="80" w:type="dxa"/>
              <w:right w:w="80" w:type="dxa"/>
            </w:tcMar>
          </w:tcPr>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第十五条  </w:t>
            </w:r>
            <w:r>
              <w:rPr>
                <w:rFonts w:hint="eastAsia" w:ascii="宋体" w:hAnsi="宋体" w:eastAsia="宋体" w:cs="宋体"/>
                <w:color w:val="auto"/>
                <w:sz w:val="21"/>
                <w:szCs w:val="21"/>
              </w:rPr>
              <w:t>禁止任何单位和个人擅自移植、砍伐树木。</w:t>
            </w:r>
          </w:p>
          <w:p>
            <w:p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因抢险救灾和处理突发事件等紧急情况需要，可以对树木进行修剪或者砍伐。组织紧急情况处理的单位应当在处理结束之日起四十八小时内，将有关处理情况报告所在县（区）住房和城乡建设行政主管部门。</w:t>
            </w:r>
          </w:p>
          <w:p>
            <w:pPr>
              <w:spacing w:line="240" w:lineRule="auto"/>
              <w:ind w:firstLine="420" w:firstLineChars="200"/>
              <w:rPr>
                <w:rFonts w:hint="eastAsia" w:ascii="宋体" w:hAnsi="宋体" w:eastAsia="宋体" w:cs="宋体"/>
                <w:bCs/>
                <w:color w:val="auto"/>
                <w:sz w:val="21"/>
                <w:szCs w:val="21"/>
                <w:lang w:val="zh-TW"/>
              </w:rPr>
            </w:pPr>
          </w:p>
        </w:tc>
        <w:tc>
          <w:tcPr>
            <w:tcW w:w="5670" w:type="dxa"/>
            <w:shd w:val="clear" w:color="auto" w:fill="auto"/>
            <w:tcMar>
              <w:top w:w="80" w:type="dxa"/>
              <w:left w:w="80" w:type="dxa"/>
              <w:bottom w:w="80" w:type="dxa"/>
              <w:right w:w="80" w:type="dxa"/>
            </w:tcMar>
          </w:tcPr>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《辽宁省城镇绿化条例》（2012年1月5日辽宁省第十一届人民代表大会常务委员会第27次会议通过，2017年9月28日修正版）</w:t>
            </w:r>
          </w:p>
          <w:p>
            <w:pPr>
              <w:pStyle w:val="20"/>
              <w:widowControl/>
              <w:spacing w:line="240" w:lineRule="auto"/>
              <w:ind w:firstLine="422" w:firstLineChars="200"/>
              <w:rPr>
                <w:rFonts w:hint="eastAsia" w:ascii="宋体" w:hAnsi="宋体" w:eastAsia="宋体" w:cs="宋体"/>
                <w:bCs/>
                <w:color w:val="auto"/>
                <w:kern w:val="0"/>
                <w:sz w:val="21"/>
                <w:szCs w:val="21"/>
              </w:rPr>
            </w:pPr>
            <w:r>
              <w:rPr>
                <w:rFonts w:hint="eastAsia" w:ascii="宋体" w:hAnsi="宋体" w:eastAsia="宋体" w:cs="宋体"/>
                <w:b/>
                <w:bCs w:val="0"/>
                <w:color w:val="auto"/>
                <w:kern w:val="0"/>
                <w:sz w:val="21"/>
                <w:szCs w:val="21"/>
                <w:lang w:val="zh-TW"/>
              </w:rPr>
              <w:t>第二十九条</w:t>
            </w:r>
            <w:r>
              <w:rPr>
                <w:rFonts w:hint="eastAsia" w:ascii="宋体" w:hAnsi="宋体" w:eastAsia="宋体" w:cs="宋体"/>
                <w:bCs/>
                <w:color w:val="auto"/>
                <w:kern w:val="0"/>
                <w:sz w:val="21"/>
                <w:szCs w:val="21"/>
                <w:lang w:val="en-US" w:eastAsia="zh-CN"/>
              </w:rPr>
              <w:t xml:space="preserve">  </w:t>
            </w:r>
            <w:r>
              <w:rPr>
                <w:rFonts w:hint="eastAsia" w:ascii="宋体" w:hAnsi="宋体" w:eastAsia="宋体" w:cs="宋体"/>
                <w:bCs/>
                <w:color w:val="auto"/>
                <w:kern w:val="0"/>
                <w:sz w:val="21"/>
                <w:szCs w:val="21"/>
              </w:rPr>
              <w:t>任何单位和个人不得擅自移植、砍伐城镇树木。</w:t>
            </w:r>
          </w:p>
          <w:p>
            <w:pPr>
              <w:pStyle w:val="20"/>
              <w:widowControl/>
              <w:spacing w:line="240" w:lineRule="auto"/>
              <w:ind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确因城镇建设、居住安全和设施安全等特殊需要移植树木的，应当经城镇绿化行政主管部门批准。移植原因和株数应当在移植现场公示，接受公众监督。移植树木未成活的，应当补植相应的树木。</w:t>
            </w:r>
          </w:p>
          <w:p>
            <w:pPr>
              <w:pStyle w:val="20"/>
              <w:widowControl/>
              <w:spacing w:line="240" w:lineRule="auto"/>
              <w:ind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有下列情形之一，且无移植价值的树木，经城镇绿化行政主管部门批准后可以砍伐；按照有关规定需要缴纳补偿费的，还应当缴纳补偿费：</w:t>
            </w:r>
          </w:p>
          <w:p>
            <w:pPr>
              <w:pStyle w:val="20"/>
              <w:widowControl/>
              <w:numPr>
                <w:ilvl w:val="0"/>
                <w:numId w:val="4"/>
              </w:numPr>
              <w:spacing w:line="240" w:lineRule="auto"/>
              <w:ind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经鉴定已经死亡的；</w:t>
            </w:r>
          </w:p>
          <w:p>
            <w:pPr>
              <w:pStyle w:val="20"/>
              <w:widowControl/>
              <w:numPr>
                <w:ilvl w:val="0"/>
                <w:numId w:val="4"/>
              </w:numPr>
              <w:spacing w:line="240" w:lineRule="auto"/>
              <w:ind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严重影响居住采光、居住安全的；</w:t>
            </w:r>
          </w:p>
          <w:p>
            <w:pPr>
              <w:pStyle w:val="20"/>
              <w:widowControl/>
              <w:numPr>
                <w:ilvl w:val="0"/>
                <w:numId w:val="4"/>
              </w:numPr>
              <w:spacing w:line="240" w:lineRule="auto"/>
              <w:ind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对公共设施运行安全构成威胁的；</w:t>
            </w:r>
          </w:p>
          <w:p>
            <w:pPr>
              <w:pStyle w:val="20"/>
              <w:widowControl/>
              <w:numPr>
                <w:ilvl w:val="0"/>
                <w:numId w:val="4"/>
              </w:numPr>
              <w:spacing w:line="240" w:lineRule="auto"/>
              <w:ind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发生检疫性病虫害，可能危及其他植物的；</w:t>
            </w:r>
          </w:p>
          <w:p>
            <w:pPr>
              <w:pStyle w:val="20"/>
              <w:widowControl/>
              <w:numPr>
                <w:ilvl w:val="0"/>
                <w:numId w:val="4"/>
              </w:numPr>
              <w:spacing w:line="240" w:lineRule="auto"/>
              <w:ind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因树木生长抚育需要的；</w:t>
            </w:r>
          </w:p>
          <w:p>
            <w:pPr>
              <w:pStyle w:val="20"/>
              <w:widowControl/>
              <w:numPr>
                <w:ilvl w:val="0"/>
                <w:numId w:val="4"/>
              </w:numPr>
              <w:spacing w:line="240" w:lineRule="auto"/>
              <w:ind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建设工程用地范围内无法保留的；</w:t>
            </w:r>
          </w:p>
          <w:p>
            <w:pPr>
              <w:pStyle w:val="20"/>
              <w:widowControl/>
              <w:numPr>
                <w:ilvl w:val="0"/>
                <w:numId w:val="4"/>
              </w:numPr>
              <w:spacing w:line="240" w:lineRule="auto"/>
              <w:ind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法律、法规规定的其他情形。</w:t>
            </w:r>
          </w:p>
          <w:p>
            <w:pPr>
              <w:pStyle w:val="20"/>
              <w:widowControl/>
              <w:spacing w:line="240" w:lineRule="auto"/>
              <w:ind w:firstLine="42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一次移植、砍伐三十株以上树木的，应当报市城镇绿化行政主管部门备案。</w:t>
            </w:r>
          </w:p>
          <w:p>
            <w:pPr>
              <w:pStyle w:val="20"/>
              <w:widowControl/>
              <w:spacing w:line="240" w:lineRule="auto"/>
              <w:ind w:firstLine="422" w:firstLineChars="200"/>
              <w:rPr>
                <w:rFonts w:hint="eastAsia" w:ascii="宋体" w:hAnsi="宋体" w:eastAsia="宋体" w:cs="宋体"/>
                <w:bCs/>
                <w:color w:val="auto"/>
                <w:kern w:val="0"/>
                <w:sz w:val="21"/>
                <w:szCs w:val="21"/>
              </w:rPr>
            </w:pPr>
            <w:r>
              <w:rPr>
                <w:rFonts w:hint="eastAsia" w:ascii="宋体" w:hAnsi="宋体" w:eastAsia="宋体" w:cs="宋体"/>
                <w:b/>
                <w:bCs w:val="0"/>
                <w:color w:val="auto"/>
                <w:kern w:val="0"/>
                <w:sz w:val="21"/>
                <w:szCs w:val="21"/>
              </w:rPr>
              <w:t>第三十二条</w:t>
            </w:r>
            <w:r>
              <w:rPr>
                <w:rFonts w:hint="eastAsia" w:ascii="宋体" w:hAnsi="宋体" w:eastAsia="宋体" w:cs="宋体"/>
                <w:bCs/>
                <w:color w:val="auto"/>
                <w:kern w:val="0"/>
                <w:sz w:val="21"/>
                <w:szCs w:val="21"/>
                <w:lang w:val="en-US" w:eastAsia="zh-CN"/>
              </w:rPr>
              <w:t xml:space="preserve">  </w:t>
            </w:r>
            <w:r>
              <w:rPr>
                <w:rFonts w:hint="eastAsia" w:ascii="宋体" w:hAnsi="宋体" w:eastAsia="宋体" w:cs="宋体"/>
                <w:bCs/>
                <w:color w:val="auto"/>
                <w:kern w:val="0"/>
                <w:sz w:val="21"/>
                <w:szCs w:val="21"/>
              </w:rPr>
              <w:t>确因抢险需要砍伐、迁移、修剪树木的，抢险单位可以先行处理，但应当在抢险后四十八小时内向城镇绿化行政主管部门通报，并补办有关手续。</w:t>
            </w:r>
          </w:p>
        </w:tc>
        <w:tc>
          <w:tcPr>
            <w:tcW w:w="4119" w:type="dxa"/>
            <w:shd w:val="clear" w:color="auto" w:fill="auto"/>
            <w:tcMar>
              <w:top w:w="80" w:type="dxa"/>
              <w:left w:w="80" w:type="dxa"/>
              <w:bottom w:w="80" w:type="dxa"/>
              <w:right w:w="80" w:type="dxa"/>
            </w:tcMar>
          </w:tcPr>
          <w:p>
            <w:pPr>
              <w:spacing w:line="240" w:lineRule="auto"/>
              <w:ind w:firstLine="420" w:firstLineChars="20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《焦作市城市绿化条例》（2018年8月29日焦作市第十二届人民代表大会常务委员会第五十次会议通过，2018年9月29日河南省第十三届人民代表大会常务委员会第六次会议批准）</w:t>
            </w:r>
          </w:p>
          <w:p>
            <w:pPr>
              <w:spacing w:line="240" w:lineRule="auto"/>
              <w:ind w:firstLine="422" w:firstLineChars="200"/>
              <w:jc w:val="both"/>
              <w:rPr>
                <w:rFonts w:hint="eastAsia" w:ascii="宋体" w:hAnsi="宋体" w:eastAsia="宋体" w:cs="宋体"/>
                <w:bCs/>
                <w:color w:val="auto"/>
                <w:sz w:val="21"/>
                <w:szCs w:val="21"/>
              </w:rPr>
            </w:pPr>
            <w:r>
              <w:rPr>
                <w:rFonts w:hint="eastAsia" w:ascii="宋体" w:hAnsi="宋体" w:eastAsia="宋体" w:cs="宋体"/>
                <w:b/>
                <w:bCs w:val="0"/>
                <w:color w:val="auto"/>
                <w:sz w:val="21"/>
                <w:szCs w:val="21"/>
              </w:rPr>
              <w:t>第二十七条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任何单位和个人不得擅自砍伐、移植城市树木。</w:t>
            </w:r>
          </w:p>
          <w:p>
            <w:pPr>
              <w:spacing w:line="240" w:lineRule="auto"/>
              <w:ind w:firstLine="420" w:firstLineChars="20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因建设或者其他特殊需要砍伐、移植城市树木的，由城市绿化行政主管部门审批，并按照国家有关规定补植树木或者采取其他补救措施。</w:t>
            </w:r>
          </w:p>
          <w:p>
            <w:pPr>
              <w:spacing w:line="240" w:lineRule="auto"/>
              <w:ind w:firstLine="420" w:firstLineChars="20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因抢险、处置突发事故等紧急情况需要砍伐城市树木的，可以先行处理，并及时通知管理单位和城市绿化行政管理部门；在险情消除后三日内，到城市绿化行政主管部门备案。</w:t>
            </w:r>
          </w:p>
          <w:p>
            <w:pPr>
              <w:pStyle w:val="20"/>
              <w:spacing w:line="240" w:lineRule="auto"/>
              <w:ind w:firstLine="420" w:firstLineChars="200"/>
              <w:rPr>
                <w:rFonts w:hint="eastAsia" w:ascii="宋体" w:hAnsi="宋体" w:eastAsia="宋体" w:cs="宋体"/>
                <w:bCs/>
                <w:color w:val="auto"/>
                <w:kern w:val="0"/>
                <w:sz w:val="21"/>
                <w:szCs w:val="21"/>
                <w:lang w:val="zh-TW"/>
              </w:rPr>
            </w:pPr>
            <w:r>
              <w:rPr>
                <w:rFonts w:hint="eastAsia" w:ascii="宋体" w:hAnsi="宋体" w:eastAsia="宋体" w:cs="宋体"/>
                <w:bCs/>
                <w:color w:val="auto"/>
                <w:sz w:val="21"/>
                <w:szCs w:val="21"/>
              </w:rPr>
              <w:t>因交通、生产等事故损坏花草树木或者绿化设施的，应当承担赔偿责任。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bCs/>
                <w:color w:val="auto"/>
                <w:sz w:val="21"/>
                <w:szCs w:val="21"/>
                <w:lang w:val="zh-TW"/>
              </w:rPr>
            </w:pPr>
            <w:r>
              <w:rPr>
                <w:rFonts w:hint="eastAsia" w:ascii="宋体" w:hAnsi="宋体" w:eastAsia="宋体" w:cs="宋体"/>
                <w:b/>
                <w:bCs w:val="0"/>
                <w:color w:val="auto"/>
                <w:sz w:val="21"/>
                <w:szCs w:val="21"/>
              </w:rPr>
              <w:t>信息管理</w:t>
            </w:r>
          </w:p>
        </w:tc>
        <w:tc>
          <w:tcPr>
            <w:tcW w:w="5010" w:type="dxa"/>
            <w:shd w:val="clear" w:color="auto" w:fill="auto"/>
            <w:tcMar>
              <w:top w:w="80" w:type="dxa"/>
              <w:left w:w="80" w:type="dxa"/>
              <w:bottom w:w="80" w:type="dxa"/>
              <w:right w:w="80" w:type="dxa"/>
            </w:tcMar>
          </w:tcPr>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第十六条  </w:t>
            </w:r>
            <w:r>
              <w:rPr>
                <w:rFonts w:hint="eastAsia" w:ascii="宋体" w:hAnsi="宋体" w:eastAsia="宋体" w:cs="宋体"/>
                <w:color w:val="auto"/>
                <w:sz w:val="21"/>
                <w:szCs w:val="21"/>
              </w:rPr>
              <w:t>市、县（区）住房和城乡建设行政主管部门应当建立园林绿化保护管理信息平台，对绿地种类、分布、权属、养护以及古树名木等情况进行定期普查，建立园林绿化档案并及时更新，实现信息资源共享。</w:t>
            </w:r>
          </w:p>
          <w:p>
            <w:p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对于经竣工验收的公共绿地上的树木，市、县（区）住房和城乡建设行政主管部门应当逐步建立电子档案，纳入数字平台实施动态管控。</w:t>
            </w:r>
          </w:p>
          <w:p>
            <w:pPr>
              <w:spacing w:line="240" w:lineRule="auto"/>
              <w:ind w:firstLine="420" w:firstLineChars="200"/>
              <w:jc w:val="both"/>
              <w:rPr>
                <w:rFonts w:hint="eastAsia" w:ascii="宋体" w:hAnsi="宋体" w:eastAsia="宋体" w:cs="宋体"/>
                <w:bCs/>
                <w:color w:val="auto"/>
                <w:sz w:val="21"/>
                <w:szCs w:val="21"/>
              </w:rPr>
            </w:pPr>
          </w:p>
        </w:tc>
        <w:tc>
          <w:tcPr>
            <w:tcW w:w="5670" w:type="dxa"/>
            <w:shd w:val="clear" w:color="auto" w:fill="auto"/>
            <w:tcMar>
              <w:top w:w="80" w:type="dxa"/>
              <w:left w:w="80" w:type="dxa"/>
              <w:bottom w:w="80" w:type="dxa"/>
              <w:right w:w="80" w:type="dxa"/>
            </w:tcMar>
          </w:tcPr>
          <w:p>
            <w:pPr>
              <w:shd w:val="clear" w:color="auto" w:fill="FFFFFF"/>
              <w:adjustRightInd w:val="0"/>
              <w:snapToGrid w:val="0"/>
              <w:spacing w:line="240" w:lineRule="auto"/>
              <w:ind w:firstLine="420" w:firstLineChars="200"/>
              <w:jc w:val="both"/>
              <w:textAlignment w:val="baseline"/>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《辽宁省城镇绿化条例》（2012年1月5日辽宁省第十一届人民代表大会常务委员会第27次会议通过，2017年9月28日修正版）</w:t>
            </w:r>
          </w:p>
          <w:p>
            <w:pPr>
              <w:pStyle w:val="20"/>
              <w:spacing w:line="240" w:lineRule="auto"/>
              <w:ind w:firstLine="422" w:firstLineChars="200"/>
              <w:rPr>
                <w:rFonts w:hint="eastAsia" w:ascii="宋体" w:hAnsi="宋体" w:eastAsia="宋体" w:cs="宋体"/>
                <w:bCs/>
                <w:color w:val="auto"/>
                <w:kern w:val="0"/>
                <w:sz w:val="21"/>
                <w:szCs w:val="21"/>
                <w:lang w:eastAsia="zh-TW"/>
              </w:rPr>
            </w:pPr>
            <w:r>
              <w:rPr>
                <w:rFonts w:hint="eastAsia" w:ascii="宋体" w:hAnsi="宋体" w:eastAsia="宋体" w:cs="宋体"/>
                <w:b/>
                <w:bCs w:val="0"/>
                <w:color w:val="auto"/>
                <w:kern w:val="0"/>
                <w:sz w:val="21"/>
                <w:szCs w:val="21"/>
                <w:lang w:val="zh-TW"/>
              </w:rPr>
              <w:t>第三十七条</w:t>
            </w:r>
            <w:r>
              <w:rPr>
                <w:rFonts w:hint="eastAsia" w:ascii="宋体" w:hAnsi="宋体" w:eastAsia="宋体" w:cs="宋体"/>
                <w:bCs/>
                <w:color w:val="auto"/>
                <w:kern w:val="0"/>
                <w:sz w:val="21"/>
                <w:szCs w:val="21"/>
                <w:lang w:val="en-US" w:eastAsia="zh-CN"/>
              </w:rPr>
              <w:t xml:space="preserve">  </w:t>
            </w:r>
            <w:r>
              <w:rPr>
                <w:rFonts w:hint="eastAsia" w:ascii="宋体" w:hAnsi="宋体" w:eastAsia="宋体" w:cs="宋体"/>
                <w:bCs/>
                <w:color w:val="auto"/>
                <w:kern w:val="0"/>
                <w:sz w:val="21"/>
                <w:szCs w:val="21"/>
              </w:rPr>
              <w:t>城镇绿化行政主管部门和镇人民政府应当加强城镇绿化资源调查，建立绿化资源档案，完善绿化管理信息系统，依法公布绿化建设、养护和管理的相关信息；并根据国家有关规定开展绿化资源监测和效益评估。</w:t>
            </w:r>
          </w:p>
        </w:tc>
        <w:tc>
          <w:tcPr>
            <w:tcW w:w="4119" w:type="dxa"/>
            <w:shd w:val="clear" w:color="auto" w:fill="auto"/>
            <w:tcMar>
              <w:top w:w="80" w:type="dxa"/>
              <w:left w:w="80" w:type="dxa"/>
              <w:bottom w:w="80" w:type="dxa"/>
              <w:right w:w="80" w:type="dxa"/>
            </w:tcMar>
          </w:tcPr>
          <w:p>
            <w:pPr>
              <w:pStyle w:val="20"/>
              <w:widowControl/>
              <w:shd w:val="clear" w:color="auto" w:fill="FFFFFF"/>
              <w:adjustRightInd w:val="0"/>
              <w:snapToGrid w:val="0"/>
              <w:spacing w:line="240" w:lineRule="auto"/>
              <w:ind w:firstLine="420" w:firstLineChars="200"/>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《厦门经济特区园林绿化条例》（2018年6月29日厦门市第十五届人民代表大会常务委员会第十四次会议通过）</w:t>
            </w:r>
          </w:p>
          <w:p>
            <w:pPr>
              <w:spacing w:line="240" w:lineRule="auto"/>
              <w:ind w:firstLine="422" w:firstLineChars="200"/>
              <w:jc w:val="both"/>
              <w:rPr>
                <w:rFonts w:hint="eastAsia" w:ascii="宋体" w:hAnsi="宋体" w:eastAsia="宋体" w:cs="宋体"/>
                <w:bCs/>
                <w:color w:val="auto"/>
                <w:sz w:val="21"/>
                <w:szCs w:val="21"/>
              </w:rPr>
            </w:pPr>
            <w:r>
              <w:rPr>
                <w:rFonts w:hint="eastAsia" w:ascii="宋体" w:hAnsi="宋体" w:eastAsia="宋体" w:cs="宋体"/>
                <w:b/>
                <w:bCs w:val="0"/>
                <w:color w:val="auto"/>
                <w:sz w:val="21"/>
                <w:szCs w:val="21"/>
              </w:rPr>
              <w:t>第五十二条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市园林绿化部门应当建立园林绿化保护管理信息平台，对绿地种类、分布、权属、养护以及古树名木等情况进行定期普查，建立园林绿化档案并及时更新，实现信息资源共享。</w:t>
            </w:r>
          </w:p>
          <w:p>
            <w:pPr>
              <w:pStyle w:val="20"/>
              <w:widowControl/>
              <w:spacing w:line="240" w:lineRule="auto"/>
              <w:ind w:firstLine="420" w:firstLineChars="200"/>
              <w:rPr>
                <w:rFonts w:hint="eastAsia" w:ascii="宋体" w:hAnsi="宋体" w:eastAsia="宋体" w:cs="宋体"/>
                <w:bCs/>
                <w:color w:val="auto"/>
                <w:kern w:val="0"/>
                <w:sz w:val="21"/>
                <w:szCs w:val="21"/>
                <w:lang w:val="zh-TW"/>
              </w:rPr>
            </w:pPr>
            <w:r>
              <w:rPr>
                <w:rFonts w:hint="eastAsia" w:ascii="宋体" w:hAnsi="宋体" w:eastAsia="宋体" w:cs="宋体"/>
                <w:bCs/>
                <w:color w:val="auto"/>
                <w:sz w:val="21"/>
                <w:szCs w:val="21"/>
              </w:rPr>
              <w:t>经竣工验收的公共绿地上的树木，市园林绿化部门或者有关主管单位应当逐步建立电子档案，纳入现状数字平台，通过卫星遥感等技术方法实施动态管控。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bCs/>
                <w:color w:val="auto"/>
                <w:sz w:val="21"/>
                <w:szCs w:val="21"/>
                <w:lang w:val="zh-TW"/>
              </w:rPr>
            </w:pPr>
            <w:r>
              <w:rPr>
                <w:rFonts w:hint="eastAsia" w:ascii="宋体" w:hAnsi="宋体" w:eastAsia="宋体" w:cs="宋体"/>
                <w:b/>
                <w:bCs w:val="0"/>
                <w:color w:val="auto"/>
                <w:sz w:val="21"/>
                <w:szCs w:val="21"/>
              </w:rPr>
              <w:t>信用制度</w:t>
            </w:r>
          </w:p>
        </w:tc>
        <w:tc>
          <w:tcPr>
            <w:tcW w:w="5010" w:type="dxa"/>
            <w:shd w:val="clear" w:color="auto" w:fill="auto"/>
            <w:tcMar>
              <w:top w:w="80" w:type="dxa"/>
              <w:left w:w="80" w:type="dxa"/>
              <w:bottom w:w="80" w:type="dxa"/>
              <w:right w:w="80" w:type="dxa"/>
            </w:tcMar>
          </w:tcPr>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第十七条  </w:t>
            </w:r>
            <w:r>
              <w:rPr>
                <w:rFonts w:hint="eastAsia" w:ascii="宋体" w:hAnsi="宋体" w:eastAsia="宋体" w:cs="宋体"/>
                <w:color w:val="auto"/>
                <w:sz w:val="21"/>
                <w:szCs w:val="21"/>
              </w:rPr>
              <w:t>住房和城乡建设行政主管部门应当建立园林绿化建设、设计、施工、监理、养护等单位和从业人员的信用评价和违法失信名单制度。</w:t>
            </w:r>
          </w:p>
          <w:p>
            <w:pPr>
              <w:spacing w:line="240" w:lineRule="auto"/>
              <w:ind w:firstLine="420" w:firstLineChars="200"/>
              <w:jc w:val="both"/>
              <w:rPr>
                <w:rFonts w:hint="eastAsia" w:ascii="宋体" w:hAnsi="宋体" w:eastAsia="宋体" w:cs="宋体"/>
                <w:bCs/>
                <w:color w:val="auto"/>
                <w:sz w:val="21"/>
                <w:szCs w:val="21"/>
              </w:rPr>
            </w:pPr>
            <w:r>
              <w:rPr>
                <w:rFonts w:hint="eastAsia" w:ascii="宋体" w:hAnsi="宋体" w:eastAsia="宋体" w:cs="宋体"/>
                <w:color w:val="auto"/>
                <w:sz w:val="21"/>
                <w:szCs w:val="21"/>
              </w:rPr>
              <w:t>住房和城乡建设行政主管部门应当按照规定及时将违法失信情况通知相关审批部门、监管部门；依法应当予以行政处罚的，应当依法从重处罚并按照规定采取准入限制、资格限定等信用监管措施。</w:t>
            </w:r>
          </w:p>
        </w:tc>
        <w:tc>
          <w:tcPr>
            <w:tcW w:w="5670" w:type="dxa"/>
            <w:shd w:val="clear" w:color="auto" w:fill="auto"/>
            <w:tcMar>
              <w:top w:w="80" w:type="dxa"/>
              <w:left w:w="80" w:type="dxa"/>
              <w:bottom w:w="80" w:type="dxa"/>
              <w:right w:w="80" w:type="dxa"/>
            </w:tcMar>
          </w:tcPr>
          <w:p>
            <w:pPr>
              <w:pStyle w:val="20"/>
              <w:spacing w:line="240" w:lineRule="auto"/>
              <w:ind w:firstLine="420" w:firstLineChars="200"/>
              <w:rPr>
                <w:rFonts w:hint="eastAsia" w:ascii="宋体" w:hAnsi="宋体" w:eastAsia="宋体" w:cs="宋体"/>
                <w:bCs/>
                <w:color w:val="auto"/>
                <w:kern w:val="0"/>
                <w:sz w:val="21"/>
                <w:szCs w:val="21"/>
                <w:lang w:eastAsia="zh-TW"/>
              </w:rPr>
            </w:pPr>
          </w:p>
        </w:tc>
        <w:tc>
          <w:tcPr>
            <w:tcW w:w="4119" w:type="dxa"/>
            <w:shd w:val="clear" w:color="auto" w:fill="auto"/>
            <w:tcMar>
              <w:top w:w="80" w:type="dxa"/>
              <w:left w:w="80" w:type="dxa"/>
              <w:bottom w:w="80" w:type="dxa"/>
              <w:right w:w="80" w:type="dxa"/>
            </w:tcMar>
          </w:tcPr>
          <w:p>
            <w:pPr>
              <w:pStyle w:val="20"/>
              <w:widowControl/>
              <w:shd w:val="clear" w:color="auto" w:fill="FFFFFF"/>
              <w:adjustRightInd w:val="0"/>
              <w:snapToGrid w:val="0"/>
              <w:spacing w:line="240" w:lineRule="auto"/>
              <w:ind w:firstLine="420" w:firstLineChars="200"/>
              <w:textAlignment w:val="baseline"/>
              <w:rPr>
                <w:rFonts w:hint="eastAsia" w:ascii="宋体" w:hAnsi="宋体" w:eastAsia="宋体" w:cs="宋体"/>
                <w:bCs/>
                <w:color w:val="auto"/>
                <w:sz w:val="21"/>
                <w:szCs w:val="21"/>
                <w:lang w:val="zh-TW" w:eastAsia="zh-TW"/>
              </w:rPr>
            </w:pPr>
            <w:r>
              <w:rPr>
                <w:rFonts w:hint="eastAsia" w:ascii="宋体" w:hAnsi="宋体" w:eastAsia="宋体" w:cs="宋体"/>
                <w:bCs/>
                <w:color w:val="auto"/>
                <w:sz w:val="21"/>
                <w:szCs w:val="21"/>
                <w:lang w:val="zh-TW" w:eastAsia="zh-TW"/>
              </w:rPr>
              <w:t>《厦门经济特区园林绿化条例》（2018年6月29日厦门市第十五届人民代表大会常务委员会第十四次会议通过）</w:t>
            </w:r>
          </w:p>
          <w:p>
            <w:pPr>
              <w:spacing w:line="240" w:lineRule="auto"/>
              <w:ind w:firstLine="420"/>
              <w:rPr>
                <w:rFonts w:hint="eastAsia" w:ascii="宋体" w:hAnsi="宋体" w:eastAsia="宋体" w:cs="宋体"/>
                <w:bCs/>
                <w:color w:val="auto"/>
                <w:sz w:val="21"/>
                <w:szCs w:val="21"/>
              </w:rPr>
            </w:pPr>
            <w:r>
              <w:rPr>
                <w:rFonts w:hint="eastAsia" w:ascii="宋体" w:hAnsi="宋体" w:eastAsia="宋体" w:cs="宋体"/>
                <w:b/>
                <w:bCs w:val="0"/>
                <w:color w:val="auto"/>
                <w:sz w:val="21"/>
                <w:szCs w:val="21"/>
                <w:lang w:val="zh-TW"/>
              </w:rPr>
              <w:t>第五十一条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市园林绿化部门应当按照规定，建立园林绿化代建、勘察、设计、施工、监理、养护等单位和从业人员的信用评价和违法失信名单制度。</w:t>
            </w:r>
          </w:p>
          <w:p>
            <w:pPr>
              <w:pStyle w:val="2"/>
              <w:spacing w:line="240" w:lineRule="auto"/>
              <w:ind w:firstLine="31680"/>
              <w:rPr>
                <w:rFonts w:hint="eastAsia" w:ascii="宋体" w:hAnsi="宋体" w:eastAsia="宋体" w:cs="宋体"/>
                <w:bCs/>
                <w:color w:val="auto"/>
                <w:sz w:val="21"/>
                <w:szCs w:val="21"/>
              </w:rPr>
            </w:pPr>
            <w:r>
              <w:rPr>
                <w:rFonts w:hint="eastAsia" w:ascii="宋体" w:hAnsi="宋体" w:eastAsia="宋体" w:cs="宋体"/>
                <w:bCs/>
                <w:color w:val="auto"/>
                <w:sz w:val="21"/>
                <w:szCs w:val="21"/>
              </w:rPr>
              <w:t>对列入违法失信名单的单位和从业人员，园林绿化部门应当按照规定及时将违法失信情况通知相关审批部门、监管部门；依法应当予以行政处罚的，相关审批部门、监管部门应当依法从重处罚，并按照规定采取准入限制、资格限定等信用监管措施。</w:t>
            </w:r>
          </w:p>
          <w:p>
            <w:pPr>
              <w:pStyle w:val="2"/>
              <w:spacing w:line="240" w:lineRule="auto"/>
              <w:ind w:firstLine="31680"/>
              <w:rPr>
                <w:rFonts w:hint="eastAsia" w:ascii="宋体" w:hAnsi="宋体" w:eastAsia="宋体" w:cs="宋体"/>
                <w:bCs/>
                <w:color w:val="auto"/>
                <w:sz w:val="21"/>
                <w:szCs w:val="21"/>
              </w:rPr>
            </w:pPr>
            <w:r>
              <w:rPr>
                <w:rFonts w:hint="eastAsia" w:ascii="宋体" w:hAnsi="宋体" w:eastAsia="宋体" w:cs="宋体"/>
                <w:bCs/>
                <w:color w:val="auto"/>
                <w:sz w:val="21"/>
                <w:szCs w:val="21"/>
              </w:rPr>
              <w:t>《内江市城市园林绿化条例》（2018年10月23日经内江市第七届人民代表大会常务委员会第二十二次会议通过，2018年12月7日经四川省第十三届人民代表大会常务委员会第八次会议批准）</w:t>
            </w:r>
          </w:p>
          <w:p>
            <w:pPr>
              <w:pStyle w:val="20"/>
              <w:widowControl/>
              <w:spacing w:line="240" w:lineRule="auto"/>
              <w:ind w:firstLine="422" w:firstLineChars="200"/>
              <w:rPr>
                <w:rFonts w:hint="eastAsia" w:ascii="宋体" w:hAnsi="宋体" w:eastAsia="宋体" w:cs="宋体"/>
                <w:bCs/>
                <w:color w:val="auto"/>
                <w:kern w:val="0"/>
                <w:sz w:val="21"/>
                <w:szCs w:val="21"/>
                <w:lang w:val="zh-TW"/>
              </w:rPr>
            </w:pPr>
            <w:r>
              <w:rPr>
                <w:rFonts w:hint="eastAsia" w:ascii="宋体" w:hAnsi="宋体" w:eastAsia="宋体" w:cs="宋体"/>
                <w:b/>
                <w:bCs w:val="0"/>
                <w:color w:val="auto"/>
                <w:sz w:val="21"/>
                <w:szCs w:val="21"/>
              </w:rPr>
              <w:t>第十八条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市城市园林绿化行政主管部门应当建立城市园林绿化信用信息管理工作制度，将城市园林绿化建设工程的建设、设计、施工和监理等单位以及城市绿地养护管理责任单位的信用状况纳入管理。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6163" w:type="dxa"/>
            <w:gridSpan w:val="4"/>
            <w:shd w:val="clear" w:color="auto" w:fill="auto"/>
            <w:tcMar>
              <w:top w:w="80" w:type="dxa"/>
              <w:left w:w="80" w:type="dxa"/>
              <w:bottom w:w="80" w:type="dxa"/>
              <w:right w:w="80" w:type="dxa"/>
            </w:tcMar>
            <w:vAlign w:val="center"/>
          </w:tcPr>
          <w:p>
            <w:pPr>
              <w:pStyle w:val="20"/>
              <w:widowControl/>
              <w:spacing w:line="240" w:lineRule="auto"/>
              <w:ind w:firstLine="562" w:firstLineChars="200"/>
              <w:jc w:val="center"/>
              <w:rPr>
                <w:rFonts w:hint="eastAsia" w:ascii="宋体" w:hAnsi="宋体" w:eastAsia="宋体" w:cs="宋体"/>
                <w:b/>
                <w:bCs w:val="0"/>
                <w:color w:val="auto"/>
                <w:sz w:val="21"/>
                <w:szCs w:val="21"/>
              </w:rPr>
            </w:pPr>
            <w:r>
              <w:rPr>
                <w:rFonts w:hint="eastAsia" w:cs="Times New Roman" w:asciiTheme="minorEastAsia" w:hAnsiTheme="minorEastAsia" w:eastAsiaTheme="minorEastAsia"/>
                <w:b/>
                <w:sz w:val="28"/>
                <w:szCs w:val="28"/>
                <w:lang w:val="zh-TW" w:eastAsia="zh-TW"/>
              </w:rPr>
              <w:t>第</w:t>
            </w:r>
            <w:r>
              <w:rPr>
                <w:rFonts w:hint="eastAsia" w:cs="Times New Roman" w:asciiTheme="minorEastAsia" w:hAnsiTheme="minorEastAsia" w:eastAsiaTheme="minorEastAsia"/>
                <w:b/>
                <w:sz w:val="28"/>
                <w:szCs w:val="28"/>
                <w:lang w:val="zh-TW" w:eastAsia="zh-CN"/>
              </w:rPr>
              <w:t>四</w:t>
            </w:r>
            <w:r>
              <w:rPr>
                <w:rFonts w:hint="eastAsia" w:cs="Times New Roman" w:asciiTheme="minorEastAsia" w:hAnsiTheme="minorEastAsia" w:eastAsiaTheme="minorEastAsia"/>
                <w:b/>
                <w:sz w:val="28"/>
                <w:szCs w:val="28"/>
                <w:lang w:val="zh-TW" w:eastAsia="zh-TW"/>
              </w:rPr>
              <w:t>章</w:t>
            </w:r>
            <w:r>
              <w:rPr>
                <w:rFonts w:hint="eastAsia" w:cs="Times New Roman" w:asciiTheme="minorEastAsia" w:hAnsiTheme="minorEastAsia" w:eastAsiaTheme="minorEastAsia"/>
                <w:b/>
                <w:sz w:val="28"/>
                <w:szCs w:val="28"/>
                <w:lang w:val="zh-TW"/>
              </w:rPr>
              <w:t xml:space="preserve"> </w:t>
            </w:r>
            <w:r>
              <w:rPr>
                <w:rFonts w:cs="黑体" w:asciiTheme="minorEastAsia" w:hAnsiTheme="minorEastAsia" w:eastAsiaTheme="minorEastAsia"/>
                <w:b/>
                <w:sz w:val="28"/>
                <w:szCs w:val="28"/>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color w:val="auto"/>
                <w:sz w:val="21"/>
                <w:szCs w:val="21"/>
                <w:u w:color="000000"/>
                <w:lang w:val="zh-TW" w:eastAsia="zh-CN" w:bidi="ar-SA"/>
              </w:rPr>
            </w:pPr>
            <w:r>
              <w:rPr>
                <w:rFonts w:hint="eastAsia" w:ascii="宋体" w:hAnsi="宋体" w:eastAsia="宋体" w:cs="宋体"/>
                <w:b/>
                <w:bCs w:val="0"/>
                <w:color w:val="auto"/>
                <w:sz w:val="21"/>
                <w:szCs w:val="21"/>
              </w:rPr>
              <w:t>罚则</w:t>
            </w:r>
          </w:p>
        </w:tc>
        <w:tc>
          <w:tcPr>
            <w:tcW w:w="5010" w:type="dxa"/>
            <w:shd w:val="clear" w:color="auto" w:fill="auto"/>
            <w:tcMar>
              <w:top w:w="80" w:type="dxa"/>
              <w:left w:w="80" w:type="dxa"/>
              <w:bottom w:w="80" w:type="dxa"/>
              <w:right w:w="80" w:type="dxa"/>
            </w:tcMar>
            <w:vAlign w:val="top"/>
          </w:tcPr>
          <w:p>
            <w:pPr>
              <w:spacing w:line="240" w:lineRule="auto"/>
              <w:ind w:firstLine="422" w:firstLineChars="200"/>
              <w:jc w:val="both"/>
              <w:rPr>
                <w:rFonts w:hint="eastAsia" w:ascii="宋体" w:hAnsi="宋体" w:eastAsia="宋体" w:cs="宋体"/>
                <w:bCs/>
                <w:color w:val="auto"/>
                <w:sz w:val="21"/>
                <w:szCs w:val="21"/>
                <w:u w:color="000000"/>
                <w:lang w:val="zh-TW" w:eastAsia="zh-TW" w:bidi="ar-SA"/>
              </w:rPr>
            </w:pPr>
            <w:r>
              <w:rPr>
                <w:rFonts w:hint="eastAsia" w:ascii="宋体" w:hAnsi="宋体" w:eastAsia="宋体" w:cs="宋体"/>
                <w:b/>
                <w:bCs/>
                <w:color w:val="auto"/>
                <w:sz w:val="21"/>
                <w:szCs w:val="21"/>
              </w:rPr>
              <w:t xml:space="preserve">第十八条  </w:t>
            </w:r>
            <w:r>
              <w:rPr>
                <w:rFonts w:hint="eastAsia" w:ascii="宋体" w:hAnsi="宋体" w:eastAsia="宋体" w:cs="宋体"/>
                <w:color w:val="auto"/>
                <w:sz w:val="21"/>
                <w:szCs w:val="21"/>
              </w:rPr>
              <w:t>违反本条例规定的行为，法律法规已有法律责任规定的，从其规定。</w:t>
            </w:r>
          </w:p>
        </w:tc>
        <w:tc>
          <w:tcPr>
            <w:tcW w:w="5670" w:type="dxa"/>
            <w:shd w:val="clear" w:color="auto" w:fill="auto"/>
            <w:tcMar>
              <w:top w:w="80" w:type="dxa"/>
              <w:left w:w="80" w:type="dxa"/>
              <w:bottom w:w="80" w:type="dxa"/>
              <w:right w:w="80" w:type="dxa"/>
            </w:tcMar>
          </w:tcPr>
          <w:p>
            <w:pPr>
              <w:pStyle w:val="20"/>
              <w:spacing w:line="240" w:lineRule="auto"/>
              <w:ind w:firstLine="420" w:firstLineChars="200"/>
              <w:rPr>
                <w:rFonts w:hint="eastAsia" w:ascii="宋体" w:hAnsi="宋体" w:eastAsia="宋体" w:cs="宋体"/>
                <w:bCs/>
                <w:color w:val="auto"/>
                <w:kern w:val="0"/>
                <w:sz w:val="21"/>
                <w:szCs w:val="21"/>
                <w:lang w:eastAsia="zh-TW"/>
              </w:rPr>
            </w:pPr>
          </w:p>
        </w:tc>
        <w:tc>
          <w:tcPr>
            <w:tcW w:w="4119" w:type="dxa"/>
            <w:shd w:val="clear" w:color="auto" w:fill="auto"/>
            <w:tcMar>
              <w:top w:w="80" w:type="dxa"/>
              <w:left w:w="80" w:type="dxa"/>
              <w:bottom w:w="80" w:type="dxa"/>
              <w:right w:w="80" w:type="dxa"/>
            </w:tcMar>
          </w:tcPr>
          <w:p>
            <w:pPr>
              <w:pStyle w:val="20"/>
              <w:widowControl/>
              <w:spacing w:line="240" w:lineRule="auto"/>
              <w:ind w:firstLine="422" w:firstLineChars="200"/>
              <w:rPr>
                <w:rFonts w:hint="eastAsia" w:ascii="宋体" w:hAnsi="宋体" w:eastAsia="宋体" w:cs="宋体"/>
                <w:b/>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color w:val="auto"/>
                <w:sz w:val="21"/>
                <w:szCs w:val="21"/>
                <w:u w:color="000000"/>
                <w:lang w:val="zh-TW" w:eastAsia="zh-CN" w:bidi="ar-SA"/>
              </w:rPr>
            </w:pPr>
          </w:p>
        </w:tc>
        <w:tc>
          <w:tcPr>
            <w:tcW w:w="5010" w:type="dxa"/>
            <w:shd w:val="clear" w:color="auto" w:fill="auto"/>
            <w:tcMar>
              <w:top w:w="80" w:type="dxa"/>
              <w:left w:w="80" w:type="dxa"/>
              <w:bottom w:w="80" w:type="dxa"/>
              <w:right w:w="80" w:type="dxa"/>
            </w:tcMar>
            <w:vAlign w:val="top"/>
          </w:tcPr>
          <w:p>
            <w:pPr>
              <w:spacing w:line="240" w:lineRule="auto"/>
              <w:ind w:firstLine="422" w:firstLineChars="200"/>
              <w:jc w:val="both"/>
              <w:rPr>
                <w:rFonts w:hint="eastAsia" w:ascii="宋体" w:hAnsi="宋体" w:eastAsia="宋体" w:cs="宋体"/>
                <w:b/>
                <w:color w:val="auto"/>
                <w:sz w:val="21"/>
                <w:szCs w:val="21"/>
                <w:u w:color="000000"/>
                <w:lang w:val="en-US" w:eastAsia="zh-TW" w:bidi="ar-SA"/>
              </w:rPr>
            </w:pPr>
            <w:r>
              <w:rPr>
                <w:rFonts w:hint="eastAsia" w:ascii="宋体" w:hAnsi="宋体" w:eastAsia="宋体" w:cs="宋体"/>
                <w:b/>
                <w:bCs/>
                <w:color w:val="auto"/>
                <w:sz w:val="21"/>
                <w:szCs w:val="21"/>
              </w:rPr>
              <w:t xml:space="preserve">第十九条  </w:t>
            </w:r>
            <w:r>
              <w:rPr>
                <w:rFonts w:hint="eastAsia" w:ascii="宋体" w:hAnsi="宋体" w:eastAsia="宋体" w:cs="宋体"/>
                <w:color w:val="auto"/>
                <w:sz w:val="21"/>
                <w:szCs w:val="21"/>
              </w:rPr>
              <w:t>违反本条例第七条规定,由住房和城乡建设行政主管部门责令限期改正；逾期未改正的，由城市管理行政执法部门对建设单位按所缺绿地面积处以所在区域当年基准地价一倍以上两倍以下罚款。</w:t>
            </w:r>
          </w:p>
        </w:tc>
        <w:tc>
          <w:tcPr>
            <w:tcW w:w="5670" w:type="dxa"/>
            <w:shd w:val="clear" w:color="auto" w:fill="auto"/>
            <w:tcMar>
              <w:top w:w="80" w:type="dxa"/>
              <w:left w:w="80" w:type="dxa"/>
              <w:bottom w:w="80" w:type="dxa"/>
              <w:right w:w="80" w:type="dxa"/>
            </w:tcMar>
            <w:vAlign w:val="top"/>
          </w:tcPr>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《辽宁省城镇绿化条例》（2012年1月5日辽宁省第十一届人民代表大会常务委员会第27次会议通过，2017年9月28日修正版）</w:t>
            </w:r>
          </w:p>
          <w:p>
            <w:pPr>
              <w:spacing w:line="240" w:lineRule="auto"/>
              <w:ind w:firstLine="422" w:firstLineChars="200"/>
              <w:rPr>
                <w:rFonts w:hint="eastAsia" w:ascii="宋体" w:hAnsi="宋体" w:eastAsia="宋体" w:cs="宋体"/>
                <w:bCs/>
                <w:color w:val="auto"/>
                <w:sz w:val="21"/>
                <w:szCs w:val="21"/>
                <w:lang w:val="zh-TW" w:eastAsia="zh-TW"/>
              </w:rPr>
            </w:pPr>
            <w:r>
              <w:rPr>
                <w:rFonts w:hint="eastAsia" w:ascii="宋体" w:hAnsi="宋体" w:eastAsia="宋体" w:cs="宋体"/>
                <w:b/>
                <w:bCs w:val="0"/>
                <w:color w:val="auto"/>
                <w:sz w:val="21"/>
                <w:szCs w:val="21"/>
                <w:lang w:val="zh-TW" w:eastAsia="zh-TW"/>
              </w:rPr>
              <w:t>第三十九条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eastAsia="zh-TW"/>
              </w:rPr>
              <w:t>违反本条例规定，新建建设项目附属绿化用地面积未达到规定标准的，由城乡规划行政主管部门责令限期改正；逾期不改正的，由城乡规划行政主管部门按照有关法律、法规规定予以处罚。 </w:t>
            </w:r>
          </w:p>
          <w:p>
            <w:pPr>
              <w:pStyle w:val="20"/>
              <w:widowControl/>
              <w:spacing w:line="240" w:lineRule="auto"/>
              <w:ind w:firstLine="420" w:firstLineChars="200"/>
              <w:rPr>
                <w:rFonts w:hint="eastAsia" w:ascii="宋体" w:hAnsi="宋体" w:eastAsia="宋体" w:cs="宋体"/>
                <w:bCs/>
                <w:color w:val="auto"/>
                <w:kern w:val="0"/>
                <w:sz w:val="21"/>
                <w:szCs w:val="21"/>
                <w:u w:color="000000"/>
                <w:lang w:val="en-US" w:eastAsia="zh-TW" w:bidi="ar-SA"/>
              </w:rPr>
            </w:pPr>
          </w:p>
        </w:tc>
        <w:tc>
          <w:tcPr>
            <w:tcW w:w="4119" w:type="dxa"/>
            <w:shd w:val="clear" w:color="auto" w:fill="auto"/>
            <w:tcMar>
              <w:top w:w="80" w:type="dxa"/>
              <w:left w:w="80" w:type="dxa"/>
              <w:bottom w:w="80" w:type="dxa"/>
              <w:right w:w="80" w:type="dxa"/>
            </w:tcMar>
            <w:vAlign w:val="top"/>
          </w:tcPr>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《临沧市城市绿化管理条例》（2019年8月26日临沧市第四届人民代表大会常务委员会第十三次会议通过，</w:t>
            </w:r>
            <w:r>
              <w:rPr>
                <w:rFonts w:hint="eastAsia" w:ascii="宋体" w:hAnsi="宋体" w:eastAsia="宋体" w:cs="宋体"/>
                <w:bCs/>
                <w:color w:val="auto"/>
                <w:sz w:val="21"/>
                <w:szCs w:val="21"/>
              </w:rPr>
              <w:t>2019年9月28日云南省第十三届人民代表大会常务委员会第十三次会议批准，2020年1月1日起施行</w:t>
            </w:r>
            <w:r>
              <w:rPr>
                <w:rFonts w:hint="eastAsia" w:ascii="宋体" w:hAnsi="宋体" w:eastAsia="宋体" w:cs="宋体"/>
                <w:bCs/>
                <w:color w:val="auto"/>
                <w:sz w:val="21"/>
                <w:szCs w:val="21"/>
                <w:lang w:val="zh-TW"/>
              </w:rPr>
              <w:t>）</w:t>
            </w:r>
          </w:p>
          <w:p>
            <w:pPr>
              <w:spacing w:line="240" w:lineRule="auto"/>
              <w:ind w:firstLine="422" w:firstLineChars="200"/>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rPr>
              <w:t>第二十六条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违反本条例第十条规定，工程建设项目竣工后，未达到相应绿地率标准的，由城市管理综合行政执法机构责令限期改正；逾期不改正的，按照不足绿地面积，处每平方米1万元以上3万元以下罚款。</w:t>
            </w:r>
          </w:p>
          <w:p>
            <w:pPr>
              <w:spacing w:line="24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lang w:val="zh-TW"/>
              </w:rPr>
              <w:t>《齐齐哈尔市城市绿化条例》（</w:t>
            </w:r>
            <w:r>
              <w:rPr>
                <w:rFonts w:hint="eastAsia" w:ascii="宋体" w:hAnsi="宋体" w:eastAsia="宋体" w:cs="宋体"/>
                <w:bCs/>
                <w:color w:val="auto"/>
                <w:sz w:val="21"/>
                <w:szCs w:val="21"/>
              </w:rPr>
              <w:t>1990年12月14日齐齐哈尔市第十届人民代表大会常务委员会第二十一次会议通过，1990年12月14日黑龙江省第七届人民代表大会常务委员会第十八次会议批准）</w:t>
            </w:r>
          </w:p>
          <w:p>
            <w:pPr>
              <w:spacing w:line="240" w:lineRule="auto"/>
              <w:ind w:firstLine="422" w:firstLineChars="200"/>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rPr>
              <w:t>第三十四条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违反本条例第十一条规定，建设项目绿地面积占建设项目用地总面积的比例未达到标准的，由城市绿化行政主管部门责令限期改正，并对建设单位按所缺绿地面积处以所在区域当年基准地价一倍以上两倍以下罚款。</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《鞍山市城镇绿化条例》 （2018年10月30日鞍山市第十六届人民代表大会常务委员会第八次会议通过，</w:t>
            </w:r>
            <w:r>
              <w:rPr>
                <w:rFonts w:hint="eastAsia" w:ascii="宋体" w:hAnsi="宋体" w:eastAsia="宋体" w:cs="宋体"/>
                <w:bCs/>
                <w:color w:val="auto"/>
                <w:sz w:val="21"/>
                <w:szCs w:val="21"/>
              </w:rPr>
              <w:t>2018年11月28日</w:t>
            </w:r>
            <w:r>
              <w:rPr>
                <w:rFonts w:hint="eastAsia" w:ascii="宋体" w:hAnsi="宋体" w:eastAsia="宋体" w:cs="宋体"/>
                <w:bCs/>
                <w:color w:val="auto"/>
                <w:sz w:val="21"/>
                <w:szCs w:val="21"/>
                <w:lang w:val="zh-TW"/>
              </w:rPr>
              <w:t>辽宁省第十三届人民代表大会常务委员会第七次会议批准，</w:t>
            </w:r>
            <w:r>
              <w:rPr>
                <w:rFonts w:hint="eastAsia" w:ascii="宋体" w:hAnsi="宋体" w:eastAsia="宋体" w:cs="宋体"/>
                <w:bCs/>
                <w:color w:val="auto"/>
                <w:sz w:val="21"/>
                <w:szCs w:val="21"/>
              </w:rPr>
              <w:t>2019年1月1日起实施</w:t>
            </w:r>
            <w:r>
              <w:rPr>
                <w:rFonts w:hint="eastAsia" w:ascii="宋体" w:hAnsi="宋体" w:eastAsia="宋体" w:cs="宋体"/>
                <w:bCs/>
                <w:color w:val="auto"/>
                <w:sz w:val="21"/>
                <w:szCs w:val="21"/>
                <w:lang w:val="zh-TW"/>
              </w:rPr>
              <w:t>） </w:t>
            </w:r>
          </w:p>
          <w:p>
            <w:pPr>
              <w:spacing w:line="240" w:lineRule="auto"/>
              <w:ind w:firstLine="422" w:firstLineChars="200"/>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rPr>
              <w:t>第三十八条</w:t>
            </w:r>
            <w:r>
              <w:rPr>
                <w:rFonts w:hint="eastAsia" w:ascii="宋体" w:hAnsi="宋体" w:eastAsia="宋体" w:cs="宋体"/>
                <w:b/>
                <w:bCs w:val="0"/>
                <w:color w:val="auto"/>
                <w:sz w:val="21"/>
                <w:szCs w:val="21"/>
                <w:lang w:val="en-US" w:eastAsia="zh-CN"/>
              </w:rPr>
              <w:t xml:space="preserve"> </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 违反本条例第十二条规定，新建建设项目附属绿化用地面积未达到规定标准的，由城乡规划行政主管部门责令限期改正；逾期不改正的，由城市管理行政执法主管部门按照有关法律、法规规定予以处罚。 </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《柳州市城市绿化条例》（2017年12月27日柳州市第十四届人民代表大会常务委员会第九次会议通过，</w:t>
            </w:r>
            <w:r>
              <w:rPr>
                <w:rFonts w:hint="eastAsia" w:ascii="宋体" w:hAnsi="宋体" w:eastAsia="宋体" w:cs="宋体"/>
                <w:bCs/>
                <w:color w:val="auto"/>
                <w:sz w:val="21"/>
                <w:szCs w:val="21"/>
              </w:rPr>
              <w:t>2018年3月29日广西壮族自治区第十三届人民代表大会常务委员会第二次会议批准</w:t>
            </w:r>
            <w:r>
              <w:rPr>
                <w:rFonts w:hint="eastAsia" w:ascii="宋体" w:hAnsi="宋体" w:eastAsia="宋体" w:cs="宋体"/>
                <w:bCs/>
                <w:color w:val="auto"/>
                <w:sz w:val="21"/>
                <w:szCs w:val="21"/>
                <w:lang w:val="zh-TW"/>
              </w:rPr>
              <w:t>）</w:t>
            </w:r>
          </w:p>
          <w:p>
            <w:pPr>
              <w:spacing w:line="240" w:lineRule="auto"/>
              <w:ind w:firstLine="422" w:firstLineChars="200"/>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rPr>
              <w:t>第四十一条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违反本条例规定，有下列行为之一的，由城市绿化行政主管部门予以处罚:</w:t>
            </w:r>
          </w:p>
          <w:p>
            <w:pPr>
              <w:pStyle w:val="20"/>
              <w:spacing w:line="240" w:lineRule="auto"/>
              <w:ind w:firstLine="420" w:firstLineChars="200"/>
              <w:rPr>
                <w:rFonts w:hint="eastAsia" w:ascii="宋体" w:hAnsi="宋体" w:eastAsia="宋体" w:cs="宋体"/>
                <w:color w:val="auto"/>
                <w:kern w:val="2"/>
                <w:sz w:val="21"/>
                <w:szCs w:val="21"/>
                <w:u w:color="000000"/>
                <w:lang w:val="en-US" w:eastAsia="zh-TW" w:bidi="ar-SA"/>
              </w:rPr>
            </w:pPr>
            <w:r>
              <w:rPr>
                <w:rFonts w:hint="eastAsia" w:ascii="宋体" w:hAnsi="宋体" w:eastAsia="宋体" w:cs="宋体"/>
                <w:bCs/>
                <w:color w:val="auto"/>
                <w:sz w:val="21"/>
                <w:szCs w:val="21"/>
                <w:lang w:val="zh-TW"/>
              </w:rPr>
              <w:t>(一)建设项目绿化用地面积占建设工程总用地面积的比例达不到批准标准的，责令限期改正;逾期仍达不到规定或者批准标准的，按相差面积所在区域基准地价的三倍以上五倍以下处以罚款;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color w:val="auto"/>
                <w:sz w:val="21"/>
                <w:szCs w:val="21"/>
                <w:u w:color="000000"/>
                <w:lang w:val="zh-TW" w:eastAsia="zh-CN" w:bidi="ar-SA"/>
              </w:rPr>
            </w:pPr>
          </w:p>
        </w:tc>
        <w:tc>
          <w:tcPr>
            <w:tcW w:w="5010" w:type="dxa"/>
            <w:shd w:val="clear" w:color="auto" w:fill="auto"/>
            <w:tcMar>
              <w:top w:w="80" w:type="dxa"/>
              <w:left w:w="80" w:type="dxa"/>
              <w:bottom w:w="80" w:type="dxa"/>
              <w:right w:w="80" w:type="dxa"/>
            </w:tcMar>
            <w:vAlign w:val="top"/>
          </w:tcPr>
          <w:p>
            <w:pPr>
              <w:snapToGrid w:val="0"/>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第二十条  </w:t>
            </w:r>
            <w:r>
              <w:rPr>
                <w:rFonts w:hint="eastAsia" w:ascii="宋体" w:hAnsi="宋体" w:eastAsia="宋体" w:cs="宋体"/>
                <w:color w:val="auto"/>
                <w:sz w:val="21"/>
                <w:szCs w:val="21"/>
              </w:rPr>
              <w:t>违反本条例第十一条第三项规定的，由住房和城乡建设行政主管部门责令改正， 逾期未整改的，由城市管理行政执法部门对建设单位处二千元以上一万元以下罚款。</w:t>
            </w:r>
          </w:p>
          <w:p>
            <w:pPr>
              <w:snapToGrid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违反本条例第十一条第四项规定的，由住房和城乡建设行政主管部门责令改正；逾期未改正的，由城市管理行政执法部门对建设单位处五百元以上二千元以下罚款。</w:t>
            </w:r>
          </w:p>
          <w:p>
            <w:pPr>
              <w:spacing w:line="240" w:lineRule="auto"/>
              <w:ind w:firstLine="420" w:firstLineChars="200"/>
              <w:jc w:val="both"/>
              <w:rPr>
                <w:rFonts w:hint="eastAsia" w:ascii="宋体" w:hAnsi="宋体" w:eastAsia="宋体" w:cs="宋体"/>
                <w:bCs/>
                <w:color w:val="auto"/>
                <w:sz w:val="21"/>
                <w:szCs w:val="21"/>
                <w:u w:color="000000"/>
                <w:lang w:val="en-US" w:eastAsia="zh-TW" w:bidi="ar-SA"/>
              </w:rPr>
            </w:pPr>
          </w:p>
        </w:tc>
        <w:tc>
          <w:tcPr>
            <w:tcW w:w="5670" w:type="dxa"/>
            <w:shd w:val="clear" w:color="auto" w:fill="auto"/>
            <w:tcMar>
              <w:top w:w="80" w:type="dxa"/>
              <w:left w:w="80" w:type="dxa"/>
              <w:bottom w:w="80" w:type="dxa"/>
              <w:right w:w="80" w:type="dxa"/>
            </w:tcMar>
            <w:vAlign w:val="top"/>
          </w:tcPr>
          <w:p>
            <w:pPr>
              <w:pStyle w:val="20"/>
              <w:widowControl/>
              <w:spacing w:line="240" w:lineRule="auto"/>
              <w:ind w:firstLine="420" w:firstLineChars="200"/>
              <w:rPr>
                <w:rFonts w:hint="eastAsia" w:ascii="宋体" w:hAnsi="宋体" w:eastAsia="宋体" w:cs="宋体"/>
                <w:bCs/>
                <w:color w:val="auto"/>
                <w:kern w:val="0"/>
                <w:sz w:val="21"/>
                <w:szCs w:val="21"/>
                <w:u w:color="000000"/>
                <w:lang w:val="en-US" w:eastAsia="zh-TW" w:bidi="ar-SA"/>
              </w:rPr>
            </w:pPr>
          </w:p>
        </w:tc>
        <w:tc>
          <w:tcPr>
            <w:tcW w:w="4119" w:type="dxa"/>
            <w:shd w:val="clear" w:color="auto" w:fill="auto"/>
            <w:tcMar>
              <w:top w:w="80" w:type="dxa"/>
              <w:left w:w="80" w:type="dxa"/>
              <w:bottom w:w="80" w:type="dxa"/>
              <w:right w:w="80" w:type="dxa"/>
            </w:tcMar>
            <w:vAlign w:val="top"/>
          </w:tcPr>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《南通市城市绿化管理条例》（2019年7月30日南通市第十五届人民代表大会常务委员会第二十四次会议通过，2019年9月27日江苏省第十三届人民代表大会常务委员会第十一次会议批准，2020年1月1日施行）</w:t>
            </w:r>
          </w:p>
          <w:p>
            <w:pPr>
              <w:spacing w:line="240" w:lineRule="auto"/>
              <w:ind w:firstLine="422" w:firstLineChars="200"/>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rPr>
              <w:t>第十六条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违反本条例第九条第三项规定的，由城市绿化主管部门责令改正，处二千元以上一万元以下罚款。</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违反本条例第九条第四项规定的，由城市绿化主管部门责令改正；逾期不改正的，处五百元以上二千元以下罚款。</w:t>
            </w:r>
          </w:p>
          <w:p>
            <w:pPr>
              <w:spacing w:line="240" w:lineRule="auto"/>
              <w:ind w:firstLine="422" w:firstLineChars="200"/>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rPr>
              <w:t>第九条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城市绿化工程、建设工程项目附属绿化工程的建设单位应当履行下列义务：</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（一）按照有关规定办理工程质量、安全监督手续；</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（二）绿化工程自竣工验收合格之日起十五日内，将绿化工程的竣工验收资料报送城市绿化主管部门备案；</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（三）按照有关规定将绿化工程建设档案移交城建档案管理机构；</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（四）绿化工程竣工后，在建设项目所在地的显著位置设立绿线公示牌。</w:t>
            </w:r>
          </w:p>
          <w:p>
            <w:pPr>
              <w:spacing w:line="240" w:lineRule="auto"/>
              <w:ind w:firstLine="420" w:firstLineChars="200"/>
              <w:rPr>
                <w:rFonts w:hint="eastAsia" w:ascii="宋体" w:hAnsi="宋体" w:eastAsia="宋体" w:cs="宋体"/>
                <w:bCs/>
                <w:color w:val="auto"/>
                <w:sz w:val="21"/>
                <w:szCs w:val="21"/>
                <w:lang w:val="zh-TW"/>
              </w:rPr>
            </w:pPr>
            <w:r>
              <w:rPr>
                <w:rFonts w:hint="eastAsia" w:ascii="宋体" w:hAnsi="宋体" w:eastAsia="宋体" w:cs="宋体"/>
                <w:bCs/>
                <w:color w:val="auto"/>
                <w:sz w:val="21"/>
                <w:szCs w:val="21"/>
                <w:lang w:val="zh-TW"/>
              </w:rPr>
              <w:t>《临沧市城市绿化管理条例》（2019年8月26日临沧市第四届人民代表大会常务委员会第十三次会议通过，</w:t>
            </w:r>
            <w:r>
              <w:rPr>
                <w:rFonts w:hint="eastAsia" w:ascii="宋体" w:hAnsi="宋体" w:eastAsia="宋体" w:cs="宋体"/>
                <w:bCs/>
                <w:color w:val="auto"/>
                <w:sz w:val="21"/>
                <w:szCs w:val="21"/>
              </w:rPr>
              <w:t>2019年9月28日云南省第十三届人民代表大会常务委员会第十三次会议批准，2020年1月1日起施行</w:t>
            </w:r>
            <w:r>
              <w:rPr>
                <w:rFonts w:hint="eastAsia" w:ascii="宋体" w:hAnsi="宋体" w:eastAsia="宋体" w:cs="宋体"/>
                <w:bCs/>
                <w:color w:val="auto"/>
                <w:sz w:val="21"/>
                <w:szCs w:val="21"/>
                <w:lang w:val="zh-TW"/>
              </w:rPr>
              <w:t>）</w:t>
            </w:r>
          </w:p>
          <w:p>
            <w:pPr>
              <w:spacing w:line="240" w:lineRule="auto"/>
              <w:ind w:firstLine="422" w:firstLineChars="200"/>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rPr>
              <w:t>第二十七条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违反本条例第十五条第二款规定，项目建设单位未按规定公示居住区绿地平面图的，由城市管理综合行政执法机构责令限期改正；逾期不改正的，处2000元以上1万元以下罚款。</w:t>
            </w:r>
          </w:p>
          <w:p>
            <w:pPr>
              <w:spacing w:line="24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lang w:val="zh-TW"/>
              </w:rPr>
              <w:t>《三明市城市园林绿化管理条例》（</w:t>
            </w:r>
            <w:r>
              <w:rPr>
                <w:rFonts w:hint="eastAsia" w:ascii="宋体" w:hAnsi="宋体" w:eastAsia="宋体" w:cs="宋体"/>
                <w:bCs/>
                <w:color w:val="auto"/>
                <w:sz w:val="21"/>
                <w:szCs w:val="21"/>
              </w:rPr>
              <w:t>2019年4月25日三明市第十三届人民代表大会常务委员会第十八次会议通过，2019年7月26日福建省第十三届人民代表大会常务委员会第十一次会议批准）</w:t>
            </w:r>
          </w:p>
          <w:p>
            <w:pPr>
              <w:spacing w:line="240" w:lineRule="auto"/>
              <w:ind w:firstLine="422" w:firstLineChars="200"/>
              <w:rPr>
                <w:rFonts w:hint="eastAsia" w:ascii="宋体" w:hAnsi="宋体" w:eastAsia="宋体" w:cs="宋体"/>
                <w:bCs/>
                <w:color w:val="auto"/>
                <w:sz w:val="21"/>
                <w:szCs w:val="21"/>
                <w:lang w:val="zh-TW"/>
              </w:rPr>
            </w:pPr>
            <w:r>
              <w:rPr>
                <w:rFonts w:hint="eastAsia" w:ascii="宋体" w:hAnsi="宋体" w:eastAsia="宋体" w:cs="宋体"/>
                <w:b/>
                <w:bCs w:val="0"/>
                <w:color w:val="auto"/>
                <w:sz w:val="21"/>
                <w:szCs w:val="21"/>
                <w:lang w:val="zh-TW"/>
              </w:rPr>
              <w:t>第三十三条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违反本条例第十二条规定，建设单位未在建设项目所在地的显著位置公示园林绿地平面图或者公示的园林绿地平面图不符合要求的，由城市管理部门责令限期改正；逾期未改正的，处三千元罚款。</w:t>
            </w:r>
          </w:p>
          <w:p>
            <w:pPr>
              <w:spacing w:line="24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lang w:val="zh-TW"/>
              </w:rPr>
              <w:t>《龙岩市城市绿化条例》（</w:t>
            </w:r>
            <w:r>
              <w:rPr>
                <w:rFonts w:hint="eastAsia" w:ascii="宋体" w:hAnsi="宋体" w:eastAsia="宋体" w:cs="宋体"/>
                <w:bCs/>
                <w:color w:val="auto"/>
                <w:sz w:val="21"/>
                <w:szCs w:val="21"/>
              </w:rPr>
              <w:t>2019年9月27日龙岩市第五届人民代表大会常务委员会第十七次会议通过，2019年11月27日福建省第十三届人民代表大会常务委员会第十三次会议批准）</w:t>
            </w:r>
          </w:p>
          <w:p>
            <w:pPr>
              <w:pStyle w:val="20"/>
              <w:widowControl/>
              <w:spacing w:line="240" w:lineRule="auto"/>
              <w:ind w:firstLine="422" w:firstLineChars="200"/>
              <w:rPr>
                <w:rFonts w:hint="eastAsia" w:ascii="宋体" w:hAnsi="宋体" w:eastAsia="宋体" w:cs="宋体"/>
                <w:bCs/>
                <w:color w:val="auto"/>
                <w:kern w:val="0"/>
                <w:sz w:val="21"/>
                <w:szCs w:val="21"/>
                <w:u w:color="000000"/>
                <w:lang w:val="zh-TW" w:eastAsia="zh-TW" w:bidi="ar-SA"/>
              </w:rPr>
            </w:pPr>
            <w:r>
              <w:rPr>
                <w:rFonts w:hint="eastAsia" w:ascii="宋体" w:hAnsi="宋体" w:eastAsia="宋体" w:cs="宋体"/>
                <w:b/>
                <w:bCs w:val="0"/>
                <w:color w:val="auto"/>
                <w:sz w:val="21"/>
                <w:szCs w:val="21"/>
                <w:lang w:val="zh-TW"/>
              </w:rPr>
              <w:t>第三十九条</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TW"/>
              </w:rPr>
              <w:t>违反本条例第十九条规定，建设单位未公示绿地平面图或者公示的绿地平面图不符合要求的，由城市绿化主管部门责令限期改正；逾期未改正的，处以二千元以上一万元以下罚款。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bCs w:val="0"/>
                <w:color w:val="auto"/>
                <w:sz w:val="21"/>
                <w:szCs w:val="21"/>
              </w:rPr>
            </w:pPr>
          </w:p>
        </w:tc>
        <w:tc>
          <w:tcPr>
            <w:tcW w:w="5010" w:type="dxa"/>
            <w:shd w:val="clear" w:color="auto" w:fill="auto"/>
            <w:tcMar>
              <w:top w:w="80" w:type="dxa"/>
              <w:left w:w="80" w:type="dxa"/>
              <w:bottom w:w="80" w:type="dxa"/>
              <w:right w:w="80" w:type="dxa"/>
            </w:tcMar>
            <w:vAlign w:val="top"/>
          </w:tcPr>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第二十一条  </w:t>
            </w:r>
            <w:r>
              <w:rPr>
                <w:rFonts w:hint="eastAsia" w:ascii="宋体" w:hAnsi="宋体" w:eastAsia="宋体" w:cs="宋体"/>
                <w:color w:val="auto"/>
                <w:sz w:val="21"/>
                <w:szCs w:val="21"/>
              </w:rPr>
              <w:t>违反本条例第十二条规定，土地使用权人未临时绿化或者临时绿化不符合要求的，由住房和城乡建设行政主管部门责令限期改正；逾期未改正的，由城市管理行政执法部门按照未临时绿化面积处以每平方米五十元以上一百元以下罚款，由住房和城乡建设主管部门组织临时绿化，所需费用由土地使用权人承担。</w:t>
            </w:r>
          </w:p>
          <w:p>
            <w:pPr>
              <w:spacing w:line="240" w:lineRule="auto"/>
              <w:ind w:firstLine="420" w:firstLineChars="200"/>
              <w:jc w:val="both"/>
              <w:rPr>
                <w:rFonts w:hint="eastAsia" w:ascii="宋体" w:hAnsi="宋体" w:eastAsia="宋体" w:cs="宋体"/>
                <w:bCs/>
                <w:color w:val="auto"/>
                <w:sz w:val="21"/>
                <w:szCs w:val="21"/>
                <w:u w:color="000000"/>
                <w:lang w:val="en-US" w:eastAsia="zh-CN" w:bidi="ar-SA"/>
              </w:rPr>
            </w:pPr>
          </w:p>
        </w:tc>
        <w:tc>
          <w:tcPr>
            <w:tcW w:w="5670" w:type="dxa"/>
            <w:shd w:val="clear" w:color="auto" w:fill="auto"/>
            <w:tcMar>
              <w:top w:w="80" w:type="dxa"/>
              <w:left w:w="80" w:type="dxa"/>
              <w:bottom w:w="80" w:type="dxa"/>
              <w:right w:w="80" w:type="dxa"/>
            </w:tcMar>
            <w:vAlign w:val="top"/>
          </w:tcPr>
          <w:p>
            <w:pPr>
              <w:pStyle w:val="20"/>
              <w:widowControl/>
              <w:spacing w:line="240" w:lineRule="auto"/>
              <w:ind w:firstLine="420" w:firstLineChars="200"/>
              <w:rPr>
                <w:rFonts w:hint="eastAsia" w:ascii="宋体" w:hAnsi="宋体" w:eastAsia="宋体" w:cs="宋体"/>
                <w:bCs/>
                <w:color w:val="auto"/>
                <w:kern w:val="0"/>
                <w:sz w:val="21"/>
                <w:szCs w:val="21"/>
                <w:u w:color="000000"/>
                <w:lang w:val="en-US" w:eastAsia="zh-TW" w:bidi="ar-SA"/>
              </w:rPr>
            </w:pPr>
          </w:p>
        </w:tc>
        <w:tc>
          <w:tcPr>
            <w:tcW w:w="4119" w:type="dxa"/>
            <w:shd w:val="clear" w:color="auto" w:fill="auto"/>
            <w:tcMar>
              <w:top w:w="80" w:type="dxa"/>
              <w:left w:w="80" w:type="dxa"/>
              <w:bottom w:w="80" w:type="dxa"/>
              <w:right w:w="80" w:type="dxa"/>
            </w:tcMar>
            <w:vAlign w:val="top"/>
          </w:tcPr>
          <w:p>
            <w:pPr>
              <w:pStyle w:val="20"/>
              <w:widowControl/>
              <w:spacing w:line="240" w:lineRule="auto"/>
              <w:ind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eastAsia="zh-CN"/>
              </w:rPr>
              <w:t>《龙岩市城市绿化条例》（</w:t>
            </w:r>
            <w:r>
              <w:rPr>
                <w:rFonts w:hint="eastAsia" w:ascii="宋体" w:hAnsi="宋体" w:eastAsia="宋体" w:cs="宋体"/>
                <w:bCs/>
                <w:color w:val="auto"/>
                <w:sz w:val="21"/>
                <w:szCs w:val="21"/>
                <w:lang w:val="en-US" w:eastAsia="zh-CN"/>
              </w:rPr>
              <w:t>2019年9月27日龙岩市第五届人民代表大会常务委员会第十七次会议通过，2019年11月27日福建省第十三届人民代表大会常务委员会第十三次会议批准）</w:t>
            </w:r>
          </w:p>
          <w:p>
            <w:pPr>
              <w:pStyle w:val="20"/>
              <w:widowControl/>
              <w:spacing w:line="240" w:lineRule="auto"/>
              <w:ind w:firstLine="422" w:firstLineChars="200"/>
              <w:rPr>
                <w:rFonts w:hint="eastAsia" w:ascii="宋体" w:hAnsi="宋体" w:eastAsia="宋体" w:cs="宋体"/>
                <w:bCs/>
                <w:color w:val="auto"/>
                <w:kern w:val="2"/>
                <w:sz w:val="21"/>
                <w:szCs w:val="21"/>
                <w:u w:color="000000"/>
                <w:lang w:val="en-US" w:eastAsia="zh-TW" w:bidi="ar-SA"/>
              </w:rPr>
            </w:pPr>
            <w:r>
              <w:rPr>
                <w:rFonts w:hint="eastAsia" w:ascii="宋体" w:hAnsi="宋体" w:eastAsia="宋体" w:cs="宋体"/>
                <w:b/>
                <w:bCs w:val="0"/>
                <w:color w:val="auto"/>
                <w:sz w:val="21"/>
                <w:szCs w:val="21"/>
                <w:lang w:val="en-US" w:eastAsia="zh-CN"/>
              </w:rPr>
              <w:t>第四十条</w:t>
            </w:r>
            <w:r>
              <w:rPr>
                <w:rFonts w:hint="eastAsia" w:ascii="宋体" w:hAnsi="宋体" w:eastAsia="宋体" w:cs="宋体"/>
                <w:bCs/>
                <w:color w:val="auto"/>
                <w:sz w:val="21"/>
                <w:szCs w:val="21"/>
                <w:lang w:val="en-US" w:eastAsia="zh-CN"/>
              </w:rPr>
              <w:t xml:space="preserve">  违反本条例第二十三条规定，土地使用权人和建设单位未临时绿化或者临时绿化不符合要求的，由城市绿化主管部门责令限期改正；逾期未改正的，按照未临时绿化面积处以每平方米五十元以上一百元以下罚款，由城市绿化主管部门组织临时绿化，所需费用由土地使用权人和建设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6163" w:type="dxa"/>
            <w:gridSpan w:val="4"/>
            <w:shd w:val="clear" w:color="auto" w:fill="auto"/>
            <w:tcMar>
              <w:top w:w="80" w:type="dxa"/>
              <w:left w:w="80" w:type="dxa"/>
              <w:bottom w:w="80" w:type="dxa"/>
              <w:right w:w="80" w:type="dxa"/>
            </w:tcMar>
            <w:vAlign w:val="center"/>
          </w:tcPr>
          <w:p>
            <w:pPr>
              <w:pStyle w:val="20"/>
              <w:widowControl/>
              <w:spacing w:line="240" w:lineRule="auto"/>
              <w:ind w:firstLine="562" w:firstLineChars="200"/>
              <w:jc w:val="center"/>
              <w:rPr>
                <w:rFonts w:hint="eastAsia" w:ascii="宋体" w:hAnsi="宋体" w:eastAsia="宋体" w:cs="宋体"/>
                <w:b/>
                <w:bCs w:val="0"/>
                <w:color w:val="auto"/>
                <w:sz w:val="21"/>
                <w:szCs w:val="21"/>
              </w:rPr>
            </w:pPr>
            <w:r>
              <w:rPr>
                <w:rFonts w:hint="eastAsia" w:cs="Times New Roman" w:asciiTheme="minorEastAsia" w:hAnsiTheme="minorEastAsia" w:eastAsiaTheme="minorEastAsia"/>
                <w:b/>
                <w:sz w:val="28"/>
                <w:szCs w:val="28"/>
                <w:lang w:val="zh-TW" w:eastAsia="zh-TW"/>
              </w:rPr>
              <w:t>第</w:t>
            </w:r>
            <w:r>
              <w:rPr>
                <w:rFonts w:hint="eastAsia" w:cs="Times New Roman" w:asciiTheme="minorEastAsia" w:hAnsiTheme="minorEastAsia" w:eastAsiaTheme="minorEastAsia"/>
                <w:b/>
                <w:sz w:val="28"/>
                <w:szCs w:val="28"/>
                <w:lang w:val="zh-TW" w:eastAsia="zh-CN"/>
              </w:rPr>
              <w:t>五</w:t>
            </w:r>
            <w:r>
              <w:rPr>
                <w:rFonts w:hint="eastAsia" w:cs="Times New Roman" w:asciiTheme="minorEastAsia" w:hAnsiTheme="minorEastAsia" w:eastAsiaTheme="minorEastAsia"/>
                <w:b/>
                <w:sz w:val="28"/>
                <w:szCs w:val="28"/>
                <w:lang w:val="zh-TW" w:eastAsia="zh-TW"/>
              </w:rPr>
              <w:t>章</w:t>
            </w:r>
            <w:r>
              <w:rPr>
                <w:rFonts w:hint="eastAsia" w:cs="Times New Roman" w:asciiTheme="minorEastAsia" w:hAnsiTheme="minorEastAsia" w:eastAsiaTheme="minorEastAsia"/>
                <w:b/>
                <w:sz w:val="28"/>
                <w:szCs w:val="28"/>
                <w:lang w:val="zh-TW"/>
              </w:rPr>
              <w:t xml:space="preserve"> </w:t>
            </w:r>
            <w:r>
              <w:rPr>
                <w:rFonts w:cs="黑体" w:asciiTheme="minorEastAsia" w:hAnsiTheme="minorEastAsia" w:eastAsiaTheme="minorEastAsia"/>
                <w:b/>
                <w:sz w:val="28"/>
                <w:szCs w:val="28"/>
              </w:rPr>
              <w:t>附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364" w:type="dxa"/>
            <w:shd w:val="clear" w:color="auto" w:fill="auto"/>
            <w:tcMar>
              <w:top w:w="80" w:type="dxa"/>
              <w:left w:w="80" w:type="dxa"/>
              <w:bottom w:w="80" w:type="dxa"/>
              <w:right w:w="80" w:type="dxa"/>
            </w:tcMar>
            <w:vAlign w:val="center"/>
          </w:tcPr>
          <w:p>
            <w:pPr>
              <w:spacing w:line="240" w:lineRule="auto"/>
              <w:jc w:val="center"/>
              <w:rPr>
                <w:rFonts w:hint="eastAsia" w:ascii="宋体" w:hAnsi="宋体" w:eastAsia="宋体" w:cs="宋体"/>
                <w:b/>
                <w:color w:val="000000" w:themeColor="text1"/>
                <w:sz w:val="21"/>
                <w:szCs w:val="21"/>
                <w:u w:color="000000"/>
                <w:lang w:val="zh-TW" w:eastAsia="zh-CN" w:bidi="ar-SA"/>
                <w14:textFill>
                  <w14:solidFill>
                    <w14:schemeClr w14:val="tx1"/>
                  </w14:solidFill>
                </w14:textFill>
              </w:rPr>
            </w:pPr>
            <w:r>
              <w:rPr>
                <w:rFonts w:hint="eastAsia" w:ascii="宋体" w:hAnsi="宋体" w:eastAsia="宋体" w:cs="宋体"/>
                <w:b/>
                <w:color w:val="000000" w:themeColor="text1"/>
                <w:sz w:val="21"/>
                <w:szCs w:val="21"/>
                <w:lang w:val="zh-TW"/>
                <w14:textFill>
                  <w14:solidFill>
                    <w14:schemeClr w14:val="tx1"/>
                  </w14:solidFill>
                </w14:textFill>
              </w:rPr>
              <w:t>生效日期</w:t>
            </w:r>
          </w:p>
        </w:tc>
        <w:tc>
          <w:tcPr>
            <w:tcW w:w="5010" w:type="dxa"/>
            <w:shd w:val="clear" w:color="auto" w:fill="auto"/>
            <w:tcMar>
              <w:top w:w="80" w:type="dxa"/>
              <w:left w:w="80" w:type="dxa"/>
              <w:bottom w:w="80" w:type="dxa"/>
              <w:right w:w="80" w:type="dxa"/>
            </w:tcMar>
            <w:vAlign w:val="top"/>
          </w:tcPr>
          <w:p>
            <w:pPr>
              <w:spacing w:line="240" w:lineRule="auto"/>
              <w:ind w:firstLine="422" w:firstLineChars="200"/>
              <w:rPr>
                <w:rFonts w:hint="eastAsia" w:ascii="宋体" w:hAnsi="宋体" w:eastAsia="宋体" w:cs="宋体"/>
                <w:color w:val="333333"/>
                <w:spacing w:val="8"/>
                <w:sz w:val="21"/>
                <w:szCs w:val="21"/>
                <w:shd w:val="clear" w:color="auto" w:fill="FFFFFF"/>
              </w:rPr>
            </w:pPr>
            <w:r>
              <w:rPr>
                <w:rFonts w:hint="eastAsia" w:ascii="宋体" w:hAnsi="宋体" w:eastAsia="宋体" w:cs="宋体"/>
                <w:b/>
                <w:bCs/>
                <w:sz w:val="21"/>
                <w:szCs w:val="21"/>
              </w:rPr>
              <w:t xml:space="preserve">第二十二条  </w:t>
            </w:r>
            <w:r>
              <w:rPr>
                <w:rFonts w:hint="eastAsia" w:ascii="宋体" w:hAnsi="宋体" w:eastAsia="宋体" w:cs="宋体"/>
                <w:sz w:val="21"/>
                <w:szCs w:val="21"/>
              </w:rPr>
              <w:t>本条例自2021年 月 日起施行。</w:t>
            </w:r>
          </w:p>
          <w:p>
            <w:pPr>
              <w:spacing w:line="240" w:lineRule="auto"/>
              <w:ind w:firstLine="422" w:firstLineChars="200"/>
              <w:jc w:val="both"/>
              <w:rPr>
                <w:rFonts w:hint="eastAsia" w:ascii="宋体" w:hAnsi="宋体" w:eastAsia="宋体" w:cs="宋体"/>
                <w:b/>
                <w:color w:val="000000" w:themeColor="text1"/>
                <w:sz w:val="21"/>
                <w:szCs w:val="21"/>
                <w:u w:color="000000"/>
                <w:lang w:val="zh-TW" w:eastAsia="zh-TW" w:bidi="ar-SA"/>
                <w14:textFill>
                  <w14:solidFill>
                    <w14:schemeClr w14:val="tx1"/>
                  </w14:solidFill>
                </w14:textFill>
              </w:rPr>
            </w:pPr>
          </w:p>
        </w:tc>
        <w:tc>
          <w:tcPr>
            <w:tcW w:w="5670" w:type="dxa"/>
            <w:shd w:val="clear" w:color="auto" w:fill="auto"/>
            <w:tcMar>
              <w:top w:w="80" w:type="dxa"/>
              <w:left w:w="80" w:type="dxa"/>
              <w:bottom w:w="80" w:type="dxa"/>
              <w:right w:w="80" w:type="dxa"/>
            </w:tcMar>
          </w:tcPr>
          <w:p>
            <w:pPr>
              <w:pStyle w:val="20"/>
              <w:spacing w:line="240" w:lineRule="auto"/>
              <w:ind w:firstLine="420" w:firstLineChars="200"/>
              <w:rPr>
                <w:rFonts w:hint="eastAsia" w:ascii="宋体" w:hAnsi="宋体" w:eastAsia="宋体" w:cs="宋体"/>
                <w:bCs/>
                <w:color w:val="auto"/>
                <w:kern w:val="0"/>
                <w:sz w:val="21"/>
                <w:szCs w:val="21"/>
                <w:lang w:eastAsia="zh-TW"/>
              </w:rPr>
            </w:pPr>
          </w:p>
        </w:tc>
        <w:tc>
          <w:tcPr>
            <w:tcW w:w="4119" w:type="dxa"/>
            <w:shd w:val="clear" w:color="auto" w:fill="auto"/>
            <w:tcMar>
              <w:top w:w="80" w:type="dxa"/>
              <w:left w:w="80" w:type="dxa"/>
              <w:bottom w:w="80" w:type="dxa"/>
              <w:right w:w="80" w:type="dxa"/>
            </w:tcMar>
          </w:tcPr>
          <w:p>
            <w:pPr>
              <w:pStyle w:val="20"/>
              <w:widowControl/>
              <w:spacing w:line="240" w:lineRule="auto"/>
              <w:ind w:firstLine="422" w:firstLineChars="200"/>
              <w:rPr>
                <w:rFonts w:hint="eastAsia" w:ascii="宋体" w:hAnsi="宋体" w:eastAsia="宋体" w:cs="宋体"/>
                <w:b/>
                <w:bCs w:val="0"/>
                <w:color w:val="auto"/>
                <w:sz w:val="21"/>
                <w:szCs w:val="21"/>
              </w:rPr>
            </w:pPr>
          </w:p>
        </w:tc>
      </w:tr>
    </w:tbl>
    <w:p>
      <w:pPr>
        <w:pStyle w:val="2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772"/>
        </w:tabs>
        <w:rPr>
          <w:rFonts w:ascii="华文仿宋" w:hAnsi="华文仿宋" w:eastAsia="华文仿宋"/>
          <w:color w:val="000000" w:themeColor="text1"/>
          <w:sz w:val="24"/>
          <w:szCs w:val="24"/>
          <w14:textFill>
            <w14:solidFill>
              <w14:schemeClr w14:val="tx1"/>
            </w14:solidFill>
          </w14:textFill>
        </w:rPr>
      </w:pPr>
    </w:p>
    <w:sectPr>
      <w:footerReference r:id="rId3" w:type="default"/>
      <w:pgSz w:w="16840" w:h="11900" w:orient="landscape"/>
      <w:pgMar w:top="567" w:right="284" w:bottom="567" w:left="284" w:header="851" w:footer="992" w:gutter="0"/>
      <w:pgBorders>
        <w:top w:val="none" w:sz="0" w:space="0"/>
        <w:left w:val="none" w:sz="0" w:space="0"/>
        <w:bottom w:val="none" w:sz="0" w:space="0"/>
        <w:right w:val="none" w:sz="0" w:space="0"/>
      </w:pgBorders>
      <w:pgNumType w:fmt="numberInDash"/>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Helvetica Neue">
    <w:altName w:val="Times New Roman"/>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w:instrText>
    </w:r>
    <w:r>
      <w:fldChar w:fldCharType="separate"/>
    </w:r>
    <w:r>
      <w:t>- 13 -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3E9B34"/>
    <w:multiLevelType w:val="singleLevel"/>
    <w:tmpl w:val="CC3E9B34"/>
    <w:lvl w:ilvl="0" w:tentative="0">
      <w:start w:val="1"/>
      <w:numFmt w:val="chineseCounting"/>
      <w:suff w:val="nothing"/>
      <w:lvlText w:val="（%1）"/>
      <w:lvlJc w:val="left"/>
      <w:rPr>
        <w:rFonts w:hint="eastAsia" w:cs="Times New Roman"/>
      </w:rPr>
    </w:lvl>
  </w:abstractNum>
  <w:abstractNum w:abstractNumId="1">
    <w:nsid w:val="21A2B15E"/>
    <w:multiLevelType w:val="singleLevel"/>
    <w:tmpl w:val="21A2B15E"/>
    <w:lvl w:ilvl="0" w:tentative="0">
      <w:start w:val="1"/>
      <w:numFmt w:val="chineseCounting"/>
      <w:suff w:val="nothing"/>
      <w:lvlText w:val="（%1）"/>
      <w:lvlJc w:val="left"/>
      <w:rPr>
        <w:rFonts w:hint="eastAsia" w:cs="Times New Roman"/>
      </w:rPr>
    </w:lvl>
  </w:abstractNum>
  <w:abstractNum w:abstractNumId="2">
    <w:nsid w:val="2D9823CA"/>
    <w:multiLevelType w:val="singleLevel"/>
    <w:tmpl w:val="2D9823CA"/>
    <w:lvl w:ilvl="0" w:tentative="0">
      <w:start w:val="1"/>
      <w:numFmt w:val="chineseCounting"/>
      <w:suff w:val="nothing"/>
      <w:lvlText w:val="（%1）"/>
      <w:lvlJc w:val="left"/>
      <w:rPr>
        <w:rFonts w:hint="eastAsia" w:cs="Times New Roman"/>
      </w:rPr>
    </w:lvl>
  </w:abstractNum>
  <w:abstractNum w:abstractNumId="3">
    <w:nsid w:val="4D6A3054"/>
    <w:multiLevelType w:val="singleLevel"/>
    <w:tmpl w:val="4D6A3054"/>
    <w:lvl w:ilvl="0" w:tentative="0">
      <w:start w:val="17"/>
      <w:numFmt w:val="chineseCounting"/>
      <w:suff w:val="space"/>
      <w:lvlText w:val="第%1条"/>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autoHyphenation/>
  <w:drawingGridHorizontalSpacing w:val="1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86"/>
    <w:rsid w:val="0000293C"/>
    <w:rsid w:val="00002AE6"/>
    <w:rsid w:val="00004B78"/>
    <w:rsid w:val="00007944"/>
    <w:rsid w:val="00010997"/>
    <w:rsid w:val="00011F60"/>
    <w:rsid w:val="00012A5D"/>
    <w:rsid w:val="00016B8F"/>
    <w:rsid w:val="0001712E"/>
    <w:rsid w:val="00017E10"/>
    <w:rsid w:val="0002345D"/>
    <w:rsid w:val="00024435"/>
    <w:rsid w:val="0002598E"/>
    <w:rsid w:val="00026452"/>
    <w:rsid w:val="0002673B"/>
    <w:rsid w:val="00026889"/>
    <w:rsid w:val="00027483"/>
    <w:rsid w:val="00031F72"/>
    <w:rsid w:val="00033BE9"/>
    <w:rsid w:val="00034A88"/>
    <w:rsid w:val="0003698E"/>
    <w:rsid w:val="0004296E"/>
    <w:rsid w:val="00045704"/>
    <w:rsid w:val="0006163A"/>
    <w:rsid w:val="00064EDF"/>
    <w:rsid w:val="00071D45"/>
    <w:rsid w:val="00073871"/>
    <w:rsid w:val="0007391D"/>
    <w:rsid w:val="00073A11"/>
    <w:rsid w:val="000746DC"/>
    <w:rsid w:val="000757D8"/>
    <w:rsid w:val="00081338"/>
    <w:rsid w:val="000848AD"/>
    <w:rsid w:val="0008494E"/>
    <w:rsid w:val="000877AC"/>
    <w:rsid w:val="00090094"/>
    <w:rsid w:val="000920F8"/>
    <w:rsid w:val="000922AE"/>
    <w:rsid w:val="0009378C"/>
    <w:rsid w:val="000939AE"/>
    <w:rsid w:val="000939BF"/>
    <w:rsid w:val="00094256"/>
    <w:rsid w:val="00095423"/>
    <w:rsid w:val="00096A9D"/>
    <w:rsid w:val="000A1299"/>
    <w:rsid w:val="000A4C6B"/>
    <w:rsid w:val="000A64C0"/>
    <w:rsid w:val="000A7723"/>
    <w:rsid w:val="000B3C95"/>
    <w:rsid w:val="000B4B57"/>
    <w:rsid w:val="000B5580"/>
    <w:rsid w:val="000B74A2"/>
    <w:rsid w:val="000C0BA4"/>
    <w:rsid w:val="000C2301"/>
    <w:rsid w:val="000C247B"/>
    <w:rsid w:val="000C271B"/>
    <w:rsid w:val="000C4D0F"/>
    <w:rsid w:val="000C672C"/>
    <w:rsid w:val="000C74EC"/>
    <w:rsid w:val="000C76FF"/>
    <w:rsid w:val="000D154C"/>
    <w:rsid w:val="000D2EB2"/>
    <w:rsid w:val="000D30D7"/>
    <w:rsid w:val="000D434F"/>
    <w:rsid w:val="000D75F9"/>
    <w:rsid w:val="000E0240"/>
    <w:rsid w:val="000E12C9"/>
    <w:rsid w:val="000E2325"/>
    <w:rsid w:val="000E5AD3"/>
    <w:rsid w:val="000E622A"/>
    <w:rsid w:val="000F1B65"/>
    <w:rsid w:val="000F235C"/>
    <w:rsid w:val="000F3560"/>
    <w:rsid w:val="000F7DB8"/>
    <w:rsid w:val="0010009E"/>
    <w:rsid w:val="00102506"/>
    <w:rsid w:val="00103D45"/>
    <w:rsid w:val="001042AA"/>
    <w:rsid w:val="00104512"/>
    <w:rsid w:val="0010522F"/>
    <w:rsid w:val="00105A03"/>
    <w:rsid w:val="0010682A"/>
    <w:rsid w:val="00107FEB"/>
    <w:rsid w:val="00110761"/>
    <w:rsid w:val="00110CDF"/>
    <w:rsid w:val="00110DC3"/>
    <w:rsid w:val="0011625D"/>
    <w:rsid w:val="00120C24"/>
    <w:rsid w:val="00124B99"/>
    <w:rsid w:val="0012505F"/>
    <w:rsid w:val="00125FBD"/>
    <w:rsid w:val="001273EC"/>
    <w:rsid w:val="0012768C"/>
    <w:rsid w:val="00131137"/>
    <w:rsid w:val="00132FC6"/>
    <w:rsid w:val="001334DB"/>
    <w:rsid w:val="00134361"/>
    <w:rsid w:val="00140934"/>
    <w:rsid w:val="00140D8D"/>
    <w:rsid w:val="00142581"/>
    <w:rsid w:val="00144D10"/>
    <w:rsid w:val="00145BDD"/>
    <w:rsid w:val="001462B1"/>
    <w:rsid w:val="0014670C"/>
    <w:rsid w:val="00150C4B"/>
    <w:rsid w:val="001511BB"/>
    <w:rsid w:val="00152146"/>
    <w:rsid w:val="00152677"/>
    <w:rsid w:val="001537F3"/>
    <w:rsid w:val="001612D1"/>
    <w:rsid w:val="00161440"/>
    <w:rsid w:val="00161B9D"/>
    <w:rsid w:val="001630E1"/>
    <w:rsid w:val="00166926"/>
    <w:rsid w:val="00172694"/>
    <w:rsid w:val="001800FE"/>
    <w:rsid w:val="00180B45"/>
    <w:rsid w:val="00181807"/>
    <w:rsid w:val="00181922"/>
    <w:rsid w:val="00184881"/>
    <w:rsid w:val="00186ECD"/>
    <w:rsid w:val="00187A17"/>
    <w:rsid w:val="00193FC7"/>
    <w:rsid w:val="00197725"/>
    <w:rsid w:val="001A014E"/>
    <w:rsid w:val="001A0C86"/>
    <w:rsid w:val="001A18AA"/>
    <w:rsid w:val="001A50CB"/>
    <w:rsid w:val="001B1776"/>
    <w:rsid w:val="001B4206"/>
    <w:rsid w:val="001B4596"/>
    <w:rsid w:val="001B50A7"/>
    <w:rsid w:val="001B5C19"/>
    <w:rsid w:val="001C33E9"/>
    <w:rsid w:val="001C3785"/>
    <w:rsid w:val="001C47E6"/>
    <w:rsid w:val="001C5966"/>
    <w:rsid w:val="001D6FF9"/>
    <w:rsid w:val="001E03AA"/>
    <w:rsid w:val="001E199D"/>
    <w:rsid w:val="001E2B7A"/>
    <w:rsid w:val="001E553F"/>
    <w:rsid w:val="001E7126"/>
    <w:rsid w:val="001E736A"/>
    <w:rsid w:val="001E7955"/>
    <w:rsid w:val="001F6DF4"/>
    <w:rsid w:val="001F6F4D"/>
    <w:rsid w:val="001F70B1"/>
    <w:rsid w:val="00200AB0"/>
    <w:rsid w:val="00201759"/>
    <w:rsid w:val="00201D96"/>
    <w:rsid w:val="00202452"/>
    <w:rsid w:val="002061B1"/>
    <w:rsid w:val="002074C4"/>
    <w:rsid w:val="00210E56"/>
    <w:rsid w:val="00211108"/>
    <w:rsid w:val="002140D1"/>
    <w:rsid w:val="002145F2"/>
    <w:rsid w:val="00216884"/>
    <w:rsid w:val="00217253"/>
    <w:rsid w:val="00220424"/>
    <w:rsid w:val="002204D3"/>
    <w:rsid w:val="00223364"/>
    <w:rsid w:val="00224B8B"/>
    <w:rsid w:val="0022541B"/>
    <w:rsid w:val="0022687A"/>
    <w:rsid w:val="002317BC"/>
    <w:rsid w:val="00232AC1"/>
    <w:rsid w:val="0024496C"/>
    <w:rsid w:val="0024544F"/>
    <w:rsid w:val="002454D4"/>
    <w:rsid w:val="00245E9C"/>
    <w:rsid w:val="002473B6"/>
    <w:rsid w:val="00250145"/>
    <w:rsid w:val="002513D8"/>
    <w:rsid w:val="002526FB"/>
    <w:rsid w:val="00254333"/>
    <w:rsid w:val="00255E81"/>
    <w:rsid w:val="002560C9"/>
    <w:rsid w:val="0025650D"/>
    <w:rsid w:val="00261FAB"/>
    <w:rsid w:val="002633AD"/>
    <w:rsid w:val="00264D8E"/>
    <w:rsid w:val="00270069"/>
    <w:rsid w:val="00271D6A"/>
    <w:rsid w:val="002739A6"/>
    <w:rsid w:val="002739BC"/>
    <w:rsid w:val="00274499"/>
    <w:rsid w:val="0027464E"/>
    <w:rsid w:val="002750AF"/>
    <w:rsid w:val="0027759B"/>
    <w:rsid w:val="0027771E"/>
    <w:rsid w:val="00282778"/>
    <w:rsid w:val="00283549"/>
    <w:rsid w:val="00284D65"/>
    <w:rsid w:val="00285B67"/>
    <w:rsid w:val="00286EE4"/>
    <w:rsid w:val="002901AB"/>
    <w:rsid w:val="002929A7"/>
    <w:rsid w:val="00293038"/>
    <w:rsid w:val="00294F76"/>
    <w:rsid w:val="002A0A5F"/>
    <w:rsid w:val="002A0D15"/>
    <w:rsid w:val="002A69ED"/>
    <w:rsid w:val="002B083D"/>
    <w:rsid w:val="002B2AC1"/>
    <w:rsid w:val="002B5CAA"/>
    <w:rsid w:val="002C434E"/>
    <w:rsid w:val="002C4E7D"/>
    <w:rsid w:val="002C567E"/>
    <w:rsid w:val="002C5D7C"/>
    <w:rsid w:val="002D0B81"/>
    <w:rsid w:val="002D21BA"/>
    <w:rsid w:val="002D24F8"/>
    <w:rsid w:val="002D2FA0"/>
    <w:rsid w:val="002D451F"/>
    <w:rsid w:val="002E01FA"/>
    <w:rsid w:val="002E3077"/>
    <w:rsid w:val="002E36A9"/>
    <w:rsid w:val="002E3C2D"/>
    <w:rsid w:val="002E48F2"/>
    <w:rsid w:val="002E6134"/>
    <w:rsid w:val="002E6F97"/>
    <w:rsid w:val="002E7140"/>
    <w:rsid w:val="002F26CD"/>
    <w:rsid w:val="002F4024"/>
    <w:rsid w:val="002F672B"/>
    <w:rsid w:val="002F729A"/>
    <w:rsid w:val="00300A32"/>
    <w:rsid w:val="0031055A"/>
    <w:rsid w:val="00313340"/>
    <w:rsid w:val="00313533"/>
    <w:rsid w:val="0031438D"/>
    <w:rsid w:val="00315BEB"/>
    <w:rsid w:val="00320918"/>
    <w:rsid w:val="003217ED"/>
    <w:rsid w:val="003223DB"/>
    <w:rsid w:val="00322962"/>
    <w:rsid w:val="003235DF"/>
    <w:rsid w:val="0032403F"/>
    <w:rsid w:val="003260EC"/>
    <w:rsid w:val="0032752A"/>
    <w:rsid w:val="00327805"/>
    <w:rsid w:val="003352E8"/>
    <w:rsid w:val="003353B7"/>
    <w:rsid w:val="00335976"/>
    <w:rsid w:val="00335C17"/>
    <w:rsid w:val="00336397"/>
    <w:rsid w:val="00341FF2"/>
    <w:rsid w:val="003420B8"/>
    <w:rsid w:val="00342444"/>
    <w:rsid w:val="00342A07"/>
    <w:rsid w:val="00342EDF"/>
    <w:rsid w:val="00346681"/>
    <w:rsid w:val="00346CA3"/>
    <w:rsid w:val="00347C15"/>
    <w:rsid w:val="00347EA5"/>
    <w:rsid w:val="003509CD"/>
    <w:rsid w:val="003513FE"/>
    <w:rsid w:val="00352D8D"/>
    <w:rsid w:val="00356236"/>
    <w:rsid w:val="00356795"/>
    <w:rsid w:val="00363415"/>
    <w:rsid w:val="00366330"/>
    <w:rsid w:val="00366470"/>
    <w:rsid w:val="003724C1"/>
    <w:rsid w:val="003731DD"/>
    <w:rsid w:val="003745F5"/>
    <w:rsid w:val="00374685"/>
    <w:rsid w:val="00375D02"/>
    <w:rsid w:val="003761C4"/>
    <w:rsid w:val="0037769F"/>
    <w:rsid w:val="00377B1E"/>
    <w:rsid w:val="00381176"/>
    <w:rsid w:val="00381B8A"/>
    <w:rsid w:val="00385AA6"/>
    <w:rsid w:val="00387E67"/>
    <w:rsid w:val="00390BC5"/>
    <w:rsid w:val="00392B85"/>
    <w:rsid w:val="00392E4B"/>
    <w:rsid w:val="00394B9B"/>
    <w:rsid w:val="003A3938"/>
    <w:rsid w:val="003A4D7B"/>
    <w:rsid w:val="003B3CBE"/>
    <w:rsid w:val="003B5D4C"/>
    <w:rsid w:val="003C0DB5"/>
    <w:rsid w:val="003C1138"/>
    <w:rsid w:val="003C3FFD"/>
    <w:rsid w:val="003C41F5"/>
    <w:rsid w:val="003C43AD"/>
    <w:rsid w:val="003C7351"/>
    <w:rsid w:val="003C784F"/>
    <w:rsid w:val="003C789F"/>
    <w:rsid w:val="003D05C4"/>
    <w:rsid w:val="003D45E0"/>
    <w:rsid w:val="003D50C1"/>
    <w:rsid w:val="003D611D"/>
    <w:rsid w:val="003E08EA"/>
    <w:rsid w:val="003E0CF8"/>
    <w:rsid w:val="003E2181"/>
    <w:rsid w:val="003E38DE"/>
    <w:rsid w:val="003E4042"/>
    <w:rsid w:val="003E4847"/>
    <w:rsid w:val="003E6FB0"/>
    <w:rsid w:val="003F0041"/>
    <w:rsid w:val="003F2452"/>
    <w:rsid w:val="003F2D06"/>
    <w:rsid w:val="003F37A7"/>
    <w:rsid w:val="003F3F10"/>
    <w:rsid w:val="003F7474"/>
    <w:rsid w:val="003F7A73"/>
    <w:rsid w:val="0040181E"/>
    <w:rsid w:val="004027C9"/>
    <w:rsid w:val="0040675F"/>
    <w:rsid w:val="00407990"/>
    <w:rsid w:val="00412AF4"/>
    <w:rsid w:val="00412BA9"/>
    <w:rsid w:val="0041395E"/>
    <w:rsid w:val="004169F7"/>
    <w:rsid w:val="00420364"/>
    <w:rsid w:val="00420B44"/>
    <w:rsid w:val="0042117C"/>
    <w:rsid w:val="004212C4"/>
    <w:rsid w:val="004238BF"/>
    <w:rsid w:val="004256DC"/>
    <w:rsid w:val="004327AC"/>
    <w:rsid w:val="00434953"/>
    <w:rsid w:val="004358A9"/>
    <w:rsid w:val="00437E76"/>
    <w:rsid w:val="004420B8"/>
    <w:rsid w:val="004427B6"/>
    <w:rsid w:val="00444376"/>
    <w:rsid w:val="0044459A"/>
    <w:rsid w:val="004455FF"/>
    <w:rsid w:val="00446424"/>
    <w:rsid w:val="00446CBE"/>
    <w:rsid w:val="00446D81"/>
    <w:rsid w:val="0044721B"/>
    <w:rsid w:val="004514C3"/>
    <w:rsid w:val="004521A6"/>
    <w:rsid w:val="00453170"/>
    <w:rsid w:val="00454F35"/>
    <w:rsid w:val="00457BC2"/>
    <w:rsid w:val="004626E9"/>
    <w:rsid w:val="00462A4B"/>
    <w:rsid w:val="00464F15"/>
    <w:rsid w:val="004666D3"/>
    <w:rsid w:val="004676B8"/>
    <w:rsid w:val="00467DE7"/>
    <w:rsid w:val="00473291"/>
    <w:rsid w:val="00473757"/>
    <w:rsid w:val="004775A3"/>
    <w:rsid w:val="00480E7C"/>
    <w:rsid w:val="00481780"/>
    <w:rsid w:val="004818F4"/>
    <w:rsid w:val="004838DD"/>
    <w:rsid w:val="004843A7"/>
    <w:rsid w:val="00487F1D"/>
    <w:rsid w:val="0049044A"/>
    <w:rsid w:val="004905B6"/>
    <w:rsid w:val="00491066"/>
    <w:rsid w:val="00492937"/>
    <w:rsid w:val="00496AE9"/>
    <w:rsid w:val="004A09D6"/>
    <w:rsid w:val="004A2812"/>
    <w:rsid w:val="004A6AC4"/>
    <w:rsid w:val="004A7BD9"/>
    <w:rsid w:val="004B047F"/>
    <w:rsid w:val="004B1055"/>
    <w:rsid w:val="004B2AA6"/>
    <w:rsid w:val="004B6468"/>
    <w:rsid w:val="004B7BCD"/>
    <w:rsid w:val="004C0557"/>
    <w:rsid w:val="004C11A5"/>
    <w:rsid w:val="004C572E"/>
    <w:rsid w:val="004C5E9B"/>
    <w:rsid w:val="004C73B4"/>
    <w:rsid w:val="004D071A"/>
    <w:rsid w:val="004D0B1F"/>
    <w:rsid w:val="004D21D0"/>
    <w:rsid w:val="004D24C6"/>
    <w:rsid w:val="004D450D"/>
    <w:rsid w:val="004D480F"/>
    <w:rsid w:val="004D6F9A"/>
    <w:rsid w:val="004E2ECB"/>
    <w:rsid w:val="004E3834"/>
    <w:rsid w:val="004E5100"/>
    <w:rsid w:val="004E6F35"/>
    <w:rsid w:val="004F2CCC"/>
    <w:rsid w:val="004F41E4"/>
    <w:rsid w:val="004F4E1C"/>
    <w:rsid w:val="004F6A68"/>
    <w:rsid w:val="0050359E"/>
    <w:rsid w:val="0050518B"/>
    <w:rsid w:val="00505624"/>
    <w:rsid w:val="005061C2"/>
    <w:rsid w:val="00507018"/>
    <w:rsid w:val="00507B71"/>
    <w:rsid w:val="00507BE7"/>
    <w:rsid w:val="0051082B"/>
    <w:rsid w:val="00511A11"/>
    <w:rsid w:val="00511E86"/>
    <w:rsid w:val="005120B2"/>
    <w:rsid w:val="00513F66"/>
    <w:rsid w:val="00515F00"/>
    <w:rsid w:val="00516016"/>
    <w:rsid w:val="0052019D"/>
    <w:rsid w:val="005232F0"/>
    <w:rsid w:val="005262D5"/>
    <w:rsid w:val="005266AA"/>
    <w:rsid w:val="005302CD"/>
    <w:rsid w:val="005314E3"/>
    <w:rsid w:val="0053172A"/>
    <w:rsid w:val="005354B8"/>
    <w:rsid w:val="00540938"/>
    <w:rsid w:val="00545163"/>
    <w:rsid w:val="00545E4A"/>
    <w:rsid w:val="00546D2C"/>
    <w:rsid w:val="00546F75"/>
    <w:rsid w:val="00550BB1"/>
    <w:rsid w:val="00552AB6"/>
    <w:rsid w:val="00554798"/>
    <w:rsid w:val="005552DC"/>
    <w:rsid w:val="005565D7"/>
    <w:rsid w:val="0056117D"/>
    <w:rsid w:val="005635E8"/>
    <w:rsid w:val="00564527"/>
    <w:rsid w:val="00567E84"/>
    <w:rsid w:val="005715B3"/>
    <w:rsid w:val="005732AB"/>
    <w:rsid w:val="00576B27"/>
    <w:rsid w:val="0058093D"/>
    <w:rsid w:val="00580F98"/>
    <w:rsid w:val="00581A3E"/>
    <w:rsid w:val="00582303"/>
    <w:rsid w:val="005842CF"/>
    <w:rsid w:val="00584AC7"/>
    <w:rsid w:val="005851E6"/>
    <w:rsid w:val="00585F73"/>
    <w:rsid w:val="005862C4"/>
    <w:rsid w:val="00586902"/>
    <w:rsid w:val="00591D09"/>
    <w:rsid w:val="005A2DF6"/>
    <w:rsid w:val="005A3B88"/>
    <w:rsid w:val="005A5650"/>
    <w:rsid w:val="005A6385"/>
    <w:rsid w:val="005A76E0"/>
    <w:rsid w:val="005B10CE"/>
    <w:rsid w:val="005B157A"/>
    <w:rsid w:val="005B25A7"/>
    <w:rsid w:val="005B2875"/>
    <w:rsid w:val="005B5398"/>
    <w:rsid w:val="005C0FB7"/>
    <w:rsid w:val="005C1AE7"/>
    <w:rsid w:val="005C31C4"/>
    <w:rsid w:val="005C5A67"/>
    <w:rsid w:val="005C62ED"/>
    <w:rsid w:val="005D5CF8"/>
    <w:rsid w:val="005D7160"/>
    <w:rsid w:val="005E2FCE"/>
    <w:rsid w:val="005E3A2C"/>
    <w:rsid w:val="005E7B5F"/>
    <w:rsid w:val="005F3721"/>
    <w:rsid w:val="005F52F4"/>
    <w:rsid w:val="00606BC3"/>
    <w:rsid w:val="00606C5B"/>
    <w:rsid w:val="00606C6F"/>
    <w:rsid w:val="00610691"/>
    <w:rsid w:val="00613D84"/>
    <w:rsid w:val="00616BFB"/>
    <w:rsid w:val="0062194C"/>
    <w:rsid w:val="00623AF2"/>
    <w:rsid w:val="00623C7A"/>
    <w:rsid w:val="00623F72"/>
    <w:rsid w:val="00624E27"/>
    <w:rsid w:val="006259BA"/>
    <w:rsid w:val="006260AF"/>
    <w:rsid w:val="006261AD"/>
    <w:rsid w:val="00626507"/>
    <w:rsid w:val="00627B91"/>
    <w:rsid w:val="00627CEF"/>
    <w:rsid w:val="00630E51"/>
    <w:rsid w:val="0063293D"/>
    <w:rsid w:val="00632F24"/>
    <w:rsid w:val="006334E5"/>
    <w:rsid w:val="00633638"/>
    <w:rsid w:val="00636BF1"/>
    <w:rsid w:val="00644836"/>
    <w:rsid w:val="00651B1A"/>
    <w:rsid w:val="00652F56"/>
    <w:rsid w:val="00654209"/>
    <w:rsid w:val="00654256"/>
    <w:rsid w:val="00654292"/>
    <w:rsid w:val="00661DE2"/>
    <w:rsid w:val="00673688"/>
    <w:rsid w:val="00673DA3"/>
    <w:rsid w:val="00682A4A"/>
    <w:rsid w:val="00683017"/>
    <w:rsid w:val="00696524"/>
    <w:rsid w:val="006A02ED"/>
    <w:rsid w:val="006A0D48"/>
    <w:rsid w:val="006B5499"/>
    <w:rsid w:val="006B603E"/>
    <w:rsid w:val="006B6F1F"/>
    <w:rsid w:val="006C1234"/>
    <w:rsid w:val="006C4B9D"/>
    <w:rsid w:val="006D04F4"/>
    <w:rsid w:val="006E0CE4"/>
    <w:rsid w:val="006E4B9A"/>
    <w:rsid w:val="006E6EFD"/>
    <w:rsid w:val="006F01BF"/>
    <w:rsid w:val="006F079B"/>
    <w:rsid w:val="006F34F6"/>
    <w:rsid w:val="006F3CFF"/>
    <w:rsid w:val="006F68FF"/>
    <w:rsid w:val="00702344"/>
    <w:rsid w:val="00702D4F"/>
    <w:rsid w:val="007044BA"/>
    <w:rsid w:val="0070732E"/>
    <w:rsid w:val="00707C5A"/>
    <w:rsid w:val="00707E39"/>
    <w:rsid w:val="00721361"/>
    <w:rsid w:val="0072160F"/>
    <w:rsid w:val="00721796"/>
    <w:rsid w:val="00721C03"/>
    <w:rsid w:val="007220DA"/>
    <w:rsid w:val="007220E5"/>
    <w:rsid w:val="00722A8B"/>
    <w:rsid w:val="00724BFB"/>
    <w:rsid w:val="00730924"/>
    <w:rsid w:val="00733A74"/>
    <w:rsid w:val="00734280"/>
    <w:rsid w:val="0073459A"/>
    <w:rsid w:val="00735E29"/>
    <w:rsid w:val="007364FE"/>
    <w:rsid w:val="00742DFD"/>
    <w:rsid w:val="00743715"/>
    <w:rsid w:val="00744B9C"/>
    <w:rsid w:val="00744EAE"/>
    <w:rsid w:val="00750142"/>
    <w:rsid w:val="0075020D"/>
    <w:rsid w:val="00750805"/>
    <w:rsid w:val="00751584"/>
    <w:rsid w:val="00753EF0"/>
    <w:rsid w:val="00755637"/>
    <w:rsid w:val="00757032"/>
    <w:rsid w:val="00762577"/>
    <w:rsid w:val="00762A97"/>
    <w:rsid w:val="00763225"/>
    <w:rsid w:val="00763B0C"/>
    <w:rsid w:val="00763E44"/>
    <w:rsid w:val="00767051"/>
    <w:rsid w:val="00772513"/>
    <w:rsid w:val="007736BB"/>
    <w:rsid w:val="00784EF1"/>
    <w:rsid w:val="007865C5"/>
    <w:rsid w:val="007926CB"/>
    <w:rsid w:val="00794C0B"/>
    <w:rsid w:val="007A01C7"/>
    <w:rsid w:val="007A1CCD"/>
    <w:rsid w:val="007A2022"/>
    <w:rsid w:val="007A25F1"/>
    <w:rsid w:val="007A2CD9"/>
    <w:rsid w:val="007A55BF"/>
    <w:rsid w:val="007A61C5"/>
    <w:rsid w:val="007B00EC"/>
    <w:rsid w:val="007B0513"/>
    <w:rsid w:val="007B220B"/>
    <w:rsid w:val="007B3AB5"/>
    <w:rsid w:val="007B556C"/>
    <w:rsid w:val="007B55ED"/>
    <w:rsid w:val="007C0AF6"/>
    <w:rsid w:val="007C241D"/>
    <w:rsid w:val="007C47FA"/>
    <w:rsid w:val="007C5680"/>
    <w:rsid w:val="007D1366"/>
    <w:rsid w:val="007D2FB5"/>
    <w:rsid w:val="007D405F"/>
    <w:rsid w:val="007D7DA8"/>
    <w:rsid w:val="007E1122"/>
    <w:rsid w:val="007E3F51"/>
    <w:rsid w:val="007E4FFC"/>
    <w:rsid w:val="007E5147"/>
    <w:rsid w:val="007E59E8"/>
    <w:rsid w:val="007E6D93"/>
    <w:rsid w:val="007F0532"/>
    <w:rsid w:val="007F25C2"/>
    <w:rsid w:val="007F3472"/>
    <w:rsid w:val="007F435C"/>
    <w:rsid w:val="008003CC"/>
    <w:rsid w:val="00801876"/>
    <w:rsid w:val="00803AB9"/>
    <w:rsid w:val="00806389"/>
    <w:rsid w:val="00807833"/>
    <w:rsid w:val="00810420"/>
    <w:rsid w:val="00812982"/>
    <w:rsid w:val="0081595D"/>
    <w:rsid w:val="00815A1B"/>
    <w:rsid w:val="008168BB"/>
    <w:rsid w:val="00817E8C"/>
    <w:rsid w:val="00822899"/>
    <w:rsid w:val="00822E3F"/>
    <w:rsid w:val="00823468"/>
    <w:rsid w:val="00824075"/>
    <w:rsid w:val="008248BB"/>
    <w:rsid w:val="008256E0"/>
    <w:rsid w:val="0082579B"/>
    <w:rsid w:val="00826A09"/>
    <w:rsid w:val="00827BCA"/>
    <w:rsid w:val="008344FC"/>
    <w:rsid w:val="00837B2D"/>
    <w:rsid w:val="00844000"/>
    <w:rsid w:val="00845146"/>
    <w:rsid w:val="00845F14"/>
    <w:rsid w:val="008471FD"/>
    <w:rsid w:val="0085027D"/>
    <w:rsid w:val="008502D2"/>
    <w:rsid w:val="0085136A"/>
    <w:rsid w:val="008518AA"/>
    <w:rsid w:val="0085192E"/>
    <w:rsid w:val="00851C96"/>
    <w:rsid w:val="00851DAE"/>
    <w:rsid w:val="00852203"/>
    <w:rsid w:val="00852F91"/>
    <w:rsid w:val="0085399A"/>
    <w:rsid w:val="00855015"/>
    <w:rsid w:val="00855D2D"/>
    <w:rsid w:val="0085631D"/>
    <w:rsid w:val="00862AAA"/>
    <w:rsid w:val="0086358B"/>
    <w:rsid w:val="00867C4A"/>
    <w:rsid w:val="008719C6"/>
    <w:rsid w:val="00874242"/>
    <w:rsid w:val="008748B2"/>
    <w:rsid w:val="00880342"/>
    <w:rsid w:val="008825DD"/>
    <w:rsid w:val="0088655C"/>
    <w:rsid w:val="008949B4"/>
    <w:rsid w:val="00894DDD"/>
    <w:rsid w:val="008956E3"/>
    <w:rsid w:val="008A1215"/>
    <w:rsid w:val="008A3BFC"/>
    <w:rsid w:val="008A4783"/>
    <w:rsid w:val="008A542E"/>
    <w:rsid w:val="008A60EE"/>
    <w:rsid w:val="008A6BDA"/>
    <w:rsid w:val="008A7652"/>
    <w:rsid w:val="008A7EB5"/>
    <w:rsid w:val="008A7EDF"/>
    <w:rsid w:val="008B015C"/>
    <w:rsid w:val="008B1725"/>
    <w:rsid w:val="008B2396"/>
    <w:rsid w:val="008B5D39"/>
    <w:rsid w:val="008C090B"/>
    <w:rsid w:val="008C1330"/>
    <w:rsid w:val="008C3E5D"/>
    <w:rsid w:val="008C5113"/>
    <w:rsid w:val="008C620F"/>
    <w:rsid w:val="008D24D5"/>
    <w:rsid w:val="008D3AC4"/>
    <w:rsid w:val="008D618F"/>
    <w:rsid w:val="008D7032"/>
    <w:rsid w:val="008E0CEB"/>
    <w:rsid w:val="008F1021"/>
    <w:rsid w:val="008F582B"/>
    <w:rsid w:val="008F6752"/>
    <w:rsid w:val="008F698E"/>
    <w:rsid w:val="00900168"/>
    <w:rsid w:val="00905D96"/>
    <w:rsid w:val="00906238"/>
    <w:rsid w:val="009138AC"/>
    <w:rsid w:val="00913F7E"/>
    <w:rsid w:val="009146EC"/>
    <w:rsid w:val="00915F4F"/>
    <w:rsid w:val="0091607C"/>
    <w:rsid w:val="00916813"/>
    <w:rsid w:val="00917149"/>
    <w:rsid w:val="0091715C"/>
    <w:rsid w:val="00921D36"/>
    <w:rsid w:val="00924429"/>
    <w:rsid w:val="009245B0"/>
    <w:rsid w:val="00931ED9"/>
    <w:rsid w:val="00937299"/>
    <w:rsid w:val="00940979"/>
    <w:rsid w:val="00941588"/>
    <w:rsid w:val="00941AAA"/>
    <w:rsid w:val="009435A5"/>
    <w:rsid w:val="0094452F"/>
    <w:rsid w:val="00944F86"/>
    <w:rsid w:val="009468DF"/>
    <w:rsid w:val="00950469"/>
    <w:rsid w:val="00951D9D"/>
    <w:rsid w:val="009534DF"/>
    <w:rsid w:val="00954210"/>
    <w:rsid w:val="00957C86"/>
    <w:rsid w:val="00961AA0"/>
    <w:rsid w:val="009626D0"/>
    <w:rsid w:val="00962B4D"/>
    <w:rsid w:val="00962D06"/>
    <w:rsid w:val="009646D4"/>
    <w:rsid w:val="009676DF"/>
    <w:rsid w:val="00970DAE"/>
    <w:rsid w:val="009728C7"/>
    <w:rsid w:val="00973305"/>
    <w:rsid w:val="00974B23"/>
    <w:rsid w:val="00976D8C"/>
    <w:rsid w:val="0098212E"/>
    <w:rsid w:val="00982F3C"/>
    <w:rsid w:val="00985DEA"/>
    <w:rsid w:val="00992263"/>
    <w:rsid w:val="009959A1"/>
    <w:rsid w:val="009A09F8"/>
    <w:rsid w:val="009A0A02"/>
    <w:rsid w:val="009A16D4"/>
    <w:rsid w:val="009A3CF6"/>
    <w:rsid w:val="009A3EAA"/>
    <w:rsid w:val="009A536A"/>
    <w:rsid w:val="009A6D21"/>
    <w:rsid w:val="009A70FE"/>
    <w:rsid w:val="009B0A32"/>
    <w:rsid w:val="009B1639"/>
    <w:rsid w:val="009C02CC"/>
    <w:rsid w:val="009C06C4"/>
    <w:rsid w:val="009C1661"/>
    <w:rsid w:val="009C1D16"/>
    <w:rsid w:val="009C1FC3"/>
    <w:rsid w:val="009C3A9F"/>
    <w:rsid w:val="009C3E6E"/>
    <w:rsid w:val="009C4502"/>
    <w:rsid w:val="009C4F05"/>
    <w:rsid w:val="009C6A76"/>
    <w:rsid w:val="009D4098"/>
    <w:rsid w:val="009D4AFD"/>
    <w:rsid w:val="009D5406"/>
    <w:rsid w:val="009D7739"/>
    <w:rsid w:val="009E28AD"/>
    <w:rsid w:val="009F45AA"/>
    <w:rsid w:val="00A00AB7"/>
    <w:rsid w:val="00A017E8"/>
    <w:rsid w:val="00A05998"/>
    <w:rsid w:val="00A11934"/>
    <w:rsid w:val="00A11E42"/>
    <w:rsid w:val="00A12E65"/>
    <w:rsid w:val="00A143D3"/>
    <w:rsid w:val="00A147B3"/>
    <w:rsid w:val="00A1664F"/>
    <w:rsid w:val="00A17169"/>
    <w:rsid w:val="00A2235E"/>
    <w:rsid w:val="00A22AA2"/>
    <w:rsid w:val="00A2506D"/>
    <w:rsid w:val="00A2600D"/>
    <w:rsid w:val="00A27B2C"/>
    <w:rsid w:val="00A3275F"/>
    <w:rsid w:val="00A331D7"/>
    <w:rsid w:val="00A337E1"/>
    <w:rsid w:val="00A3719D"/>
    <w:rsid w:val="00A40416"/>
    <w:rsid w:val="00A40871"/>
    <w:rsid w:val="00A435F5"/>
    <w:rsid w:val="00A43B72"/>
    <w:rsid w:val="00A476C0"/>
    <w:rsid w:val="00A477E7"/>
    <w:rsid w:val="00A50F8C"/>
    <w:rsid w:val="00A5277C"/>
    <w:rsid w:val="00A533C2"/>
    <w:rsid w:val="00A56A2D"/>
    <w:rsid w:val="00A57482"/>
    <w:rsid w:val="00A61655"/>
    <w:rsid w:val="00A61B49"/>
    <w:rsid w:val="00A64C76"/>
    <w:rsid w:val="00A65955"/>
    <w:rsid w:val="00A66EFD"/>
    <w:rsid w:val="00A70561"/>
    <w:rsid w:val="00A72DB7"/>
    <w:rsid w:val="00A74697"/>
    <w:rsid w:val="00A75F7C"/>
    <w:rsid w:val="00A76169"/>
    <w:rsid w:val="00A81C1D"/>
    <w:rsid w:val="00A827E2"/>
    <w:rsid w:val="00A84786"/>
    <w:rsid w:val="00A8606A"/>
    <w:rsid w:val="00A86298"/>
    <w:rsid w:val="00A86C90"/>
    <w:rsid w:val="00A87010"/>
    <w:rsid w:val="00A93C4E"/>
    <w:rsid w:val="00A95039"/>
    <w:rsid w:val="00A96110"/>
    <w:rsid w:val="00A974EA"/>
    <w:rsid w:val="00AA23C9"/>
    <w:rsid w:val="00AA43B1"/>
    <w:rsid w:val="00AA488D"/>
    <w:rsid w:val="00AA768E"/>
    <w:rsid w:val="00AB4213"/>
    <w:rsid w:val="00AB4B22"/>
    <w:rsid w:val="00AB5D7F"/>
    <w:rsid w:val="00AB634D"/>
    <w:rsid w:val="00AB6B4E"/>
    <w:rsid w:val="00AC0E86"/>
    <w:rsid w:val="00AC1867"/>
    <w:rsid w:val="00AC28A8"/>
    <w:rsid w:val="00AC528D"/>
    <w:rsid w:val="00AC6B0F"/>
    <w:rsid w:val="00AC7932"/>
    <w:rsid w:val="00AD31F6"/>
    <w:rsid w:val="00AD38EB"/>
    <w:rsid w:val="00AD55BA"/>
    <w:rsid w:val="00AD60A6"/>
    <w:rsid w:val="00AD7AB4"/>
    <w:rsid w:val="00AE18B1"/>
    <w:rsid w:val="00AE3259"/>
    <w:rsid w:val="00AE5CF2"/>
    <w:rsid w:val="00AE634D"/>
    <w:rsid w:val="00AE7A5F"/>
    <w:rsid w:val="00AF05F8"/>
    <w:rsid w:val="00AF3F75"/>
    <w:rsid w:val="00AF4297"/>
    <w:rsid w:val="00B01D41"/>
    <w:rsid w:val="00B01E6D"/>
    <w:rsid w:val="00B046C4"/>
    <w:rsid w:val="00B05A1F"/>
    <w:rsid w:val="00B104D7"/>
    <w:rsid w:val="00B109E6"/>
    <w:rsid w:val="00B14BCE"/>
    <w:rsid w:val="00B15127"/>
    <w:rsid w:val="00B2356F"/>
    <w:rsid w:val="00B23E95"/>
    <w:rsid w:val="00B24D35"/>
    <w:rsid w:val="00B250A7"/>
    <w:rsid w:val="00B25A45"/>
    <w:rsid w:val="00B25DD9"/>
    <w:rsid w:val="00B30013"/>
    <w:rsid w:val="00B323B9"/>
    <w:rsid w:val="00B33074"/>
    <w:rsid w:val="00B33825"/>
    <w:rsid w:val="00B33B79"/>
    <w:rsid w:val="00B34C7C"/>
    <w:rsid w:val="00B35BE0"/>
    <w:rsid w:val="00B422AB"/>
    <w:rsid w:val="00B43047"/>
    <w:rsid w:val="00B47A9C"/>
    <w:rsid w:val="00B5138E"/>
    <w:rsid w:val="00B515BE"/>
    <w:rsid w:val="00B52BF9"/>
    <w:rsid w:val="00B537E0"/>
    <w:rsid w:val="00B539B6"/>
    <w:rsid w:val="00B54523"/>
    <w:rsid w:val="00B54A66"/>
    <w:rsid w:val="00B5757E"/>
    <w:rsid w:val="00B57D23"/>
    <w:rsid w:val="00B57F73"/>
    <w:rsid w:val="00B617A8"/>
    <w:rsid w:val="00B620AC"/>
    <w:rsid w:val="00B66812"/>
    <w:rsid w:val="00B70D43"/>
    <w:rsid w:val="00B77013"/>
    <w:rsid w:val="00B80527"/>
    <w:rsid w:val="00B82D28"/>
    <w:rsid w:val="00B84805"/>
    <w:rsid w:val="00B84E05"/>
    <w:rsid w:val="00B857AE"/>
    <w:rsid w:val="00B868DE"/>
    <w:rsid w:val="00B8745F"/>
    <w:rsid w:val="00B87F72"/>
    <w:rsid w:val="00B9404A"/>
    <w:rsid w:val="00B942AA"/>
    <w:rsid w:val="00B948A2"/>
    <w:rsid w:val="00BA0CCA"/>
    <w:rsid w:val="00BA1245"/>
    <w:rsid w:val="00BA2304"/>
    <w:rsid w:val="00BA2740"/>
    <w:rsid w:val="00BA3ED1"/>
    <w:rsid w:val="00BA6FC9"/>
    <w:rsid w:val="00BA792D"/>
    <w:rsid w:val="00BB0ECD"/>
    <w:rsid w:val="00BB30A7"/>
    <w:rsid w:val="00BB6814"/>
    <w:rsid w:val="00BB7162"/>
    <w:rsid w:val="00BC0B0E"/>
    <w:rsid w:val="00BD0F31"/>
    <w:rsid w:val="00BD4D5E"/>
    <w:rsid w:val="00BD5D51"/>
    <w:rsid w:val="00BD62A3"/>
    <w:rsid w:val="00BD7D5D"/>
    <w:rsid w:val="00BE1F1E"/>
    <w:rsid w:val="00BE550F"/>
    <w:rsid w:val="00BF09A2"/>
    <w:rsid w:val="00BF2CE3"/>
    <w:rsid w:val="00BF64DD"/>
    <w:rsid w:val="00BF78DD"/>
    <w:rsid w:val="00BF7B88"/>
    <w:rsid w:val="00C00FED"/>
    <w:rsid w:val="00C016E0"/>
    <w:rsid w:val="00C04B08"/>
    <w:rsid w:val="00C05079"/>
    <w:rsid w:val="00C054E4"/>
    <w:rsid w:val="00C063DA"/>
    <w:rsid w:val="00C073A6"/>
    <w:rsid w:val="00C0770C"/>
    <w:rsid w:val="00C07E1B"/>
    <w:rsid w:val="00C107E7"/>
    <w:rsid w:val="00C10CC4"/>
    <w:rsid w:val="00C1105F"/>
    <w:rsid w:val="00C12B0D"/>
    <w:rsid w:val="00C143F0"/>
    <w:rsid w:val="00C15645"/>
    <w:rsid w:val="00C15A34"/>
    <w:rsid w:val="00C15DB8"/>
    <w:rsid w:val="00C209C0"/>
    <w:rsid w:val="00C211F6"/>
    <w:rsid w:val="00C2276B"/>
    <w:rsid w:val="00C2313C"/>
    <w:rsid w:val="00C25CD7"/>
    <w:rsid w:val="00C26F6E"/>
    <w:rsid w:val="00C30C0E"/>
    <w:rsid w:val="00C315CF"/>
    <w:rsid w:val="00C34DD8"/>
    <w:rsid w:val="00C361FD"/>
    <w:rsid w:val="00C3650F"/>
    <w:rsid w:val="00C46048"/>
    <w:rsid w:val="00C5000F"/>
    <w:rsid w:val="00C5402C"/>
    <w:rsid w:val="00C54566"/>
    <w:rsid w:val="00C5547E"/>
    <w:rsid w:val="00C571BA"/>
    <w:rsid w:val="00C57809"/>
    <w:rsid w:val="00C61025"/>
    <w:rsid w:val="00C6144E"/>
    <w:rsid w:val="00C61CBC"/>
    <w:rsid w:val="00C63A8A"/>
    <w:rsid w:val="00C64F7D"/>
    <w:rsid w:val="00C662DE"/>
    <w:rsid w:val="00C66B64"/>
    <w:rsid w:val="00C71B8E"/>
    <w:rsid w:val="00C72492"/>
    <w:rsid w:val="00C7564F"/>
    <w:rsid w:val="00C8142B"/>
    <w:rsid w:val="00C81AE2"/>
    <w:rsid w:val="00C87A3A"/>
    <w:rsid w:val="00C93C31"/>
    <w:rsid w:val="00CA1759"/>
    <w:rsid w:val="00CA1919"/>
    <w:rsid w:val="00CA3BA0"/>
    <w:rsid w:val="00CA55D4"/>
    <w:rsid w:val="00CA7584"/>
    <w:rsid w:val="00CA79B9"/>
    <w:rsid w:val="00CB272D"/>
    <w:rsid w:val="00CB2B0F"/>
    <w:rsid w:val="00CB30FE"/>
    <w:rsid w:val="00CB35E0"/>
    <w:rsid w:val="00CB3DCB"/>
    <w:rsid w:val="00CB4208"/>
    <w:rsid w:val="00CB4DA6"/>
    <w:rsid w:val="00CB5466"/>
    <w:rsid w:val="00CB7791"/>
    <w:rsid w:val="00CB788B"/>
    <w:rsid w:val="00CB7A0E"/>
    <w:rsid w:val="00CC187D"/>
    <w:rsid w:val="00CC3493"/>
    <w:rsid w:val="00CC69CA"/>
    <w:rsid w:val="00CC6A59"/>
    <w:rsid w:val="00CC76D6"/>
    <w:rsid w:val="00CC7B77"/>
    <w:rsid w:val="00CD28EC"/>
    <w:rsid w:val="00CD2C63"/>
    <w:rsid w:val="00CD30FE"/>
    <w:rsid w:val="00CD39E4"/>
    <w:rsid w:val="00CD4336"/>
    <w:rsid w:val="00CD60E4"/>
    <w:rsid w:val="00CD6959"/>
    <w:rsid w:val="00CD7C8F"/>
    <w:rsid w:val="00CE2EF1"/>
    <w:rsid w:val="00CE4273"/>
    <w:rsid w:val="00CF2F90"/>
    <w:rsid w:val="00CF42BA"/>
    <w:rsid w:val="00CF56D3"/>
    <w:rsid w:val="00CF6CA0"/>
    <w:rsid w:val="00CF7D3B"/>
    <w:rsid w:val="00D00129"/>
    <w:rsid w:val="00D00B82"/>
    <w:rsid w:val="00D04F68"/>
    <w:rsid w:val="00D06228"/>
    <w:rsid w:val="00D063E4"/>
    <w:rsid w:val="00D065BB"/>
    <w:rsid w:val="00D10D58"/>
    <w:rsid w:val="00D13C52"/>
    <w:rsid w:val="00D13E7F"/>
    <w:rsid w:val="00D141A7"/>
    <w:rsid w:val="00D154EE"/>
    <w:rsid w:val="00D15523"/>
    <w:rsid w:val="00D15F55"/>
    <w:rsid w:val="00D2090E"/>
    <w:rsid w:val="00D235A6"/>
    <w:rsid w:val="00D27F6C"/>
    <w:rsid w:val="00D31DFC"/>
    <w:rsid w:val="00D34E36"/>
    <w:rsid w:val="00D37BF8"/>
    <w:rsid w:val="00D40277"/>
    <w:rsid w:val="00D4175F"/>
    <w:rsid w:val="00D4280B"/>
    <w:rsid w:val="00D43D70"/>
    <w:rsid w:val="00D513F7"/>
    <w:rsid w:val="00D517C9"/>
    <w:rsid w:val="00D54059"/>
    <w:rsid w:val="00D54485"/>
    <w:rsid w:val="00D550A7"/>
    <w:rsid w:val="00D61119"/>
    <w:rsid w:val="00D618F6"/>
    <w:rsid w:val="00D648D2"/>
    <w:rsid w:val="00D66DA9"/>
    <w:rsid w:val="00D72106"/>
    <w:rsid w:val="00D72FA6"/>
    <w:rsid w:val="00D745E8"/>
    <w:rsid w:val="00D748EC"/>
    <w:rsid w:val="00D76242"/>
    <w:rsid w:val="00D76D84"/>
    <w:rsid w:val="00D82B54"/>
    <w:rsid w:val="00D84EB1"/>
    <w:rsid w:val="00D85AC2"/>
    <w:rsid w:val="00D85D92"/>
    <w:rsid w:val="00D8680F"/>
    <w:rsid w:val="00D9120A"/>
    <w:rsid w:val="00D93839"/>
    <w:rsid w:val="00D94276"/>
    <w:rsid w:val="00D96220"/>
    <w:rsid w:val="00DA1D6D"/>
    <w:rsid w:val="00DA4D4F"/>
    <w:rsid w:val="00DA575A"/>
    <w:rsid w:val="00DA5B7C"/>
    <w:rsid w:val="00DA5FF7"/>
    <w:rsid w:val="00DA7ABE"/>
    <w:rsid w:val="00DB540B"/>
    <w:rsid w:val="00DB60FE"/>
    <w:rsid w:val="00DB6E63"/>
    <w:rsid w:val="00DB7509"/>
    <w:rsid w:val="00DC18B4"/>
    <w:rsid w:val="00DC22B7"/>
    <w:rsid w:val="00DC2447"/>
    <w:rsid w:val="00DD106F"/>
    <w:rsid w:val="00DD1794"/>
    <w:rsid w:val="00DD47E2"/>
    <w:rsid w:val="00DD5AA1"/>
    <w:rsid w:val="00DE517A"/>
    <w:rsid w:val="00DE61AA"/>
    <w:rsid w:val="00DE73F6"/>
    <w:rsid w:val="00DE7A7F"/>
    <w:rsid w:val="00DE7F08"/>
    <w:rsid w:val="00DF0A6F"/>
    <w:rsid w:val="00DF0A9A"/>
    <w:rsid w:val="00DF23D9"/>
    <w:rsid w:val="00DF46EB"/>
    <w:rsid w:val="00E031BD"/>
    <w:rsid w:val="00E03ED4"/>
    <w:rsid w:val="00E07715"/>
    <w:rsid w:val="00E11B1E"/>
    <w:rsid w:val="00E14E25"/>
    <w:rsid w:val="00E175C3"/>
    <w:rsid w:val="00E17AE3"/>
    <w:rsid w:val="00E233D3"/>
    <w:rsid w:val="00E24DB6"/>
    <w:rsid w:val="00E25425"/>
    <w:rsid w:val="00E26DC4"/>
    <w:rsid w:val="00E315B5"/>
    <w:rsid w:val="00E337D6"/>
    <w:rsid w:val="00E33BE7"/>
    <w:rsid w:val="00E346DB"/>
    <w:rsid w:val="00E37553"/>
    <w:rsid w:val="00E37AEE"/>
    <w:rsid w:val="00E45C38"/>
    <w:rsid w:val="00E473CD"/>
    <w:rsid w:val="00E52BFB"/>
    <w:rsid w:val="00E60DF9"/>
    <w:rsid w:val="00E6256D"/>
    <w:rsid w:val="00E65AB8"/>
    <w:rsid w:val="00E65D39"/>
    <w:rsid w:val="00E67B79"/>
    <w:rsid w:val="00E67C07"/>
    <w:rsid w:val="00E709D3"/>
    <w:rsid w:val="00E7133C"/>
    <w:rsid w:val="00E740D6"/>
    <w:rsid w:val="00E745B4"/>
    <w:rsid w:val="00E75D2E"/>
    <w:rsid w:val="00E76068"/>
    <w:rsid w:val="00E76FBA"/>
    <w:rsid w:val="00E774ED"/>
    <w:rsid w:val="00E77A5E"/>
    <w:rsid w:val="00E81541"/>
    <w:rsid w:val="00E90596"/>
    <w:rsid w:val="00E91B2B"/>
    <w:rsid w:val="00E92622"/>
    <w:rsid w:val="00E92E5B"/>
    <w:rsid w:val="00E97F20"/>
    <w:rsid w:val="00EA1544"/>
    <w:rsid w:val="00EA294E"/>
    <w:rsid w:val="00EA3A87"/>
    <w:rsid w:val="00EA6288"/>
    <w:rsid w:val="00EA63A2"/>
    <w:rsid w:val="00EB0FE8"/>
    <w:rsid w:val="00EB1177"/>
    <w:rsid w:val="00EB134E"/>
    <w:rsid w:val="00EB44FE"/>
    <w:rsid w:val="00EB4E31"/>
    <w:rsid w:val="00EB5C4F"/>
    <w:rsid w:val="00EB669E"/>
    <w:rsid w:val="00EC0136"/>
    <w:rsid w:val="00EC0413"/>
    <w:rsid w:val="00EC155E"/>
    <w:rsid w:val="00EC1B8B"/>
    <w:rsid w:val="00EC2E23"/>
    <w:rsid w:val="00EC309D"/>
    <w:rsid w:val="00EC4481"/>
    <w:rsid w:val="00EC4571"/>
    <w:rsid w:val="00EC537E"/>
    <w:rsid w:val="00ED315C"/>
    <w:rsid w:val="00ED3CF3"/>
    <w:rsid w:val="00EE21AE"/>
    <w:rsid w:val="00EF33D6"/>
    <w:rsid w:val="00EF4B3F"/>
    <w:rsid w:val="00EF5A61"/>
    <w:rsid w:val="00EF7435"/>
    <w:rsid w:val="00F00A9B"/>
    <w:rsid w:val="00F00F7A"/>
    <w:rsid w:val="00F042CD"/>
    <w:rsid w:val="00F053AC"/>
    <w:rsid w:val="00F06720"/>
    <w:rsid w:val="00F071AC"/>
    <w:rsid w:val="00F07B64"/>
    <w:rsid w:val="00F1173B"/>
    <w:rsid w:val="00F17F4A"/>
    <w:rsid w:val="00F213AB"/>
    <w:rsid w:val="00F218FF"/>
    <w:rsid w:val="00F247F9"/>
    <w:rsid w:val="00F250C6"/>
    <w:rsid w:val="00F3195A"/>
    <w:rsid w:val="00F41318"/>
    <w:rsid w:val="00F4259C"/>
    <w:rsid w:val="00F4688D"/>
    <w:rsid w:val="00F46ABE"/>
    <w:rsid w:val="00F50A94"/>
    <w:rsid w:val="00F546A7"/>
    <w:rsid w:val="00F55C01"/>
    <w:rsid w:val="00F55FD8"/>
    <w:rsid w:val="00F60134"/>
    <w:rsid w:val="00F604D2"/>
    <w:rsid w:val="00F6058E"/>
    <w:rsid w:val="00F6131E"/>
    <w:rsid w:val="00F6609E"/>
    <w:rsid w:val="00F66733"/>
    <w:rsid w:val="00F71CEA"/>
    <w:rsid w:val="00F72AC4"/>
    <w:rsid w:val="00F73AB8"/>
    <w:rsid w:val="00F74492"/>
    <w:rsid w:val="00F747BD"/>
    <w:rsid w:val="00F81686"/>
    <w:rsid w:val="00F8205E"/>
    <w:rsid w:val="00F839EA"/>
    <w:rsid w:val="00F846E1"/>
    <w:rsid w:val="00F878D1"/>
    <w:rsid w:val="00F9168E"/>
    <w:rsid w:val="00F929F3"/>
    <w:rsid w:val="00F92BF6"/>
    <w:rsid w:val="00F938B6"/>
    <w:rsid w:val="00F96E63"/>
    <w:rsid w:val="00FA1C12"/>
    <w:rsid w:val="00FA4093"/>
    <w:rsid w:val="00FA73D4"/>
    <w:rsid w:val="00FB552E"/>
    <w:rsid w:val="00FB722B"/>
    <w:rsid w:val="00FC06C0"/>
    <w:rsid w:val="00FC2B0F"/>
    <w:rsid w:val="00FC6921"/>
    <w:rsid w:val="00FC6D9F"/>
    <w:rsid w:val="00FD1036"/>
    <w:rsid w:val="00FD1C05"/>
    <w:rsid w:val="00FD1DBC"/>
    <w:rsid w:val="00FD385F"/>
    <w:rsid w:val="00FD3E5B"/>
    <w:rsid w:val="00FD469E"/>
    <w:rsid w:val="00FD4AE7"/>
    <w:rsid w:val="00FD7836"/>
    <w:rsid w:val="00FE214E"/>
    <w:rsid w:val="00FE22DC"/>
    <w:rsid w:val="00FE7913"/>
    <w:rsid w:val="00FF0B7C"/>
    <w:rsid w:val="00FF0CB8"/>
    <w:rsid w:val="00FF5F17"/>
    <w:rsid w:val="00FF7C11"/>
    <w:rsid w:val="01921B93"/>
    <w:rsid w:val="02453B36"/>
    <w:rsid w:val="048A02EA"/>
    <w:rsid w:val="04F32812"/>
    <w:rsid w:val="06F9640B"/>
    <w:rsid w:val="078E261D"/>
    <w:rsid w:val="07FE0394"/>
    <w:rsid w:val="080E7F63"/>
    <w:rsid w:val="08D319E4"/>
    <w:rsid w:val="098E4358"/>
    <w:rsid w:val="09F57961"/>
    <w:rsid w:val="0B0F1C57"/>
    <w:rsid w:val="0B665BBA"/>
    <w:rsid w:val="0BF54E08"/>
    <w:rsid w:val="0C870136"/>
    <w:rsid w:val="0CA77213"/>
    <w:rsid w:val="0E417E24"/>
    <w:rsid w:val="0E5B3425"/>
    <w:rsid w:val="0F3C4F8B"/>
    <w:rsid w:val="0FB4257D"/>
    <w:rsid w:val="101B1E7D"/>
    <w:rsid w:val="1045075A"/>
    <w:rsid w:val="107015C0"/>
    <w:rsid w:val="10B435E5"/>
    <w:rsid w:val="10C87658"/>
    <w:rsid w:val="115938F9"/>
    <w:rsid w:val="11FC50DE"/>
    <w:rsid w:val="1203696B"/>
    <w:rsid w:val="12EB6776"/>
    <w:rsid w:val="12FB7113"/>
    <w:rsid w:val="140166F7"/>
    <w:rsid w:val="14B36BF0"/>
    <w:rsid w:val="16697418"/>
    <w:rsid w:val="16AB5F23"/>
    <w:rsid w:val="1962580F"/>
    <w:rsid w:val="19777D5E"/>
    <w:rsid w:val="19BD2576"/>
    <w:rsid w:val="1A3B2792"/>
    <w:rsid w:val="1A894A91"/>
    <w:rsid w:val="1C2B4C60"/>
    <w:rsid w:val="1C2E5449"/>
    <w:rsid w:val="1CCE4C71"/>
    <w:rsid w:val="1D3C7412"/>
    <w:rsid w:val="1F390250"/>
    <w:rsid w:val="20E52009"/>
    <w:rsid w:val="2161024C"/>
    <w:rsid w:val="21A05736"/>
    <w:rsid w:val="21DA229D"/>
    <w:rsid w:val="22B6208D"/>
    <w:rsid w:val="24A65804"/>
    <w:rsid w:val="25940B48"/>
    <w:rsid w:val="25A03D53"/>
    <w:rsid w:val="275F5221"/>
    <w:rsid w:val="28502C65"/>
    <w:rsid w:val="28BE2D21"/>
    <w:rsid w:val="29F1679F"/>
    <w:rsid w:val="2A416401"/>
    <w:rsid w:val="2A466002"/>
    <w:rsid w:val="2AE65214"/>
    <w:rsid w:val="2B1A5399"/>
    <w:rsid w:val="2B607CC2"/>
    <w:rsid w:val="2C47052C"/>
    <w:rsid w:val="2C8A5F55"/>
    <w:rsid w:val="2CB00A2F"/>
    <w:rsid w:val="2D3977F7"/>
    <w:rsid w:val="2DCB2181"/>
    <w:rsid w:val="2DE0588C"/>
    <w:rsid w:val="2DF433F8"/>
    <w:rsid w:val="2F114503"/>
    <w:rsid w:val="2F4C66D9"/>
    <w:rsid w:val="2F557BAB"/>
    <w:rsid w:val="30B837B0"/>
    <w:rsid w:val="32172205"/>
    <w:rsid w:val="334E14B2"/>
    <w:rsid w:val="336F0CDA"/>
    <w:rsid w:val="368155A3"/>
    <w:rsid w:val="369C7C08"/>
    <w:rsid w:val="373A5F1D"/>
    <w:rsid w:val="37B10EBF"/>
    <w:rsid w:val="3AA84E2E"/>
    <w:rsid w:val="3AC8279C"/>
    <w:rsid w:val="3AD77528"/>
    <w:rsid w:val="3B193F52"/>
    <w:rsid w:val="3B6B017F"/>
    <w:rsid w:val="3CBA0740"/>
    <w:rsid w:val="3E0D584C"/>
    <w:rsid w:val="3FB268F7"/>
    <w:rsid w:val="40EB4269"/>
    <w:rsid w:val="420D3831"/>
    <w:rsid w:val="42D13BB2"/>
    <w:rsid w:val="44887EA9"/>
    <w:rsid w:val="46374EE6"/>
    <w:rsid w:val="46662F34"/>
    <w:rsid w:val="46770C49"/>
    <w:rsid w:val="467769C0"/>
    <w:rsid w:val="46AD0AAC"/>
    <w:rsid w:val="46CC7D36"/>
    <w:rsid w:val="47896267"/>
    <w:rsid w:val="48603622"/>
    <w:rsid w:val="48D14CC2"/>
    <w:rsid w:val="49A418E9"/>
    <w:rsid w:val="4AF21BC8"/>
    <w:rsid w:val="4C627AD3"/>
    <w:rsid w:val="4D326BE7"/>
    <w:rsid w:val="4D4A085A"/>
    <w:rsid w:val="4D637BA0"/>
    <w:rsid w:val="4DD35567"/>
    <w:rsid w:val="4F0F584C"/>
    <w:rsid w:val="503C4885"/>
    <w:rsid w:val="50F138EA"/>
    <w:rsid w:val="5126098E"/>
    <w:rsid w:val="51330A89"/>
    <w:rsid w:val="52143643"/>
    <w:rsid w:val="526B3A94"/>
    <w:rsid w:val="53C355EE"/>
    <w:rsid w:val="54042776"/>
    <w:rsid w:val="54834510"/>
    <w:rsid w:val="54DE4A48"/>
    <w:rsid w:val="555E0BD2"/>
    <w:rsid w:val="55E96144"/>
    <w:rsid w:val="55F25A29"/>
    <w:rsid w:val="56144583"/>
    <w:rsid w:val="562A6B96"/>
    <w:rsid w:val="56384F77"/>
    <w:rsid w:val="56632031"/>
    <w:rsid w:val="566F0710"/>
    <w:rsid w:val="57942990"/>
    <w:rsid w:val="57F414EB"/>
    <w:rsid w:val="58011974"/>
    <w:rsid w:val="58071943"/>
    <w:rsid w:val="58157CAA"/>
    <w:rsid w:val="59B80DF8"/>
    <w:rsid w:val="5A3C18AB"/>
    <w:rsid w:val="5D864D59"/>
    <w:rsid w:val="5DCE6CA3"/>
    <w:rsid w:val="5DD51A16"/>
    <w:rsid w:val="5ECC63FE"/>
    <w:rsid w:val="60C20540"/>
    <w:rsid w:val="61986F31"/>
    <w:rsid w:val="62431E45"/>
    <w:rsid w:val="64411503"/>
    <w:rsid w:val="648E5D52"/>
    <w:rsid w:val="64C432B7"/>
    <w:rsid w:val="652C6400"/>
    <w:rsid w:val="65361203"/>
    <w:rsid w:val="659D2079"/>
    <w:rsid w:val="65A17E1E"/>
    <w:rsid w:val="666E280B"/>
    <w:rsid w:val="66DB7F88"/>
    <w:rsid w:val="67BC48D8"/>
    <w:rsid w:val="69D12246"/>
    <w:rsid w:val="6A7035FE"/>
    <w:rsid w:val="6BC70B2E"/>
    <w:rsid w:val="6C0A17D3"/>
    <w:rsid w:val="6C8C7467"/>
    <w:rsid w:val="6E5E243F"/>
    <w:rsid w:val="6F2E1702"/>
    <w:rsid w:val="713B7D75"/>
    <w:rsid w:val="71B20398"/>
    <w:rsid w:val="71F454A2"/>
    <w:rsid w:val="72597050"/>
    <w:rsid w:val="75282219"/>
    <w:rsid w:val="7537269E"/>
    <w:rsid w:val="759041A1"/>
    <w:rsid w:val="75C563D6"/>
    <w:rsid w:val="75F84C36"/>
    <w:rsid w:val="763C7763"/>
    <w:rsid w:val="77F05980"/>
    <w:rsid w:val="784B3DCE"/>
    <w:rsid w:val="79CC08B7"/>
    <w:rsid w:val="7A370548"/>
    <w:rsid w:val="7A920CFA"/>
    <w:rsid w:val="7AF52E2A"/>
    <w:rsid w:val="7BA670B6"/>
    <w:rsid w:val="7BFC6FA0"/>
    <w:rsid w:val="7C36675E"/>
    <w:rsid w:val="7CB77732"/>
    <w:rsid w:val="7CBC0739"/>
    <w:rsid w:val="7E1D0DB5"/>
    <w:rsid w:val="7E285EFC"/>
    <w:rsid w:val="7E350B7D"/>
    <w:rsid w:val="7EE95982"/>
    <w:rsid w:val="7FCB7E43"/>
    <w:rsid w:val="7FF7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hint="eastAsia" w:ascii="Arial Unicode MS" w:hAnsi="Arial Unicode MS" w:eastAsia="Times New Roman" w:cs="Arial Unicode MS"/>
      <w:color w:val="000000"/>
      <w:sz w:val="24"/>
      <w:szCs w:val="24"/>
      <w:u w:color="000000"/>
      <w:lang w:val="en-US" w:eastAsia="zh-CN" w:bidi="ar-SA"/>
    </w:rPr>
  </w:style>
  <w:style w:type="paragraph" w:styleId="3">
    <w:name w:val="heading 1"/>
    <w:basedOn w:val="1"/>
    <w:next w:val="1"/>
    <w:link w:val="31"/>
    <w:qFormat/>
    <w:uiPriority w:val="9"/>
    <w:pPr>
      <w:spacing w:before="100" w:beforeAutospacing="1" w:after="100" w:afterAutospacing="1"/>
      <w:outlineLvl w:val="0"/>
    </w:pPr>
    <w:rPr>
      <w:rFonts w:hint="default" w:ascii="宋体" w:hAnsi="宋体" w:eastAsia="宋体" w:cs="宋体"/>
      <w:b/>
      <w:bCs/>
      <w:color w:val="auto"/>
      <w:kern w:val="36"/>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4">
    <w:name w:val="annotation text"/>
    <w:basedOn w:val="1"/>
    <w:link w:val="29"/>
    <w:semiHidden/>
    <w:unhideWhenUsed/>
    <w:qFormat/>
    <w:uiPriority w:val="99"/>
  </w:style>
  <w:style w:type="paragraph" w:styleId="5">
    <w:name w:val="Balloon Text"/>
    <w:basedOn w:val="1"/>
    <w:link w:val="28"/>
    <w:semiHidden/>
    <w:unhideWhenUsed/>
    <w:qFormat/>
    <w:uiPriority w:val="99"/>
    <w:rPr>
      <w:sz w:val="18"/>
      <w:szCs w:val="18"/>
    </w:rPr>
  </w:style>
  <w:style w:type="paragraph" w:styleId="6">
    <w:name w:val="footer"/>
    <w:qFormat/>
    <w:uiPriority w:val="0"/>
    <w:pPr>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after="100"/>
    </w:pPr>
    <w:rPr>
      <w:rFonts w:ascii="宋体" w:hAnsi="宋体" w:eastAsia="宋体" w:cs="宋体"/>
    </w:rPr>
  </w:style>
  <w:style w:type="paragraph" w:styleId="9">
    <w:name w:val="annotation subject"/>
    <w:basedOn w:val="4"/>
    <w:next w:val="4"/>
    <w:link w:val="30"/>
    <w:semiHidden/>
    <w:unhideWhenUsed/>
    <w:qFormat/>
    <w:uiPriority w:val="99"/>
    <w:rPr>
      <w:b/>
      <w:bCs/>
    </w:rPr>
  </w:style>
  <w:style w:type="character" w:styleId="12">
    <w:name w:val="Strong"/>
    <w:basedOn w:val="11"/>
    <w:qFormat/>
    <w:uiPriority w:val="22"/>
    <w:rPr>
      <w:b/>
    </w:rPr>
  </w:style>
  <w:style w:type="character" w:styleId="13">
    <w:name w:val="FollowedHyperlink"/>
    <w:basedOn w:val="11"/>
    <w:semiHidden/>
    <w:unhideWhenUsed/>
    <w:qFormat/>
    <w:uiPriority w:val="99"/>
    <w:rPr>
      <w:color w:val="333333"/>
      <w:u w:val="none"/>
    </w:rPr>
  </w:style>
  <w:style w:type="character" w:styleId="14">
    <w:name w:val="Emphasis"/>
    <w:basedOn w:val="11"/>
    <w:qFormat/>
    <w:uiPriority w:val="20"/>
  </w:style>
  <w:style w:type="character" w:styleId="15">
    <w:name w:val="Hyperlink"/>
    <w:qFormat/>
    <w:uiPriority w:val="0"/>
    <w:rPr>
      <w:u w:val="single"/>
    </w:rPr>
  </w:style>
  <w:style w:type="character" w:styleId="16">
    <w:name w:val="annotation reference"/>
    <w:basedOn w:val="11"/>
    <w:semiHidden/>
    <w:unhideWhenUsed/>
    <w:qFormat/>
    <w:uiPriority w:val="99"/>
    <w:rPr>
      <w:sz w:val="21"/>
      <w:szCs w:val="21"/>
    </w:rPr>
  </w:style>
  <w:style w:type="character" w:styleId="17">
    <w:name w:val="HTML Cite"/>
    <w:basedOn w:val="11"/>
    <w:semiHidden/>
    <w:unhideWhenUsed/>
    <w:qFormat/>
    <w:uiPriority w:val="99"/>
  </w:style>
  <w:style w:type="table" w:customStyle="1" w:styleId="18">
    <w:name w:val="Table Normal"/>
    <w:qFormat/>
    <w:uiPriority w:val="0"/>
    <w:tblPr>
      <w:tblCellMar>
        <w:top w:w="0" w:type="dxa"/>
        <w:left w:w="0" w:type="dxa"/>
        <w:bottom w:w="0" w:type="dxa"/>
        <w:right w:w="0" w:type="dxa"/>
      </w:tblCellMar>
    </w:tblPr>
  </w:style>
  <w:style w:type="paragraph" w:customStyle="1" w:styleId="19">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20">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21">
    <w:name w:val="正文 B"/>
    <w:qFormat/>
    <w:uiPriority w:val="0"/>
    <w:rPr>
      <w:rFonts w:ascii="Helvetica Neue" w:hAnsi="Helvetica Neue" w:eastAsia="Helvetica Neue" w:cs="Helvetica Neue"/>
      <w:color w:val="000000"/>
      <w:sz w:val="22"/>
      <w:szCs w:val="22"/>
      <w:u w:color="000000"/>
      <w:lang w:val="en-US" w:eastAsia="zh-CN" w:bidi="ar-SA"/>
    </w:rPr>
  </w:style>
  <w:style w:type="character" w:customStyle="1" w:styleId="22">
    <w:name w:val="页眉 字符"/>
    <w:basedOn w:val="11"/>
    <w:link w:val="7"/>
    <w:qFormat/>
    <w:uiPriority w:val="99"/>
    <w:rPr>
      <w:rFonts w:ascii="Arial Unicode MS" w:hAnsi="Arial Unicode MS" w:eastAsia="Times New Roman" w:cs="Arial Unicode MS"/>
      <w:color w:val="000000"/>
      <w:sz w:val="18"/>
      <w:szCs w:val="18"/>
      <w:u w:color="000000"/>
    </w:rPr>
  </w:style>
  <w:style w:type="paragraph" w:customStyle="1" w:styleId="23">
    <w:name w:val="ng-isolate-scope"/>
    <w:basedOn w:val="1"/>
    <w:qFormat/>
    <w:uiPriority w:val="0"/>
    <w:pPr>
      <w:spacing w:before="100" w:beforeAutospacing="1" w:after="100" w:afterAutospacing="1"/>
    </w:pPr>
    <w:rPr>
      <w:rFonts w:hint="default" w:ascii="宋体" w:hAnsi="宋体" w:eastAsia="宋体" w:cs="宋体"/>
      <w:color w:val="auto"/>
    </w:rPr>
  </w:style>
  <w:style w:type="character" w:customStyle="1" w:styleId="24">
    <w:name w:val="text"/>
    <w:basedOn w:val="11"/>
    <w:qFormat/>
    <w:uiPriority w:val="0"/>
  </w:style>
  <w:style w:type="character" w:customStyle="1" w:styleId="25">
    <w:name w:val="apple-converted-space"/>
    <w:basedOn w:val="11"/>
    <w:qFormat/>
    <w:uiPriority w:val="0"/>
  </w:style>
  <w:style w:type="paragraph" w:styleId="26">
    <w:name w:val="No Spacing"/>
    <w:link w:val="27"/>
    <w:qFormat/>
    <w:uiPriority w:val="1"/>
    <w:rPr>
      <w:rFonts w:asciiTheme="minorHAnsi" w:hAnsiTheme="minorHAnsi" w:eastAsiaTheme="minorEastAsia" w:cstheme="minorBidi"/>
      <w:sz w:val="22"/>
      <w:szCs w:val="22"/>
      <w:lang w:val="en-US" w:eastAsia="zh-CN" w:bidi="ar-SA"/>
    </w:rPr>
  </w:style>
  <w:style w:type="character" w:customStyle="1" w:styleId="27">
    <w:name w:val="无间隔 字符"/>
    <w:basedOn w:val="11"/>
    <w:link w:val="26"/>
    <w:qFormat/>
    <w:uiPriority w:val="1"/>
    <w:rPr>
      <w:rFonts w:asciiTheme="minorHAnsi" w:hAnsiTheme="minorHAnsi" w:eastAsiaTheme="minorEastAsia" w:cstheme="minorBidi"/>
      <w:sz w:val="22"/>
      <w:szCs w:val="22"/>
    </w:rPr>
  </w:style>
  <w:style w:type="character" w:customStyle="1" w:styleId="28">
    <w:name w:val="批注框文本 字符"/>
    <w:basedOn w:val="11"/>
    <w:link w:val="5"/>
    <w:semiHidden/>
    <w:qFormat/>
    <w:uiPriority w:val="99"/>
    <w:rPr>
      <w:rFonts w:ascii="Arial Unicode MS" w:hAnsi="Arial Unicode MS" w:eastAsia="Times New Roman" w:cs="Arial Unicode MS"/>
      <w:color w:val="000000"/>
      <w:sz w:val="18"/>
      <w:szCs w:val="18"/>
      <w:u w:color="000000"/>
    </w:rPr>
  </w:style>
  <w:style w:type="character" w:customStyle="1" w:styleId="29">
    <w:name w:val="批注文字 字符"/>
    <w:basedOn w:val="11"/>
    <w:link w:val="4"/>
    <w:semiHidden/>
    <w:qFormat/>
    <w:uiPriority w:val="99"/>
    <w:rPr>
      <w:rFonts w:ascii="Arial Unicode MS" w:hAnsi="Arial Unicode MS" w:eastAsia="Times New Roman" w:cs="Arial Unicode MS"/>
      <w:color w:val="000000"/>
      <w:sz w:val="24"/>
      <w:szCs w:val="24"/>
      <w:u w:color="000000"/>
    </w:rPr>
  </w:style>
  <w:style w:type="character" w:customStyle="1" w:styleId="30">
    <w:name w:val="批注主题 字符"/>
    <w:basedOn w:val="29"/>
    <w:link w:val="9"/>
    <w:semiHidden/>
    <w:qFormat/>
    <w:uiPriority w:val="99"/>
    <w:rPr>
      <w:rFonts w:ascii="Arial Unicode MS" w:hAnsi="Arial Unicode MS" w:eastAsia="Times New Roman" w:cs="Arial Unicode MS"/>
      <w:b/>
      <w:bCs/>
      <w:color w:val="000000"/>
      <w:sz w:val="24"/>
      <w:szCs w:val="24"/>
      <w:u w:color="000000"/>
    </w:rPr>
  </w:style>
  <w:style w:type="character" w:customStyle="1" w:styleId="31">
    <w:name w:val="标题 1 字符"/>
    <w:basedOn w:val="11"/>
    <w:link w:val="3"/>
    <w:qFormat/>
    <w:uiPriority w:val="9"/>
    <w:rPr>
      <w:rFonts w:ascii="宋体" w:hAnsi="宋体" w:cs="宋体"/>
      <w:b/>
      <w:bCs/>
      <w:kern w:val="36"/>
      <w:sz w:val="48"/>
      <w:szCs w:val="48"/>
    </w:rPr>
  </w:style>
  <w:style w:type="paragraph" w:customStyle="1" w:styleId="32">
    <w:name w:val="修订1"/>
    <w:hidden/>
    <w:unhideWhenUsed/>
    <w:qFormat/>
    <w:uiPriority w:val="99"/>
    <w:rPr>
      <w:rFonts w:hint="eastAsia" w:ascii="Arial Unicode MS" w:hAnsi="Arial Unicode MS" w:eastAsia="Times New Roman" w:cs="Arial Unicode MS"/>
      <w:color w:val="000000"/>
      <w:sz w:val="24"/>
      <w:szCs w:val="24"/>
      <w:u w:color="000000"/>
      <w:lang w:val="en-US" w:eastAsia="zh-CN" w:bidi="ar-SA"/>
    </w:rPr>
  </w:style>
  <w:style w:type="paragraph" w:customStyle="1" w:styleId="33">
    <w:name w:val="修订2"/>
    <w:hidden/>
    <w:unhideWhenUsed/>
    <w:qFormat/>
    <w:uiPriority w:val="99"/>
    <w:rPr>
      <w:rFonts w:hint="eastAsia" w:ascii="Arial Unicode MS" w:hAnsi="Arial Unicode MS" w:eastAsia="Times New Roman" w:cs="Arial Unicode MS"/>
      <w:color w:val="000000"/>
      <w:sz w:val="24"/>
      <w:szCs w:val="24"/>
      <w:u w:color="000000"/>
      <w:lang w:val="en-US" w:eastAsia="zh-CN" w:bidi="ar-SA"/>
    </w:rPr>
  </w:style>
  <w:style w:type="paragraph" w:customStyle="1" w:styleId="34">
    <w:name w:val="pa-3"/>
    <w:basedOn w:val="1"/>
    <w:qFormat/>
    <w:uiPriority w:val="0"/>
    <w:pPr>
      <w:spacing w:before="150" w:after="150"/>
    </w:pPr>
    <w:rPr>
      <w:rFonts w:hint="default" w:ascii="宋体" w:hAnsi="宋体" w:eastAsia="宋体" w:cs="宋体"/>
      <w:color w:val="auto"/>
      <w:szCs w:val="20"/>
    </w:rPr>
  </w:style>
  <w:style w:type="character" w:customStyle="1" w:styleId="35">
    <w:name w:val="column-name"/>
    <w:basedOn w:val="11"/>
    <w:qFormat/>
    <w:uiPriority w:val="0"/>
    <w:rPr>
      <w:color w:val="124D83"/>
    </w:rPr>
  </w:style>
  <w:style w:type="character" w:customStyle="1" w:styleId="36">
    <w:name w:val="column-name1"/>
    <w:basedOn w:val="11"/>
    <w:qFormat/>
    <w:uiPriority w:val="0"/>
    <w:rPr>
      <w:color w:val="124D83"/>
    </w:rPr>
  </w:style>
  <w:style w:type="character" w:customStyle="1" w:styleId="37">
    <w:name w:val="column-name2"/>
    <w:basedOn w:val="11"/>
    <w:qFormat/>
    <w:uiPriority w:val="0"/>
    <w:rPr>
      <w:color w:val="124D83"/>
    </w:rPr>
  </w:style>
  <w:style w:type="character" w:customStyle="1" w:styleId="38">
    <w:name w:val="column-name3"/>
    <w:basedOn w:val="11"/>
    <w:qFormat/>
    <w:uiPriority w:val="0"/>
    <w:rPr>
      <w:color w:val="124D83"/>
    </w:rPr>
  </w:style>
  <w:style w:type="character" w:customStyle="1" w:styleId="39">
    <w:name w:val="column-name4"/>
    <w:basedOn w:val="11"/>
    <w:qFormat/>
    <w:uiPriority w:val="0"/>
    <w:rPr>
      <w:color w:val="124D83"/>
    </w:rPr>
  </w:style>
  <w:style w:type="character" w:customStyle="1" w:styleId="40">
    <w:name w:val="item-name"/>
    <w:basedOn w:val="11"/>
    <w:qFormat/>
    <w:uiPriority w:val="0"/>
  </w:style>
  <w:style w:type="character" w:customStyle="1" w:styleId="41">
    <w:name w:val="item-name1"/>
    <w:basedOn w:val="11"/>
    <w:qFormat/>
    <w:uiPriority w:val="0"/>
  </w:style>
  <w:style w:type="character" w:customStyle="1" w:styleId="42">
    <w:name w:val="item-name2"/>
    <w:basedOn w:val="11"/>
    <w:qFormat/>
    <w:uiPriority w:val="0"/>
    <w:rPr>
      <w:b/>
    </w:rPr>
  </w:style>
  <w:style w:type="character" w:customStyle="1" w:styleId="43">
    <w:name w:val="item-name3"/>
    <w:basedOn w:val="11"/>
    <w:qFormat/>
    <w:uiPriority w:val="0"/>
  </w:style>
  <w:style w:type="character" w:customStyle="1" w:styleId="44">
    <w:name w:val="news_title"/>
    <w:basedOn w:val="11"/>
    <w:qFormat/>
    <w:uiPriority w:val="0"/>
  </w:style>
  <w:style w:type="character" w:customStyle="1" w:styleId="45">
    <w:name w:val="news_meta"/>
    <w:basedOn w:val="11"/>
    <w:qFormat/>
    <w:uiPriority w:val="0"/>
  </w:style>
  <w:style w:type="character" w:customStyle="1" w:styleId="46">
    <w:name w:val="item-name4"/>
    <w:basedOn w:val="11"/>
    <w:qFormat/>
    <w:uiPriority w:val="0"/>
  </w:style>
  <w:style w:type="character" w:customStyle="1" w:styleId="47">
    <w:name w:val="item-name5"/>
    <w:basedOn w:val="11"/>
    <w:qFormat/>
    <w:uiPriority w:val="0"/>
  </w:style>
  <w:style w:type="character" w:customStyle="1" w:styleId="48">
    <w:name w:val="hitclass3"/>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overPageProperties xmlns="http://schemas.microsoft.com/office/2006/coverPageProps">
  <PublishDate>2018-05-11T00:00:00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745F5-EA85-43B2-B07D-C5BB451A55EB}">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34</Pages>
  <Words>4693</Words>
  <Characters>26754</Characters>
  <Lines>222</Lines>
  <Paragraphs>62</Paragraphs>
  <TotalTime>1</TotalTime>
  <ScaleCrop>false</ScaleCrop>
  <LinksUpToDate>false</LinksUpToDate>
  <CharactersWithSpaces>31385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2020-04-15T03:41:00Z</dcterms:created>
  <dc:creator>盘锦市住房和城乡建设委员会</dc:creator>
  <cp:lastModifiedBy>绯色</cp:lastModifiedBy>
  <cp:lastPrinted>2020-04-14T01:18:00Z</cp:lastPrinted>
  <dcterms:modified xsi:type="dcterms:W3CDTF">2020-05-07T02:16:57Z</dcterms:modified>
  <dc:title>《盘锦市物业管理条例（草案）》立法对照表</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