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1" w:lineRule="atLeas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201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6"/>
          <w:szCs w:val="36"/>
        </w:rPr>
        <w:t>年各项评选表格填写说明</w:t>
      </w:r>
    </w:p>
    <w:p>
      <w:pPr>
        <w:pStyle w:val="8"/>
        <w:spacing w:line="581" w:lineRule="atLeast"/>
        <w:jc w:val="both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一、用签字笔、炭素笔填写或微机打印，字迹要工整清晰。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二、单位名称填写全称，不要简化，要与公章一致。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三、推荐单位指县（区）总工会、市直局工会及基层工会。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四、主要事迹力求简明，重点突出。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五、一式三份。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六、“学历”按已取得毕业文凭的实际学历填写；在学学历不予填写。学历：小学、初中、高中、中专、技校、大学、硕士、博士等。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七、个人照片一定用线装订。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八、年月日要用阿拉伯数字填写，不能空。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九、职称是指按照国家统一规定评骋的专业技术职务、评审取得的任职资格及通过全国统一考试取得的专业技术资格。如助理工程师、工程师、高级工程师等。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十、技术等级指初级工、中级工、高级工、技师、高级技师。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十一、政治面貌指中共党员、群众、团员、各民主党派。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十二、投票一栏不能空，不能只盖章，必须填写情况说明。</w:t>
      </w:r>
    </w:p>
    <w:p>
      <w:pPr>
        <w:pStyle w:val="8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三、企业类型指：国有和国有控股，联营、集体，私营，港、澳、台投资，外商投资，个体，股份制，事业单位，党政机关，其他；所属行业指：农、林、牧、渔业，采掘业，制造业，电力、煤气及水的生产和供应业，建筑业，地质勘查、水利管理业，交通运输、仓储及邮电通信业，批发和零售贸易餐饮业，金融、保险业，房地产业，社会服务业，卫生体育和社会福利业，教育、文化艺术和广播电影电视业，科学研究和综合技术服务业，国家机关、党政机关、社会团体，其他。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4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5"/>
    <w:link w:val="3"/>
    <w:qFormat/>
    <w:uiPriority w:val="0"/>
    <w:pPr>
      <w:adjustRightInd w:val="0"/>
      <w:spacing w:line="360" w:lineRule="auto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2017-04-10T07:10:32Z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