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100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盘锦市工矿企业安全生产事故</w:t>
      </w:r>
    </w:p>
    <w:p>
      <w:pPr>
        <w:ind w:firstLine="1680" w:firstLineChars="300"/>
        <w:rPr>
          <w:rFonts w:hint="eastAsia"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隐患挂牌督办制度</w:t>
      </w:r>
    </w:p>
    <w:p>
      <w:pPr>
        <w:rPr>
          <w:rFonts w:hint="eastAsia" w:ascii="仿宋_GB2312" w:hAnsi="仿宋_GB2312" w:eastAsia="仿宋_GB2312" w:cs="仿宋_GB2312"/>
          <w:sz w:val="40"/>
          <w:szCs w:val="40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（盘政办发〔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2013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〕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30号 自2013年6月21日施行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）</w:t>
      </w:r>
    </w:p>
    <w:p>
      <w:pPr>
        <w:rPr>
          <w:rFonts w:hint="eastAsia" w:ascii="仿宋_GB2312" w:hAnsi="仿宋_GB2312" w:eastAsia="仿宋_GB2312" w:cs="仿宋_GB2312"/>
          <w:sz w:val="40"/>
          <w:szCs w:val="40"/>
        </w:rPr>
      </w:pP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第一条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40"/>
          <w:szCs w:val="40"/>
        </w:rPr>
        <w:t>为规范安全生产事故隐患挂牌督办工作，加快隐患整改进度，有效防范较大以上生产安全事故的发生，根据《安全生产法》、国家安监总局《安全生产事故隐患排查治理暂行规定》等有关法律、法规、规章和规范性文件的规定，结合我市实际，制定本制度。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第二条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40"/>
          <w:szCs w:val="40"/>
        </w:rPr>
        <w:t>本市工矿企业安全生产事故隐患挂牌督办工作适用本制度，其它行业领域事故隐患挂牌督办工作按照相关规定执行。法律、法规、规章及上级规范性文件另有规定的从其规定。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第三条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40"/>
          <w:szCs w:val="40"/>
        </w:rPr>
        <w:t>安全生产事故隐患的挂牌督办范围：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1．易造成伤亡事故的；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2．危险化工工艺未实现自动化控制的；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3．在规定的隐患整改期限内未完成整改的；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4．同类隐患在同一企业重复发生的；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5．未按期完成整改或整改不合格，擅自从事生产经营的；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6．超许可和资质范围进行非法生产经营建设的；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7．新建、改建、扩建项目未依法履行安全设施、职业卫生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40"/>
          <w:szCs w:val="40"/>
        </w:rPr>
        <w:t>三同时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40"/>
          <w:szCs w:val="40"/>
        </w:rPr>
        <w:t>的；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8．易燃易爆和有毒作业场所未按规定设置可燃、有毒气体报警系统的；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9．重大危险源、重点监管危险化学品生产装置未实现自动控制的；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仿宋_GB2312" w:hAnsi="仿宋_GB2312" w:eastAsia="仿宋_GB2312" w:cs="仿宋_GB2312"/>
          <w:sz w:val="40"/>
          <w:szCs w:val="40"/>
        </w:rPr>
        <w:t>10．未按规定为从业人员配发安全防护用品的。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第四条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40"/>
          <w:szCs w:val="40"/>
        </w:rPr>
        <w:t>生产经营单位是隐患排查、治理和防控的责任主体，应按照《安全生产事故隐患排查治理暂行规定》的要求，建立健全事故隐患排查治理、报告和整改销案等制度，经常性地开展隐患排查治理工作，努力把事故消灭在萌芽状态。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第五条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40"/>
          <w:szCs w:val="40"/>
        </w:rPr>
        <w:t>各级安全生产监督管理部门应建立事故隐患排查治理监督检查制度，定期组织对生产经营单位事故隐患排查治理情况开展监督检查。对检查过程中发现的应挂牌督办的事故隐患，要实行挂牌督办，并建立隐患治理档案。同时，由市安监局统一将事故隐患单位报市政府备案。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第六条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40"/>
          <w:szCs w:val="40"/>
        </w:rPr>
        <w:t>被挂牌单位要制定切实可行的整改方案，建立重大隐患台帐和责任制，落实整改责任、整改资金、整改措施、整改预案和整改期限，确保隐患整改到位。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第七条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40"/>
          <w:szCs w:val="40"/>
        </w:rPr>
        <w:t>各县区、经济区安监局要按照分级属地原则，对本地区挂牌的事故隐患进行跟踪督办，督促企业严格落实隐患整改措施，及时整改隐患。隐患整改后，被挂牌单位应向属地安监局提交验收申请，由属地安监局或组织专家、安全评价机构进行复查验收，经验收合格后予以摘牌，并将相关情况报市安监局。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第八条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40"/>
          <w:szCs w:val="40"/>
        </w:rPr>
        <w:t>市安监局要定期对隐患整改情况进行分析评估，每季度在盘锦日报等媒体，对隐患挂牌督办和整改销案情况进行公布，接受社会监督。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第九条</w:t>
      </w: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40"/>
          <w:szCs w:val="40"/>
        </w:rPr>
        <w:t>各县区、经济区要结合实际情况，制定本地区工矿企业安全生产事故隐患挂牌督办制度。</w:t>
      </w:r>
    </w:p>
    <w:p>
      <w:pPr>
        <w:ind w:firstLine="800" w:firstLineChars="200"/>
        <w:rPr>
          <w:rFonts w:hint="eastAsia" w:ascii="仿宋_GB2312" w:hAnsi="仿宋_GB2312" w:eastAsia="仿宋_GB2312" w:cs="仿宋_GB2312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第十条</w:t>
      </w: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40"/>
          <w:szCs w:val="40"/>
        </w:rPr>
        <w:t>本制度自发布之日起施行。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zhjMDIxYTA2OTk0YzY3MGI1NmZjOWRjYzRiYjMifQ=="/>
  </w:docVars>
  <w:rsids>
    <w:rsidRoot w:val="00000000"/>
    <w:rsid w:val="30181075"/>
    <w:rsid w:val="387D2EEE"/>
    <w:rsid w:val="5A8D56F3"/>
    <w:rsid w:val="6E2754B2"/>
    <w:rsid w:val="72872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1046</Characters>
  <Lines>0</Lines>
  <Paragraphs>0</Paragraphs>
  <TotalTime>0</TotalTime>
  <ScaleCrop>false</ScaleCrop>
  <LinksUpToDate>false</LinksUpToDate>
  <CharactersWithSpaces>1067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2023-08-16T03:33:02Z</dcterms:created>
  <dc:creator>Administrator</dc:creator>
  <cp:lastModifiedBy>49750</cp:lastModifiedBy>
  <dcterms:modified xsi:type="dcterms:W3CDTF">2023-08-17T04:05:40Z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A6D0792DF5F04471A244BBE9916C74F4_13</vt:lpwstr>
  </property>
</Properties>
</file>