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0491B">
      <w:pPr>
        <w:keepNext w:val="0"/>
        <w:keepLines w:val="0"/>
        <w:pageBreakBefore w:val="0"/>
        <w:widowControl w:val="0"/>
        <w:kinsoku w:val="0"/>
        <w:wordWrap/>
        <w:overflowPunct w:val="0"/>
        <w:topLinePunct w:val="0"/>
        <w:autoSpaceDE w:val="0"/>
        <w:autoSpaceDN w:val="0"/>
        <w:bidi w:val="0"/>
        <w:adjustRightInd w:val="0"/>
        <w:snapToGrid w:val="0"/>
        <w:spacing w:line="700" w:lineRule="exact"/>
        <w:ind w:left="0" w:right="0" w:firstLine="0"/>
        <w:jc w:val="center"/>
        <w:textAlignment w:val="baseline"/>
        <w:rPr>
          <w:rFonts w:ascii="宋体" w:hAnsi="宋体" w:eastAsia="宋体" w:cs="宋体"/>
          <w:sz w:val="43"/>
          <w:szCs w:val="43"/>
        </w:rPr>
      </w:pPr>
      <w:r>
        <w:rPr>
          <w:rFonts w:hint="eastAsia" w:ascii="方正小标宋简体" w:hAnsi="方正小标宋简体" w:eastAsia="方正小标宋简体" w:cs="方正小标宋简体"/>
          <w:b w:val="0"/>
          <w:bCs w:val="0"/>
          <w:spacing w:val="6"/>
          <w:sz w:val="44"/>
          <w:szCs w:val="44"/>
        </w:rPr>
        <w:t>双台子区陆家镇行政检查法律依据</w:t>
      </w:r>
    </w:p>
    <w:p w14:paraId="4C91920A">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outlineLvl w:val="2"/>
        <w:rPr>
          <w:rFonts w:hint="eastAsia" w:ascii="楷体_GB2312" w:hAnsi="楷体_GB2312" w:eastAsia="楷体_GB2312" w:cs="楷体_GB2312"/>
          <w:b w:val="0"/>
          <w:bCs w:val="0"/>
          <w:spacing w:val="0"/>
          <w:sz w:val="32"/>
          <w:szCs w:val="32"/>
          <w:lang w:eastAsia="zh-CN"/>
        </w:rPr>
      </w:pPr>
    </w:p>
    <w:p w14:paraId="49DCB76C">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《地质灾害防治条例》第十五条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地质灾害易发区的县、乡、村应当加强地质灾害的群测群防工作。在地质灾害重点防范期内，乡镇人民政府、基层群众自治组织应当加强地质灾害险情的巡回检查，发现险情及时处理和报告。</w:t>
      </w:r>
    </w:p>
    <w:p w14:paraId="1D0F5808">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第二十八条 当地人民政府或者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p w14:paraId="6F51704E">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第三十条 地质灾害发生后，县级以上人民政府应当启动并组织实施相应的突发性地质灾害应急预案。有关地方人民政府应当及时将灾情及其发展趋势等信息报告上级人民政府。</w:t>
      </w:r>
    </w:p>
    <w:p w14:paraId="3519CC8E">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《中华人民共和国安全生产法》第九条</w:t>
      </w:r>
      <w:r>
        <w:rPr>
          <w:rFonts w:hint="eastAsia" w:ascii="仿宋_GB2312" w:hAnsi="仿宋_GB2312" w:eastAsia="仿宋_GB2312" w:cs="仿宋_GB2312"/>
          <w:spacing w:val="0"/>
          <w:sz w:val="32"/>
          <w:szCs w:val="32"/>
          <w:lang w:val="en-US" w:eastAsia="zh-CN"/>
        </w:rPr>
        <w:t xml:space="preserve">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55E6AC2C">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《辽宁省安全生产条例》第六条</w:t>
      </w:r>
      <w:r>
        <w:rPr>
          <w:rFonts w:hint="eastAsia" w:ascii="仿宋_GB2312" w:hAnsi="仿宋_GB2312" w:eastAsia="仿宋_GB2312" w:cs="仿宋_GB2312"/>
          <w:spacing w:val="0"/>
          <w:sz w:val="32"/>
          <w:szCs w:val="32"/>
          <w:lang w:val="en-US" w:eastAsia="zh-CN"/>
        </w:rPr>
        <w:t xml:space="preserve"> 省、市、县人民政府应当根据国民经济和社会发展规划制定安全生产规划，建立和完善安全生产责任制度和考核制度，及时协调解决本行政区域内安全生产工作的重大问题，支持、督促各有关部门依法履行安全生产监督管理职责。</w:t>
      </w:r>
    </w:p>
    <w:p w14:paraId="72EADF11">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《安全生产事故隐患排查治理暂行规定》第五条</w:t>
      </w:r>
      <w:r>
        <w:rPr>
          <w:rFonts w:hint="eastAsia" w:ascii="仿宋_GB2312" w:hAnsi="仿宋_GB2312" w:eastAsia="仿宋_GB2312" w:cs="仿宋_GB2312"/>
          <w:spacing w:val="0"/>
          <w:sz w:val="32"/>
          <w:szCs w:val="32"/>
          <w:lang w:val="en-US" w:eastAsia="zh-CN"/>
        </w:rPr>
        <w:t xml:space="preserve"> 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14:paraId="52239622">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《中华人民共和国消防法》第二十二条</w:t>
      </w:r>
      <w:r>
        <w:rPr>
          <w:rFonts w:hint="eastAsia" w:ascii="仿宋_GB2312" w:hAnsi="仿宋_GB2312" w:eastAsia="仿宋_GB2312" w:cs="仿宋_GB2312"/>
          <w:spacing w:val="0"/>
          <w:sz w:val="32"/>
          <w:szCs w:val="32"/>
          <w:lang w:val="en-US" w:eastAsia="zh-CN"/>
        </w:rPr>
        <w:t xml:space="preserve"> 生产、储存、装卸易燃易爆危险品的工厂、仓库和专用车站、码头的设置，应当符合消防技术标准。易燃易爆气体和液体的充装站、供应站、调压站，应当设置在符合消防安全要求的位置，并符合防火防爆要求。已经设置的生产、储存、装卸易燃易爆危险品的工厂、仓库和专用车站、码头，易燃易爆气体和液体的充装站、供应站、调压站，不再符合前款规定的，地方人民政府应当组织、协调有关部门、单位限期解决，消除安全隐患。</w:t>
      </w:r>
    </w:p>
    <w:p w14:paraId="642D0544">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第三十一条  在农业收获季节、森林和草原防火期间、重大节假日期间以及火灾多发季节，地方各级人民政府应当组织开展有针对性的消防宣传教育，采取防火措施，进行消防安全检查。</w:t>
      </w:r>
    </w:p>
    <w:p w14:paraId="571A8987">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14:paraId="61238D90">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《草原防火条例》第七条</w:t>
      </w:r>
      <w:r>
        <w:rPr>
          <w:rFonts w:hint="eastAsia" w:ascii="仿宋_GB2312" w:hAnsi="仿宋_GB2312" w:eastAsia="仿宋_GB2312" w:cs="仿宋_GB2312"/>
          <w:spacing w:val="0"/>
          <w:sz w:val="32"/>
          <w:szCs w:val="32"/>
          <w:lang w:val="en-US" w:eastAsia="zh-CN"/>
        </w:rPr>
        <w:t xml:space="preserve"> 草原防火工作涉及两个以上行政区域或者涉及森林防火、城市消防的，有关地方人民政府及有关部门应当建立联防制度，确定联防区域，制定联防措施，加强信息沟通和监督检查。</w:t>
      </w:r>
    </w:p>
    <w:p w14:paraId="157F78A7">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《森林防火条例》第七条</w:t>
      </w:r>
      <w:r>
        <w:rPr>
          <w:rFonts w:hint="eastAsia" w:ascii="仿宋_GB2312" w:hAnsi="仿宋_GB2312" w:eastAsia="仿宋_GB2312" w:cs="仿宋_GB2312"/>
          <w:spacing w:val="0"/>
          <w:sz w:val="32"/>
          <w:szCs w:val="32"/>
          <w:lang w:val="en-US" w:eastAsia="zh-CN"/>
        </w:rPr>
        <w:t xml:space="preserve"> 森林防火工作涉及两个以上行政区域的，有关地方人民政府应当建立森林防火联防机制，确定联防区域，建立联防制度，实行信息共享，并加强监督检查。</w:t>
      </w:r>
    </w:p>
    <w:p w14:paraId="6CC8599A">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《辽宁省消防条例》第九条</w:t>
      </w:r>
      <w:r>
        <w:rPr>
          <w:rFonts w:hint="eastAsia" w:ascii="仿宋_GB2312" w:hAnsi="仿宋_GB2312" w:eastAsia="仿宋_GB2312" w:cs="仿宋_GB2312"/>
          <w:spacing w:val="0"/>
          <w:sz w:val="32"/>
          <w:szCs w:val="32"/>
          <w:lang w:val="en-US" w:eastAsia="zh-CN"/>
        </w:rPr>
        <w:t xml:space="preserve">  乡(镇)人民政府、街道办事处履行下列消防工作职责:(一)建立健全消防工作制度，确定消防安全管理人员，落实消防安全措施;(二)组织开展消防安全专项治理和消防安全检查，督促消除火灾隐患;(三)指导、支持、帮助村民委员会、居民委员会开展群众性消防工作;(四)上级人民政府交办的其他消防工作。</w:t>
      </w:r>
    </w:p>
    <w:p w14:paraId="3632EF90">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《辽宁省城市市容和环境卫生管理规定》第七条</w:t>
      </w:r>
      <w:r>
        <w:rPr>
          <w:rFonts w:hint="eastAsia" w:ascii="仿宋_GB2312" w:hAnsi="仿宋_GB2312" w:eastAsia="仿宋_GB2312" w:cs="仿宋_GB2312"/>
          <w:spacing w:val="0"/>
          <w:sz w:val="32"/>
          <w:szCs w:val="32"/>
          <w:lang w:val="en-US" w:eastAsia="zh-CN"/>
        </w:rPr>
        <w:t xml:space="preserve"> 市、区市容环境卫生主管部门和街道办事处对本辖区内责任单位和个人的城市市容和环境卫生工作进行协调指导和监督检查。</w:t>
      </w:r>
    </w:p>
    <w:p w14:paraId="7F3AE71B">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《盘锦市城乡容貌和环境卫生管理条例》第四条</w:t>
      </w:r>
      <w:r>
        <w:rPr>
          <w:rFonts w:hint="eastAsia" w:ascii="仿宋_GB2312" w:hAnsi="仿宋_GB2312" w:eastAsia="仿宋_GB2312" w:cs="仿宋_GB2312"/>
          <w:spacing w:val="0"/>
          <w:sz w:val="32"/>
          <w:szCs w:val="32"/>
          <w:lang w:val="en-US" w:eastAsia="zh-CN"/>
        </w:rPr>
        <w:t xml:space="preserve">  镇人民政府、街道办事处负责所辖区域内的城乡容貌和环境卫生管理工作，对本区域范围内的城乡容貌和环境卫生管理工作进行协调、监督和检查，督促单位和个人履行维护城乡容貌和环境卫生义务。</w:t>
      </w:r>
    </w:p>
    <w:p w14:paraId="1267605D">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《中华人民共和国防洪法》第三十六条</w:t>
      </w:r>
      <w:r>
        <w:rPr>
          <w:rFonts w:hint="eastAsia" w:ascii="仿宋_GB2312" w:hAnsi="仿宋_GB2312" w:eastAsia="仿宋_GB2312" w:cs="仿宋_GB2312"/>
          <w:spacing w:val="0"/>
          <w:sz w:val="32"/>
          <w:szCs w:val="32"/>
          <w:lang w:val="en-US" w:eastAsia="zh-CN"/>
        </w:rPr>
        <w:t xml:space="preserve">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p w14:paraId="4BCAF3E9">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《辽宁省实施&lt;中华人民共和国防洪法&gt;办法》第二十六条</w:t>
      </w:r>
      <w:r>
        <w:rPr>
          <w:rFonts w:hint="eastAsia" w:ascii="仿宋_GB2312" w:hAnsi="仿宋_GB2312" w:eastAsia="仿宋_GB2312" w:cs="仿宋_GB2312"/>
          <w:spacing w:val="0"/>
          <w:sz w:val="32"/>
          <w:szCs w:val="32"/>
          <w:lang w:val="en-US" w:eastAsia="zh-CN"/>
        </w:rPr>
        <w:t xml:space="preserve"> 各级人民政府应当组织水行政主管部门和有关部门加强防洪工程设施的定期检查和监督管理。对病险水库、险闸、险堤，水行政主管部门和有关部门必须组织有关单位采取除险加固措施，限期消除危险或者重建，有关人民政府必须优先安排所需资金。</w:t>
      </w:r>
    </w:p>
    <w:p w14:paraId="0635EAD3">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《中华人民共和国抗旱条例》第三十条</w:t>
      </w:r>
      <w:r>
        <w:rPr>
          <w:rFonts w:hint="eastAsia" w:ascii="仿宋_GB2312" w:hAnsi="仿宋_GB2312" w:eastAsia="仿宋_GB2312" w:cs="仿宋_GB2312"/>
          <w:spacing w:val="0"/>
          <w:sz w:val="32"/>
          <w:szCs w:val="32"/>
          <w:lang w:val="en-US" w:eastAsia="zh-CN"/>
        </w:rPr>
        <w:t xml:space="preserve"> 各级人民政府应当对抗旱责任制落实、抗旱预案编制、抗旱设施建设和维护、抗旱物资储备等情况加强监督检查，发现问题应当及时处理或者责成有关部门和单位限期处理。</w:t>
      </w:r>
    </w:p>
    <w:p w14:paraId="3CD7D023">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《中华人民共和国乡村集体所有制企业条例》第二条</w:t>
      </w:r>
      <w:r>
        <w:rPr>
          <w:rFonts w:hint="eastAsia" w:ascii="仿宋_GB2312" w:hAnsi="仿宋_GB2312" w:eastAsia="仿宋_GB2312" w:cs="仿宋_GB2312"/>
          <w:spacing w:val="0"/>
          <w:sz w:val="32"/>
          <w:szCs w:val="32"/>
          <w:lang w:val="en-US" w:eastAsia="zh-CN"/>
        </w:rPr>
        <w:t xml:space="preserve"> 本条例适用于由乡（含镇，下同）村（含村民小组，下同）农民集体举办的企业。</w:t>
      </w:r>
    </w:p>
    <w:p w14:paraId="7FD8B4D7">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农业生产合作社、农村供销合作社、农村信用社不适用本条例。</w:t>
      </w:r>
    </w:p>
    <w:p w14:paraId="52AB6A54">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第十二条 国务院乡镇企业行政主管部门主管全国乡村集体所有制企业。地方人民政府乡镇企业行政主管部门主管本行政区域内的乡村集体所有制企业（以下简称企业）。</w:t>
      </w:r>
    </w:p>
    <w:p w14:paraId="71B0C34A">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第三十四条 </w:t>
      </w:r>
      <w:bookmarkStart w:id="0" w:name="_GoBack"/>
      <w:bookmarkEnd w:id="0"/>
      <w:r>
        <w:rPr>
          <w:rFonts w:hint="eastAsia" w:ascii="仿宋_GB2312" w:hAnsi="仿宋_GB2312" w:eastAsia="仿宋_GB2312" w:cs="仿宋_GB2312"/>
          <w:spacing w:val="0"/>
          <w:sz w:val="32"/>
          <w:szCs w:val="32"/>
          <w:lang w:val="en-US" w:eastAsia="zh-CN"/>
        </w:rPr>
        <w:t>各级人民政府乡镇企业行政主管部门根据国家的法律、法规和政策，加强对企业的指导、管理、监督、协调和服务：</w:t>
      </w:r>
    </w:p>
    <w:p w14:paraId="3FF83ACC">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（一）监督检查企业执行国家法律、法规和政策；</w:t>
      </w:r>
    </w:p>
    <w:p w14:paraId="7AA7BEE4">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（二）制订企业发展规划，协同有关部门制定农村剩余劳动力就业规划；</w:t>
      </w:r>
    </w:p>
    <w:p w14:paraId="4C0C710F">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（三）会同有关部门指导企业的计划、统计、财务、审计、价格、物资、质量、设备、技术、劳动、安全生产、环境保护等管理工作；</w:t>
      </w:r>
    </w:p>
    <w:p w14:paraId="6C7712CD">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（四）组织和指导企业的技术进步、职工教育和培训；</w:t>
      </w:r>
    </w:p>
    <w:p w14:paraId="3C3C006D">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（五）向企业提供经济、技术咨询和信息服务；</w:t>
      </w:r>
    </w:p>
    <w:p w14:paraId="78769E8E">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（六）协调企业与有关方面的关系，帮助企业开展经济技术合作；</w:t>
      </w:r>
    </w:p>
    <w:p w14:paraId="32C357F4">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（七）总结推广企业发展的经验；</w:t>
      </w:r>
    </w:p>
    <w:p w14:paraId="384A8618">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（八）组织和指导企业的思想政治工作，促进企业的社会主义精神文明建设。</w:t>
      </w:r>
    </w:p>
    <w:p w14:paraId="4E1A77E3">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eastAsia="zh-CN"/>
        </w:rPr>
      </w:pPr>
    </w:p>
    <w:p w14:paraId="30023086">
      <w:pPr>
        <w:keepNext w:val="0"/>
        <w:keepLines w:val="0"/>
        <w:pageBreakBefore w:val="0"/>
        <w:widowControl/>
        <w:kinsoku w:val="0"/>
        <w:wordWrap/>
        <w:overflowPunct/>
        <w:topLinePunct w:val="0"/>
        <w:autoSpaceDE w:val="0"/>
        <w:autoSpaceDN w:val="0"/>
        <w:bidi w:val="0"/>
        <w:adjustRightInd w:val="0"/>
        <w:snapToGrid w:val="0"/>
        <w:ind w:firstLine="1050" w:firstLineChars="500"/>
        <w:textAlignment w:val="baseline"/>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9F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BA1B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BA1B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F0835"/>
    <w:rsid w:val="0580326D"/>
    <w:rsid w:val="07B75EC3"/>
    <w:rsid w:val="1CF95FA5"/>
    <w:rsid w:val="1F7C07EB"/>
    <w:rsid w:val="224F0CC2"/>
    <w:rsid w:val="24D0725E"/>
    <w:rsid w:val="290141BF"/>
    <w:rsid w:val="33552D94"/>
    <w:rsid w:val="359661D1"/>
    <w:rsid w:val="3A1B22D5"/>
    <w:rsid w:val="3EBF1A09"/>
    <w:rsid w:val="404E5623"/>
    <w:rsid w:val="4550160D"/>
    <w:rsid w:val="46E85FAF"/>
    <w:rsid w:val="48E42798"/>
    <w:rsid w:val="50C3434E"/>
    <w:rsid w:val="57CF2865"/>
    <w:rsid w:val="58AD69AB"/>
    <w:rsid w:val="594828CF"/>
    <w:rsid w:val="5ED115B9"/>
    <w:rsid w:val="62181329"/>
    <w:rsid w:val="71F7052F"/>
    <w:rsid w:val="75B82733"/>
    <w:rsid w:val="763B0EF1"/>
    <w:rsid w:val="79183C14"/>
    <w:rsid w:val="7F0F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0"/>
      <w:szCs w:val="3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1689</Words>
  <Characters>1722</Characters>
  <Lines>0</Lines>
  <Paragraphs>0</Paragraphs>
  <TotalTime>7</TotalTime>
  <ScaleCrop>false</ScaleCrop>
  <LinksUpToDate>false</LinksUpToDate>
  <CharactersWithSpaces>1732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2025-04-03T00:53:00Z</dcterms:created>
  <dc:creator>Administrator</dc:creator>
  <cp:lastModifiedBy>小静子</cp:lastModifiedBy>
  <cp:lastPrinted>2025-04-15T07:47:00Z</cp:lastPrinted>
  <dcterms:modified xsi:type="dcterms:W3CDTF">2025-05-06T05:20:28Z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eyJoZGlkIjoiYjhiY2JhNTNkNmUzNTczN2U3OWZlNTFjOTA3ZTJhNGMiLCJ1c2VySWQiOiIzMjU5ODc2MzYifQ==</vt:lpwstr>
  </property>
  <property fmtid="{D5CDD505-2E9C-101B-9397-08002B2CF9AE}" pid="4" name="ICV">
    <vt:lpwstr>F98D0AF254404EB5A1191C60DAF0697F_12</vt:lpwstr>
  </property>
</Properties>
</file>