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A7B52">
      <w:pPr>
        <w:widowControl w:val="0"/>
        <w:kinsoku/>
        <w:overflowPunct w:val="0"/>
        <w:autoSpaceDE/>
        <w:autoSpaceDN/>
        <w:adjustRightInd w:val="0"/>
        <w:snapToGrid w:val="0"/>
        <w:spacing w:line="560" w:lineRule="exact"/>
        <w:jc w:val="center"/>
        <w:textAlignment w:val="auto"/>
        <w:rPr>
          <w:rFonts w:hint="eastAsia" w:ascii="方正小标宋简体" w:hAnsi="方正小标宋简体" w:eastAsia="方正小标宋简体" w:cs="方正小标宋简体"/>
          <w:snapToGrid/>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napToGrid/>
          <w:color w:val="000000" w:themeColor="text1"/>
          <w:kern w:val="2"/>
          <w:sz w:val="44"/>
          <w:szCs w:val="44"/>
          <w:lang w:val="en-US" w:eastAsia="zh-CN"/>
          <w14:textFill>
            <w14:solidFill>
              <w14:schemeClr w14:val="tx1"/>
            </w14:solidFill>
          </w14:textFill>
        </w:rPr>
        <w:t>双台子</w:t>
      </w:r>
      <w:r>
        <w:rPr>
          <w:rFonts w:hint="eastAsia" w:ascii="方正小标宋简体" w:hAnsi="方正小标宋简体" w:eastAsia="方正小标宋简体" w:cs="方正小标宋简体"/>
          <w:snapToGrid/>
          <w:color w:val="000000" w:themeColor="text1"/>
          <w:kern w:val="2"/>
          <w:sz w:val="44"/>
          <w:szCs w:val="44"/>
          <w:lang w:val="en-US" w:eastAsia="zh-CN"/>
          <w14:textFill>
            <w14:solidFill>
              <w14:schemeClr w14:val="tx1"/>
            </w14:solidFill>
          </w14:textFill>
        </w:rPr>
        <w:t>区统计局</w:t>
      </w:r>
      <w:bookmarkStart w:id="0" w:name="_GoBack"/>
      <w:bookmarkEnd w:id="0"/>
      <w:r>
        <w:rPr>
          <w:rFonts w:hint="eastAsia" w:ascii="方正小标宋简体" w:hAnsi="方正小标宋简体" w:eastAsia="方正小标宋简体" w:cs="方正小标宋简体"/>
          <w:snapToGrid/>
          <w:color w:val="000000" w:themeColor="text1"/>
          <w:kern w:val="2"/>
          <w:sz w:val="44"/>
          <w:szCs w:val="44"/>
          <w:lang w:val="en-US" w:eastAsia="zh-CN"/>
          <w14:textFill>
            <w14:solidFill>
              <w14:schemeClr w14:val="tx1"/>
            </w14:solidFill>
          </w14:textFill>
        </w:rPr>
        <w:t>行政检查法律依据</w:t>
      </w:r>
    </w:p>
    <w:p w14:paraId="4148C60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pacing w:val="0"/>
          <w:sz w:val="44"/>
          <w:szCs w:val="44"/>
          <w:lang w:val="en-US" w:eastAsia="zh-CN"/>
        </w:rPr>
      </w:pPr>
    </w:p>
    <w:p w14:paraId="76D72B9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1.项目名称：</w:t>
      </w:r>
      <w:r>
        <w:rPr>
          <w:rFonts w:hint="eastAsia" w:ascii="仿宋_GB2312" w:hAnsi="仿宋_GB2312" w:eastAsia="仿宋_GB2312" w:cs="仿宋_GB2312"/>
          <w:spacing w:val="0"/>
          <w:sz w:val="32"/>
          <w:szCs w:val="32"/>
          <w:lang w:val="en-US" w:eastAsia="zh-CN"/>
        </w:rPr>
        <w:t>统计监督检查</w:t>
      </w:r>
    </w:p>
    <w:p w14:paraId="3A1DF38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执法类别：</w:t>
      </w:r>
      <w:r>
        <w:rPr>
          <w:rFonts w:hint="eastAsia" w:ascii="仿宋_GB2312" w:hAnsi="仿宋_GB2312" w:eastAsia="仿宋_GB2312" w:cs="仿宋_GB2312"/>
          <w:spacing w:val="0"/>
          <w:sz w:val="32"/>
          <w:szCs w:val="32"/>
          <w:lang w:val="en-US" w:eastAsia="zh-CN"/>
        </w:rPr>
        <w:t>行政检查</w:t>
      </w:r>
    </w:p>
    <w:p w14:paraId="34257E4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执法依据：</w:t>
      </w:r>
      <w:r>
        <w:rPr>
          <w:rFonts w:hint="eastAsia" w:ascii="仿宋_GB2312" w:hAnsi="仿宋_GB2312" w:eastAsia="仿宋_GB2312" w:cs="仿宋_GB2312"/>
          <w:spacing w:val="0"/>
          <w:sz w:val="32"/>
          <w:szCs w:val="32"/>
          <w:lang w:val="en-US" w:eastAsia="zh-CN"/>
        </w:rPr>
        <w:t>第三十八条 县级以上人民政府统计机构在调查统计违法行为或者核查统计数据时，有权采取下列措施：</w:t>
      </w:r>
    </w:p>
    <w:p w14:paraId="4C20BF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（一）发出统计检查查询书，向检查对象查询有关事项；</w:t>
      </w:r>
    </w:p>
    <w:p w14:paraId="5CE90DD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（二）要求检查对象提供有关原始记录和凭证、统计台账、统计调查表、会计资料及其他相关证明和资料；</w:t>
      </w:r>
    </w:p>
    <w:p w14:paraId="1A958EE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（三）就与检查有关的事项询问有关人员；</w:t>
      </w:r>
    </w:p>
    <w:p w14:paraId="4B1DDFA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（四）进入检查对象的业务场所和统计数据处理信息系统进行检查、核对；</w:t>
      </w:r>
    </w:p>
    <w:p w14:paraId="7D1769B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（五）经本机构负责人批准，登记保存检查对象的有关原始记录和凭证、统计台账、统计调查表、会计资料及其他相关证明和资料；</w:t>
      </w:r>
    </w:p>
    <w:p w14:paraId="310F3F9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（六）对与检查事项有关的情况和资料进行记录、录音、录像、照相和复制。</w:t>
      </w:r>
    </w:p>
    <w:p w14:paraId="0FFF8BF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县级以上人民政府统计机构进行监督检查时，监督检查人员不得少于二人，并应当出示执法证件；未出示的，有关单位和个人有权拒绝检查。</w:t>
      </w:r>
    </w:p>
    <w:p w14:paraId="6FEA1DA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880" w:firstLineChars="200"/>
        <w:textAlignment w:val="baseline"/>
        <w:rPr>
          <w:rFonts w:hint="eastAsia" w:ascii="仿宋_GB2312" w:hAnsi="仿宋_GB2312" w:eastAsia="仿宋_GB2312" w:cs="仿宋_GB2312"/>
          <w:b w:val="0"/>
          <w:bCs w:val="0"/>
          <w:spacing w:val="0"/>
          <w:sz w:val="44"/>
          <w:szCs w:val="44"/>
          <w:lang w:val="en-US" w:eastAsia="zh-CN"/>
        </w:rPr>
      </w:pPr>
    </w:p>
    <w:p w14:paraId="67008980">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pPr>
    </w:p>
    <w:sectPr>
      <w:footerReference r:id="rId5" w:type="default"/>
      <w:pgSz w:w="11906" w:h="16838"/>
      <w:pgMar w:top="2098" w:right="1474" w:bottom="1984" w:left="222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CC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C445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FC445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95581"/>
    <w:rsid w:val="50242CEA"/>
    <w:rsid w:val="71FA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805</Words>
  <Characters>805</Characters>
  <Lines>0</Lines>
  <Paragraphs>0</Paragraphs>
  <TotalTime>0</TotalTime>
  <ScaleCrop>false</ScaleCrop>
  <LinksUpToDate>false</LinksUpToDate>
  <CharactersWithSpaces>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2025-05-06T05:48:00Z</dcterms:created>
  <dc:creator>Administrator</dc:creator>
  <cp:lastModifiedBy>林深不见鹿</cp:lastModifiedBy>
  <dcterms:modified xsi:type="dcterms:W3CDTF">2025-05-06T05:55:38Z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eyJoZGlkIjoiMmJlZmQwMThiMzUzNjIyMjc2MjYyYmFjMDk0MzVkOWUiLCJ1c2VySWQiOiI0ODU5NTI2MjEifQ==</vt:lpwstr>
  </property>
  <property fmtid="{D5CDD505-2E9C-101B-9397-08002B2CF9AE}" pid="4" name="ICV">
    <vt:lpwstr>C2291852F9724ACEAC44E2524D7BC9DC_12</vt:lpwstr>
  </property>
</Properties>
</file>