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辽宁省盘锦市兴隆台区商务局（本级）</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sectPr>
      </w:pPr>
    </w:p>
    <w:p>
      <w:pPr>
        <w:spacing w:line="540" w:lineRule="exact"/>
        <w:jc w:val="center"/>
        <w:rPr>
          <w:b/>
          <w:sz w:val="44"/>
          <w:szCs w:val="44"/>
        </w:rPr>
      </w:pPr>
      <w:r>
        <w:rPr>
          <w:rFonts w:hint="eastAsia"/>
          <w:b/>
          <w:sz w:val="44"/>
          <w:szCs w:val="44"/>
        </w:rPr>
        <w:t xml:space="preserve">目</w:t>
      </w:r>
      <w:r>
        <w:rPr>
          <w:rFonts w:hint="eastAsia"/>
          <w:b/>
          <w:sz w:val="44"/>
          <w:szCs w:val="44"/>
        </w:rPr>
        <w:t xml:space="preserve">    </w:t>
      </w:r>
      <w:r>
        <w:rPr>
          <w:rFonts w:hint="eastAsia"/>
          <w:b/>
          <w:sz w:val="44"/>
          <w:szCs w:val="44"/>
        </w:rPr>
        <w:t xml:space="preserve">录</w:t>
      </w:r>
    </w:p>
    <w:p>
      <w:pPr>
        <w:spacing w:line="540" w:lineRule="exact"/>
        <w:rPr>
          <w:b/>
          <w:sz w:val="44"/>
          <w:szCs w:val="44"/>
          <w:u w:val="single"/>
        </w:rPr>
      </w:pPr>
    </w:p>
    <w:p>
      <w:pPr>
        <w:spacing w:line="520" w:lineRule="exact"/>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辽宁省盘锦市兴隆台区商务局（本级）</w:t>
      </w:r>
      <w:r>
        <w:rPr>
          <w:rFonts w:ascii="黑体" w:eastAsia="黑体" w:hAnsi="黑体" w:hint="eastAsia"/>
          <w:sz w:val="32"/>
          <w:szCs w:val="32"/>
        </w:rPr>
        <w:t xml:space="preserve">概况</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辽宁省盘锦市兴隆台区商务局（本级）</w:t>
      </w:r>
      <w:r>
        <w:rPr>
          <w:rFonts w:ascii="仿宋_GB2312" w:eastAsia="仿宋_GB2312" w:hAnsi="黑体" w:hint="eastAsia"/>
          <w:sz w:val="32"/>
          <w:szCs w:val="32"/>
        </w:rPr>
        <w:t xml:space="preserve">决算单位构成</w:t>
      </w:r>
    </w:p>
    <w:p>
      <w:pPr>
        <w:spacing w:line="520" w:lineRule="exact"/>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辽宁省盘锦市兴隆台区商务局（本级）</w:t>
      </w:r>
      <w:r>
        <w:rPr>
          <w:rFonts w:ascii="黑体" w:eastAsia="黑体" w:hAnsi="黑体" w:hint="eastAsia"/>
          <w:sz w:val="32"/>
          <w:szCs w:val="32"/>
        </w:rPr>
        <w:t xml:space="preserve">部门决算情况说明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一、收入支出决算总体情况说明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二、财政拨款支出决算情况说明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五、其他重要事项的情况说明</w:t>
      </w:r>
    </w:p>
    <w:p>
      <w:pPr>
        <w:spacing w:line="520" w:lineRule="exact"/>
        <w:rPr>
          <w:rFonts w:ascii="黑体" w:eastAsia="黑体" w:hAnsi="黑体"/>
          <w:sz w:val="32"/>
          <w:szCs w:val="32"/>
        </w:rPr>
      </w:pPr>
      <w:r>
        <w:rPr>
          <w:rFonts w:ascii="黑体" w:eastAsia="黑体" w:hAnsi="黑体" w:hint="eastAsia"/>
          <w:sz w:val="32"/>
          <w:szCs w:val="32"/>
        </w:rPr>
        <w:t xml:space="preserve">第三部分  名词解释</w:t>
      </w:r>
    </w:p>
    <w:p>
      <w:pPr>
        <w:spacing w:line="520" w:lineRule="exact"/>
        <w:rPr>
          <w:rFonts w:ascii="黑体" w:eastAsia="黑体" w:hAnsi="黑体"/>
          <w:sz w:val="32"/>
          <w:szCs w:val="32"/>
        </w:rPr>
      </w:pPr>
      <w:r>
        <w:rPr>
          <w:rFonts w:ascii="黑体" w:eastAsia="黑体" w:hAnsi="黑体" w:hint="eastAsia"/>
          <w:sz w:val="32"/>
          <w:szCs w:val="32"/>
        </w:rPr>
        <w:t xml:space="preserve">第四部分  2023年度</w:t>
      </w:r>
      <w:r>
        <w:rPr>
          <w:rFonts w:ascii="黑体" w:eastAsia="黑体" w:hAnsi="黑体" w:hint="eastAsia"/>
          <w:sz w:val="32"/>
          <w:szCs w:val="32"/>
        </w:rPr>
        <w:t xml:space="preserve">辽宁省盘锦市兴隆台区商务局（本级）</w:t>
      </w:r>
      <w:r>
        <w:rPr>
          <w:rFonts w:ascii="黑体" w:eastAsia="黑体" w:hAnsi="黑体" w:hint="eastAsia"/>
          <w:sz w:val="32"/>
          <w:szCs w:val="32"/>
        </w:rPr>
        <w:t xml:space="preserve">部门决算表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二、收入决算表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三、支出决算表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七、财政拨款“三公”经费支出决算表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九、国有资本经营预算财政拨款支出决算表</w:t>
      </w:r>
    </w:p>
    <w:p>
      <w:pPr>
        <w:spacing w:line="520" w:lineRule="exact"/>
        <w:rPr>
          <w:rFonts w:ascii="仿宋_GB2312" w:eastAsia="仿宋_GB2312"/>
          <w:sz w:val="32"/>
          <w:szCs w:val="32"/>
        </w:rPr>
      </w:pPr>
      <w:r>
        <w:rPr>
          <w:rFonts w:ascii="黑体" w:eastAsia="黑体" w:hAnsi="黑体" w:hint="eastAsia"/>
          <w:sz w:val="32"/>
          <w:szCs w:val="32"/>
        </w:rPr>
        <w:t xml:space="preserve">第五部分  附件</w:t>
      </w:r>
    </w:p>
    <w:p>
      <w:pPr>
        <w:spacing w:line="540" w:lineRule="exact"/>
        <w:ind w:left="638" w:leftChars="304"/>
        <w:rPr>
          <w:rFonts w:ascii="仿宋_GB2312" w:eastAsia="仿宋_GB2312"/>
          <w:sz w:val="32"/>
          <w:szCs w:val="32"/>
        </w:rPr>
        <w:sectPr>
          <w:footerReference w:type="default" r:id="rId6"/>
          <w:pgSz w:w="11906" w:h="16838" w:orient="portrait"/>
          <w:pgMar w:top="1134" w:right="1417" w:bottom="567" w:left="1417" w:header="851" w:footer="992" w:gutter="0"/>
          <w:pgNumType w:start="1"/>
          <w:cols w:num="1" w:space="0">
            <w:col w:w="9072"/>
          </w:cols>
          <w:docGrid w:type="lines" w:linePitch="312"/>
        </w:sectPr>
      </w:pPr>
    </w:p>
    <w:p>
      <w:pPr>
        <w:spacing w:line="540" w:lineRule="exact"/>
        <w:ind w:left="638" w:leftChars="304"/>
        <w:rPr>
          <w:rFonts w:ascii="仿宋_GB2312" w:eastAsia="仿宋_GB2312"/>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辽宁省盘锦市兴隆台区商务局（本级）概况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1．主要职能。</w:t>
        <w:br/>
        <w:t xml:space="preserve">    (1)贯彻执行国家、省、市关于国内外贸易和国际经济合作的方针政策和法律法规，研究经济全球化、对外经济合作、现代流通方式的发展趋勢和流通体制改革并提出建议。</w:t>
        <w:br/>
        <w:t xml:space="preserve">    (2)负责推进流通产业结构调整，指导流通企业改革商贸服务业发展，提出促进商贸中小企业发展的政策建议，推动流通标准化和连锁经营、商业特许经营、物流配送、电子商务等现代流通方式的发展。负责分析汇总全区商贸业发展情况、发展动态和运行趋势。负责内外贸行业人才队伍建设，协调开展行业培训。</w:t>
        <w:br/>
        <w:t xml:space="preserve">    (3)拟订区内贸易发展规划，促进城乡市场发展，研究提出引导资金投向市场体系建设的政策，指导商品现货市场规范发展和城区商业网点规划、商业体系建设工作，推进农村市场和农产品流通体系建设，组织实施农村现代流通网络工程。</w:t>
        <w:br/>
        <w:t xml:space="preserve">    (4)承担牵头协调整顿和规范市场经济秩序工作的责任，拟订规范市场运行、流通秩序的政策，推动商务领域信用建设，指导商业信用销售，按有关规定对特殊流通行业进行监督管理，拟订全区电子商务发展规划和政策措施并组织实施，完善电子商务服务体系建设，推动电子商务的应用和发展。</w:t>
        <w:br/>
        <w:t xml:space="preserve">    (5)承担组织实施重要消费品市场调控和重要生产资料流通管理的责任，负责建立健全生活必需品市场供应应急管理机制，监测分析市场运行、商品供求状况，调查分析商品价格信息，进行预测预警和信息引导，按有关规定对成品油流通进行监督管理。</w:t>
        <w:br/>
        <w:t xml:space="preserve">    (6)拟订全区对外贸易发展规划，推进全区对外贸易发展体系和新业态建设，执行国家进出口商品管理办法和进出口管理商品、技术目录，拟订促进外贸增长方式转变的政策措施，拟订全区进出口年度计划并组织实施，组织指导全区开拓国际市场贸易促进活动，拟订全区外贸出口基地发展规划和相关政策并组织实施。负责全区外贸企业管理、对外贸易综合统计，分析全区进出口运行情况。</w:t>
        <w:br/>
        <w:t xml:space="preserve">    (7)执行国家对外技术贸易、出口管制以及鼓励技术和成套设备进出口的贸易政策，推进进出口贸易标准化工作，依法监督技术引进、设备进口、国家限制出口技术的工作。</w:t>
        <w:br/>
        <w:t xml:space="preserve">    (8)负责服务业集聚区规划建设和推动重大服务业项目建设。</w:t>
        <w:br/>
        <w:t xml:space="preserve">    (9)负责联系盘锦异地商会、商贸流通行业协会、企业联合会，推动商贸流通行业管理和行业自律。</w:t>
        <w:br/>
        <w:t xml:space="preserve">    (10)贯彻执行国家有关区域经济合作的方针政策和法律法规，拟定区堿经济合作的政策措施，推进区域经济合作和经济技术交流工作。</w:t>
        <w:br/>
        <w:t xml:space="preserve">    (11)按权限负责全区因公出国(境)团组的初审和商贸来访团组接待工作。</w:t>
        <w:br/>
        <w:t xml:space="preserve">    (12)宏观指导全区外商投资工作，按规定初审外商投资企业，执行有关法律法规情况。</w:t>
        <w:br/>
        <w:t xml:space="preserve">    (13)负责全区对外经济合作工作，执行国家和省市促进对外经济合作的政策措施，貫彻执行国家和省市对外投资的管理办法和具体政策。</w:t>
        <w:br/>
        <w:t xml:space="preserve">    (14)围绕经济建设和对外开放工作开展调查研究，提出我区对外工作的意见和建议，利用对外交往渠道，为全区的经济建设和社会发展服务。</w:t>
        <w:br/>
        <w:t xml:space="preserve">    (15)承担区对外开放工作领导小组日常工作。</w:t>
        <w:br/>
        <w:t xml:space="preserve">    (16)贯彻执行国家外交方针政策和有关涉外法律法规，利用对外交往渠道，服务本地经济建设和对外开放;拓展国际友城交流及与国际组织交往渠道，扩大国际交流，构建参与国际合作平台，广泛开展对外宣传，促进经济、教育、科技、文化和人才的国际合作，推动开放型经济发展。</w:t>
        <w:br/>
        <w:t xml:space="preserve">    (17)加强涉外管理，负责组织或配合接待来访本区的重要外宾;负责境外其他组织在本区活动的管理及协调工作;协助相关部门处理涉外事件;负责本区与外国友好城区以及其他结好单位的交往活动。</w:t>
        <w:br/>
        <w:t xml:space="preserve">    (18)负责服务业相关领域人才队伍建设，开展相关领域和行业培训，推进行业人才培训基地建设。</w:t>
        <w:br/>
        <w:t xml:space="preserve">    (19)完成区委、区政府和区委外事工作委员会交办的其他任务。</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辽宁省盘锦市兴隆台区商务局（本级）</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辽宁省盘锦市兴隆台区商务局</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2169.27</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2169.27</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2169.27</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与上年相比，今年收入总计</w:t>
      </w:r>
      <w:r>
        <w:rPr>
          <w:rFonts w:ascii="仿宋_GB2312" w:eastAsia="仿宋_GB2312" w:hAnsi="宋体" w:hint="eastAsia"/>
          <w:sz w:val="32"/>
          <w:szCs w:val="32"/>
        </w:rPr>
        <w:t xml:space="preserve">减少2875.55万元，降低57.00%</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上级专项资金变动</w:t>
      </w:r>
      <w:r>
        <w:rPr>
          <w:rFonts w:ascii="仿宋_GB2312" w:eastAsia="仿宋_GB2312" w:hAnsi="宋体" w:hint="eastAsia"/>
          <w:sz w:val="32"/>
          <w:szCs w:val="32"/>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2169.27</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158.37</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7.30</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工资福利支出147.30万元；商品和服务支出10.35万元；对个人和家庭的补助0.71万元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2010.90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92.70</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主要包括上级专项补助资金变动等业务支出。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减少2875.55万元，降低57.00%</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上级专项补助资金变动</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本年执行收付实现制</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2169.27</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158.37</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2010.90</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减少2875.55万元，降低57.00%</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上级专项资金变动</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249.60</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43.62</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397.41</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2023年度一般公共预算财政拨款支出2169.27万元。按支出功能分类科目分，包括：</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1.一般公共服务支出409.87万元，具体包括：</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（1）一般公共服务支出（类）商贸事务（款）行政运行（项）128.10万元,主要是行政运行等支出，完成年初预算的100%，决算数与年初预算数存在差异的主要原因是无。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（2）一般公共服务支出（类）商贸事务（款）一般行政管理事务（项）1.77万元,主要是行政管理事务等支出，完成年初预算的100%，决算数与年初预算数存在差异的主要原因是无。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（3）一般公共服务支出（类）商贸事务（款）其他商贸事务支出（项）280.00万元,主要是商贸事务支出等支出，完成年初预算的100%，决算数与年初预算数存在差异的主要原因是无。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2.社会保障和就业支出12.17万元，具体包括：</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（1）社会保障和就业支出（类）行政事业单位养老支出（款）行政单位离退休（项）0.71万元,主要是养老支出等支出，完成年初预算的100%，决算数与年初预算数存在差异的主要原因是无。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2）社会保障和就业支出（类）行政事业单位养老支出（款）机关事业单位基本养老保险缴费支出（项）11.46万元,主要是养老保险缴费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（3）社会保障和就业支出（类）行政事业单位养老支出（款）其他行政事业单位养老支出（项）0.00万元,主要是无等支出，完成年初预算的100%，决算数与年初预算数存在差异的主要原因是无。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3.卫生健康支出5.54万元，具体包括：</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（1）卫生健康支出（类）行政事业单位医疗（款）行政单位医疗（项）4.13万元,主要是单位医疗等支出，完成年初预算的100%，决算数与年初预算数存在差异的主要原因是无。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（2）卫生健康支出（类）行政事业单位医疗（款）公务员医疗补助（项）1.16万元,主要是公务员医疗补助等支出，完成年初预算的100%，决算数与年初预算数存在差异的主要原因是无。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（3）卫生健康支出（类）行政事业单位医疗（款）其他行政事业单位医疗支出（项）0.25万元,主要是医疗支出等支出，完成年初预算的100%，决算数与年初预算数存在差异的主要原因是无。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4.资源勘探工业信息等支出500.00万元，具体包括：</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1）资源勘探工业信息等支出（类）其他资源勘探工业信息等支出（款）其他资源勘探工业信息等支出（项）500.00万元,主要是对企业的补助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5.商业服务业等支出1229.13万元，具体包括：</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（1）商业服务业等支出（类）商业流通事务（款）其他商业流通事务支出（项）1141.12万元,主要是对企业的补助等支出，完成年初预算的100%，决算数与年初预算数存在差异的主要原因是无。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（2）商业服务业等支出（类）涉外发展服务支出（款）其他涉外发展服务支出（项）88.01万元,主要是对企业的补助等支出，完成年初预算的100%，决算数与年初预算数存在差异的主要原因是无。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6.住房保障支出12.56万元，具体包括：</w:t>
      </w:r>
    </w:p>
    <w:p>
      <w:pPr>
        <w:topLinePunct/>
        <w:spacing w:line="540" w:lineRule="exact"/>
        <w:ind w:firstLine="658"/>
        <w:rPr>
          <w:rFonts w:ascii="仿宋_GB2312" w:eastAsia="仿宋_GB2312" w:cs="仿宋_GB2312"/>
          <w:sz w:val="32"/>
          <w:szCs w:val="32"/>
        </w:rPr>
      </w:pPr>
      <w:r w:rsidR="00810D37">
        <w:rPr>
          <w:rFonts w:ascii="仿宋_GB2312" w:eastAsia="仿宋_GB2312" w:cs="仿宋_GB2312"/>
          <w:sz w:val="32"/>
          <w:szCs w:val="32"/>
        </w:rPr>
        <w:t xml:space="preserve">（1）住房保障支出（类）住房改革支出（款）住房公积金（项）12.56万元,主要是住房公积金等支出，完成年初预算的100%，决算数与年初预算数存在差异的主要原因是无。</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topLinePunct/>
        <w:spacing w:line="540" w:lineRule="exact"/>
        <w:ind w:firstLine="640" w:firstLineChars="200"/>
        <w:rPr>
          <w:rFonts w:ascii="仿宋_GB2312" w:eastAsia="仿宋_GB2312" w:cs="仿宋_GB2312"/>
          <w:sz w:val="32"/>
          <w:szCs w:val="32"/>
        </w:rPr>
      </w:pPr>
      <w:r>
        <w:rPr>
          <w:rFonts w:ascii="仿宋_GB2312" w:eastAsia="仿宋_GB2312" w:hAnsi="宋体" w:hint="eastAsia"/>
          <w:sz w:val="32"/>
          <w:szCs w:val="32"/>
        </w:rPr>
        <w:t xml:space="preserve">1.因公出国（境）费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2023年因公出国（境）费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2.公务接待费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w:t>
      </w:r>
      <w:r>
        <w:rPr>
          <w:rFonts w:ascii="仿宋_GB2312" w:eastAsia="仿宋_GB2312" w:hAnsi="宋体" w:hint="eastAsia"/>
          <w:sz w:val="32"/>
          <w:szCs w:val="32"/>
        </w:rPr>
        <w:t xml:space="preserve">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158.36</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148.01</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 xml:space="preserve">10.35</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10.35</w:t>
      </w:r>
      <w:r>
        <w:rPr>
          <w:rFonts w:ascii="仿宋_GB2312" w:eastAsia="仿宋_GB2312" w:hAnsi="黑体" w:hint="eastAsia"/>
          <w:sz w:val="32"/>
          <w:szCs w:val="32"/>
        </w:rPr>
        <w:t xml:space="preserve">万元（与部门决算中</w:t>
      </w:r>
      <w:r>
        <w:rPr>
          <w:rFonts w:ascii="仿宋_GB2312" w:eastAsia="仿宋_GB2312" w:hAnsi="黑体" w:hint="eastAsia"/>
          <w:sz w:val="32"/>
          <w:szCs w:val="32"/>
        </w:rPr>
        <w:t xml:space="preserve">行政单位和参照公务员法管理事业单位财政拨款基本支出中公用经费之和一致），</w:t>
      </w:r>
      <w:r>
        <w:rPr>
          <w:rFonts w:ascii="仿宋_GB2312" w:eastAsia="仿宋_GB2312" w:hAnsi="宋体" w:hint="eastAsia"/>
          <w:sz w:val="32"/>
          <w:szCs w:val="32"/>
        </w:rPr>
        <w:t xml:space="preserve">比上年减少0.75万元，降低6.76%</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节约开支</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1.26</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1.26</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100</w:t>
      </w:r>
      <w:r>
        <w:rPr>
          <w:rFonts w:ascii="仿宋_GB2312" w:eastAsia="仿宋_GB2312" w:hint="eastAsia"/>
          <w:sz w:val="32"/>
          <w:szCs w:val="32"/>
        </w:rPr>
        <w:t xml:space="preserve">%；工程采购授予中小企业</w:t>
      </w:r>
      <w:r>
        <w:rPr>
          <w:rFonts w:ascii="仿宋_GB2312" w:eastAsia="仿宋_GB2312" w:hint="eastAsia"/>
          <w:sz w:val="32"/>
          <w:szCs w:val="32"/>
        </w:rPr>
        <w:t xml:space="preserve">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rPr/>
      </w:pPr>
      <w:r>
        <w:rPr>
          <w:rFonts w:ascii="楷体_GB2312" w:eastAsia="楷体_GB2312" w:hAnsi="宋体" w:cs="楷体_GB2312"/>
          <w:b/>
          <w:sz w:val="32"/>
          <w:szCs w:val="32"/>
        </w:rPr>
        <w:t xml:space="preserve">（四）预算绩效情况。</w:t>
      </w:r>
    </w:p>
    <w:p>
      <w:pPr>
        <w:widowControl/>
        <w:spacing w:line="520" w:lineRule="exact"/>
        <w:ind w:firstLine="640" w:firstLineChars="200"/>
        <w:rPr>
          <w:rFonts w:ascii="仿宋_GB2312"/>
          <w:b/>
          <w:bCs/>
          <w:sz w:val="32"/>
          <w:szCs w:val="32"/>
        </w:rPr>
        <w:sectPr>
          <w:footerReference w:type="default" r:id="rId7"/>
          <w:pgSz w:w="11906" w:h="16838" w:orient="portrait"/>
          <w:pgMar w:top="1701" w:right="1417" w:bottom="567" w:left="1417" w:header="851" w:footer="992" w:gutter="0"/>
          <w:pgNumType w:start="1"/>
          <w:cols w:num="1" w:space="720">
            <w:col w:w="9072" w:space="720"/>
          </w:cols>
          <w:docGrid w:type="lines" w:linePitch="312"/>
        </w:sectPr>
      </w:pPr>
      <w:r>
        <w:rPr>
          <w:rFonts w:ascii="仿宋_GB2312" w:eastAsia="仿宋_GB2312" w:hAnsi="宋体" w:cs="仿宋_GB2312" w:hint="eastAsia"/>
          <w:kern w:val="0"/>
          <w:sz w:val="32"/>
          <w:szCs w:val="32"/>
        </w:rPr>
        <w:t xml:space="preserve">1.部门整体绩效自评情况</w:t>
        <w:br/>
        <w:t xml:space="preserve">    根据预算绩效管理要求，盘锦市兴隆台区商务局组织开展部门（单位）整体绩效自评工作，涉及资金363.1万元，其中财政拨款资金363.1万元，自评得分100分。</w:t>
        <w:br/>
        <w:t xml:space="preserve">    详见附件《部门（单位）整体绩效自评表》。</w:t>
        <w:br/>
        <w:t xml:space="preserve">    2.项目绩效自评情况</w:t>
        <w:br/>
        <w:t xml:space="preserve">    2023年度，盘锦市兴隆台区商务局对本部门（单位）2个项目开展项目绩效自评工作，涉及资金XX万元，其中财政拨款资金81.77万元，自评覆盖率达到100%，自评平均分59分。</w:t>
        <w:br/>
        <w:t xml:space="preserve">    详见附件《预算项目（政策）绩效自评表》。</w:t>
        <w:br/>
        <w:t xml:space="preserve">    3.部门重点评价情况</w:t>
        <w:br/>
        <w:t xml:space="preserve">    2023年度，盘锦市兴隆台区商务局未开展部门重点评价工作。</w:t>
        <w:br/>
        <w:t xml:space="preserve">    4.财政重点评价情况</w:t>
        <w:br/>
        <w:t xml:space="preserve">    2023年度，兴隆台区财政局未对盘锦市兴隆台区商务局的项目开展财政重点评价工作。</w:t>
      </w:r>
    </w:p>
    <w:p>
      <w:pPr>
        <w:spacing w:line="540" w:lineRule="exact"/>
        <w:jc w:val="center"/>
        <w:rPr>
          <w:rFonts w:ascii="宋体" w:hAnsi="宋体"/>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0" w:firstLineChars="200"/>
        <w:rPr>
          <w:rFonts w:ascii="仿宋_GB2312" w:eastAsia="仿宋_GB2312"/>
          <w:sz w:val="32"/>
          <w:szCs w:val="32"/>
        </w:rPr>
      </w:pPr>
      <w:r>
        <w:rPr>
          <w:rFonts w:ascii="仿宋_GB2312" w:eastAsia="仿宋_GB2312" w:hint="eastAsia"/>
          <w:bCs/>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0" w:firstLineChars="200"/>
        <w:rPr>
          <w:rFonts w:ascii="仿宋_GB2312" w:eastAsia="仿宋_GB2312"/>
          <w:sz w:val="32"/>
          <w:szCs w:val="32"/>
        </w:rPr>
      </w:pPr>
      <w:r>
        <w:rPr>
          <w:rFonts w:ascii="仿宋_GB2312" w:eastAsia="仿宋_GB2312" w:hint="eastAsia"/>
          <w:bCs/>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3.事业收入：指事业单位开展专业业务活动及辅助活动所取得的收入。</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4.经营收入：指事业单位在专业业务活动及辅助活动之外开展非独立核算经营活动取得的收入。</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5.附属单位上缴收入：指单位附属的独立核算单位按照规定上缴的收入。</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6.其他收入：指除上述“财政拨款收入”、“上级补助收入”、“事业收入”、“经营收入”、“附属单位上缴收入”等以外的收入。</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7.使用非财政拨款结余：指事业单位按照预算管理要求使用非财政拨款结余弥补收支差额的金额。</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8.上年结转和结余：指以前年度尚未完成、结转到本年按有关规定继续使用的资金。</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9.基本支出：指保障机构正常运转、完成日常工作任务而发生的人员支出和公用支出。</w:t>
      </w:r>
    </w:p>
    <w:p>
      <w:pPr>
        <w:spacing w:line="540" w:lineRule="exact"/>
        <w:ind w:firstLine="640" w:firstLineChars="200"/>
        <w:rPr>
          <w:rFonts w:ascii="仿宋_GB2312" w:eastAsia="仿宋_GB2312"/>
          <w:bCs/>
          <w:sz w:val="32"/>
          <w:szCs w:val="32"/>
        </w:rPr>
        <w:sectPr>
          <w:pgSz w:w="11906" w:h="16838" w:orient="portrait"/>
          <w:pgMar w:top="1701" w:right="1418" w:bottom="1701" w:left="1418" w:header="851" w:footer="992" w:gutter="0"/>
          <w:cols w:num="1" w:space="720">
            <w:col w:w="9070" w:space="720"/>
          </w:cols>
          <w:docGrid w:type="lines" w:linePitch="312"/>
        </w:sectPr>
      </w:pPr>
      <w:r>
        <w:rPr>
          <w:rFonts w:ascii="仿宋_GB2312" w:eastAsia="仿宋_GB2312" w:hint="eastAsia"/>
          <w:bCs/>
          <w:sz w:val="32"/>
          <w:szCs w:val="32"/>
        </w:rPr>
        <w:t xml:space="preserve">10.项目支出：指在基本支出之外为完成特定行政任务和事业</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发展目标所发生的支出。</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11.上缴上级支出：指事业单位按照财政部门和主管部门的规定上缴上级单位的支出。</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12.经营支出：指事业单位在专业活动及辅助活动之外开展非独立核算经营活动发生的支出。</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13.对附属单位补助支出：指事业单位用财政补助收入之外的收入对附属单位补助发生的支出。</w:t>
      </w:r>
    </w:p>
    <w:p>
      <w:pPr>
        <w:spacing w:line="540" w:lineRule="exact"/>
        <w:ind w:firstLine="640" w:firstLineChars="200"/>
        <w:rPr>
          <w:rFonts w:ascii="仿宋_GB2312" w:eastAsia="仿宋_GB2312"/>
          <w:bCs/>
          <w:sz w:val="32"/>
          <w:szCs w:val="32"/>
        </w:rPr>
      </w:pPr>
      <w:r>
        <w:rPr>
          <w:rFonts w:ascii="仿宋_GB2312" w:eastAsia="仿宋_GB2312" w:hint="eastAsia"/>
          <w:bCs/>
          <w:sz w:val="32"/>
          <w:szCs w:val="32"/>
        </w:rPr>
        <w:t xml:space="preserve">14.“三公”经费：指用一般公共预算财政拨款安排的因公出国（境）费、公务用车购置及运行费和公务接待费。其中，因公出国（境）费反映单位公务出国（境）的住宿费、</w:t>
      </w:r>
      <w:bookmarkStart w:id="0" w:name="_GoBack"/>
      <w:bookmarkEnd w:id="0"/>
      <w:r>
        <w:rPr>
          <w:rFonts w:ascii="仿宋_GB2312" w:eastAsia="仿宋_GB2312" w:hint="eastAsia"/>
          <w:bCs/>
          <w:sz w:val="32"/>
          <w:szCs w:val="32"/>
        </w:rPr>
        <w:t xml:space="preserve">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firstLine="640"/>
        <w:rPr>
          <w:rFonts w:ascii="宋体" w:hAnsi="宋体"/>
          <w:b/>
          <w:sz w:val="36"/>
          <w:szCs w:val="36"/>
        </w:rPr>
      </w:pPr>
      <w:r>
        <w:rPr>
          <w:rFonts w:ascii="仿宋_GB2312" w:eastAsia="仿宋_GB2312" w:hint="eastAsia"/>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无其他。</w:t>
      </w:r>
    </w:p>
    <w:p>
      <w:pPr>
        <w:rPr>
          <w:rFonts w:ascii="仿宋_GB2312" w:eastAsia="仿宋_GB2312" w:hAnsi="宋体" w:cs="仿宋_GB2312"/>
          <w:kern w:val="0"/>
          <w:sz w:val="32"/>
          <w:szCs w:val="32"/>
        </w:rPr>
      </w:pPr>
      <w:r>
        <w:br w:type="page"/>
      </w:r>
    </w:p>
    <w:p>
      <w:pPr>
        <w:widowControl/>
        <w:spacing w:line="520" w:lineRule="exact"/>
        <w:ind w:firstLine="640" w:firstLineChars="200"/>
        <w:rPr>
          <w:rFonts w:ascii="仿宋_GB2312" w:eastAsia="仿宋_GB2312" w:hAnsi="宋体" w:cs="仿宋_GB2312"/>
          <w:kern w:val="0"/>
          <w:sz w:val="32"/>
          <w:szCs w:val="32"/>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2,169.27</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jc w:val="right"/>
            </w:pPr>
            <w:r>
              <w:rPr>
                <w:rFonts w:ascii="宋体" w:eastAsia="宋体" w:hAnsi="宋体" w:cs="宋体"/>
                <w:b w:val="0"/>
                <w:i w:val="0"/>
                <w:color w:val="000000"/>
                <w:sz w:val="18"/>
              </w:rPr>
              <w:t xml:space="preserve">409.87</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12.17</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5.54</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jc w:val="right"/>
            </w:pPr>
            <w:r>
              <w:rPr>
                <w:rFonts w:ascii="宋体" w:eastAsia="宋体" w:hAnsi="宋体" w:cs="宋体"/>
                <w:b w:val="0"/>
                <w:i w:val="0"/>
                <w:color w:val="000000"/>
                <w:sz w:val="18"/>
              </w:rPr>
              <w:t xml:space="preserve">500.00</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jc w:val="right"/>
            </w:pPr>
            <w:r>
              <w:rPr>
                <w:rFonts w:ascii="宋体" w:eastAsia="宋体" w:hAnsi="宋体" w:cs="宋体"/>
                <w:b w:val="0"/>
                <w:i w:val="0"/>
                <w:color w:val="000000"/>
                <w:sz w:val="18"/>
              </w:rPr>
              <w:t xml:space="preserve">1,229.13</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12.56</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2,169.27</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2,169.27</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2,169.27</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2,169.27</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7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如本表为空，则我部门本年度无此类资金收支结余。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2,169.27</w:t>
            </w:r>
          </w:p>
        </w:tc>
        <w:tc>
          <w:tcPr>
            <w:tcW w:w="1160" w:type="dxa"/>
            <w:tcBorders/>
            <w:vAlign w:val="center"/>
          </w:tcPr>
          <w:p>
            <w:pPr>
              <w:jc w:val="right"/>
            </w:pPr>
            <w:r>
              <w:rPr>
                <w:rFonts w:ascii="宋体" w:eastAsia="宋体" w:hAnsi="宋体" w:cs="宋体"/>
                <w:b/>
                <w:i w:val="0"/>
                <w:color w:val="000000"/>
                <w:sz w:val="14"/>
              </w:rPr>
              <w:t xml:space="preserve">2,169.27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一般公共服务支出</w:t>
            </w:r>
          </w:p>
        </w:tc>
        <w:tc>
          <w:tcPr>
            <w:tcW w:w="1160" w:type="dxa"/>
            <w:tcBorders/>
            <w:vAlign w:val="center"/>
          </w:tcPr>
          <w:p>
            <w:pPr>
              <w:jc w:val="right"/>
            </w:pPr>
            <w:r>
              <w:rPr>
                <w:rFonts w:ascii="宋体" w:eastAsia="宋体" w:hAnsi="宋体" w:cs="宋体"/>
                <w:b w:val="0"/>
                <w:i w:val="0"/>
                <w:color w:val="000000"/>
                <w:sz w:val="14"/>
              </w:rPr>
              <w:t xml:space="preserve">409.87</w:t>
            </w:r>
          </w:p>
        </w:tc>
        <w:tc>
          <w:tcPr>
            <w:tcW w:w="1160" w:type="dxa"/>
            <w:tcBorders/>
            <w:vAlign w:val="center"/>
          </w:tcPr>
          <w:p>
            <w:pPr>
              <w:jc w:val="right"/>
            </w:pPr>
            <w:r>
              <w:rPr>
                <w:rFonts w:ascii="宋体" w:eastAsia="宋体" w:hAnsi="宋体" w:cs="宋体"/>
                <w:b w:val="0"/>
                <w:i w:val="0"/>
                <w:color w:val="000000"/>
                <w:sz w:val="14"/>
              </w:rPr>
              <w:t xml:space="preserve">409.87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20113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商贸事务</w:t>
            </w:r>
          </w:p>
        </w:tc>
        <w:tc>
          <w:tcPr>
            <w:tcW w:w="1160" w:type="dxa"/>
            <w:tcBorders/>
            <w:vAlign w:val="center"/>
          </w:tcPr>
          <w:p>
            <w:pPr>
              <w:jc w:val="right"/>
            </w:pPr>
            <w:r>
              <w:rPr>
                <w:rFonts w:ascii="宋体" w:eastAsia="宋体" w:hAnsi="宋体" w:cs="宋体"/>
                <w:b w:val="0"/>
                <w:i w:val="0"/>
                <w:color w:val="000000"/>
                <w:sz w:val="14"/>
              </w:rPr>
              <w:t xml:space="preserve">409.87</w:t>
            </w:r>
          </w:p>
        </w:tc>
        <w:tc>
          <w:tcPr>
            <w:tcW w:w="1160" w:type="dxa"/>
            <w:tcBorders/>
            <w:vAlign w:val="center"/>
          </w:tcPr>
          <w:p>
            <w:pPr>
              <w:jc w:val="right"/>
            </w:pPr>
            <w:r>
              <w:rPr>
                <w:rFonts w:ascii="宋体" w:eastAsia="宋体" w:hAnsi="宋体" w:cs="宋体"/>
                <w:b w:val="0"/>
                <w:i w:val="0"/>
                <w:color w:val="000000"/>
                <w:sz w:val="14"/>
              </w:rPr>
              <w:t xml:space="preserve">409.87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2011301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128.10</w:t>
            </w:r>
          </w:p>
        </w:tc>
        <w:tc>
          <w:tcPr>
            <w:tcW w:w="1160" w:type="dxa"/>
            <w:tcBorders/>
            <w:vAlign w:val="center"/>
          </w:tcPr>
          <w:p>
            <w:pPr>
              <w:jc w:val="right"/>
            </w:pPr>
            <w:r>
              <w:rPr>
                <w:rFonts w:ascii="宋体" w:eastAsia="宋体" w:hAnsi="宋体" w:cs="宋体"/>
                <w:b w:val="0"/>
                <w:i w:val="0"/>
                <w:color w:val="000000"/>
                <w:sz w:val="14"/>
              </w:rPr>
              <w:t xml:space="preserve">128.10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2011302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一般行政管理事务</w:t>
            </w:r>
          </w:p>
        </w:tc>
        <w:tc>
          <w:tcPr>
            <w:tcW w:w="1160" w:type="dxa"/>
            <w:tcBorders/>
            <w:vAlign w:val="center"/>
          </w:tcPr>
          <w:p>
            <w:pPr>
              <w:jc w:val="right"/>
            </w:pPr>
            <w:r>
              <w:rPr>
                <w:rFonts w:ascii="宋体" w:eastAsia="宋体" w:hAnsi="宋体" w:cs="宋体"/>
                <w:b w:val="0"/>
                <w:i w:val="0"/>
                <w:color w:val="000000"/>
                <w:sz w:val="14"/>
              </w:rPr>
              <w:t xml:space="preserve">1.77</w:t>
            </w:r>
          </w:p>
        </w:tc>
        <w:tc>
          <w:tcPr>
            <w:tcW w:w="1160" w:type="dxa"/>
            <w:tcBorders/>
            <w:vAlign w:val="center"/>
          </w:tcPr>
          <w:p>
            <w:pPr>
              <w:jc w:val="right"/>
            </w:pPr>
            <w:r>
              <w:rPr>
                <w:rFonts w:ascii="宋体" w:eastAsia="宋体" w:hAnsi="宋体" w:cs="宋体"/>
                <w:b w:val="0"/>
                <w:i w:val="0"/>
                <w:color w:val="000000"/>
                <w:sz w:val="14"/>
              </w:rPr>
              <w:t xml:space="preserve">1.77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2011399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其他商贸事务支出</w:t>
            </w:r>
          </w:p>
        </w:tc>
        <w:tc>
          <w:tcPr>
            <w:tcW w:w="1160" w:type="dxa"/>
            <w:tcBorders/>
            <w:vAlign w:val="center"/>
          </w:tcPr>
          <w:p>
            <w:pPr>
              <w:jc w:val="right"/>
            </w:pPr>
            <w:r>
              <w:rPr>
                <w:rFonts w:ascii="宋体" w:eastAsia="宋体" w:hAnsi="宋体" w:cs="宋体"/>
                <w:b w:val="0"/>
                <w:i w:val="0"/>
                <w:color w:val="000000"/>
                <w:sz w:val="14"/>
              </w:rPr>
              <w:t xml:space="preserve">280.00</w:t>
            </w:r>
          </w:p>
        </w:tc>
        <w:tc>
          <w:tcPr>
            <w:tcW w:w="1160" w:type="dxa"/>
            <w:tcBorders/>
            <w:vAlign w:val="center"/>
          </w:tcPr>
          <w:p>
            <w:pPr>
              <w:jc w:val="right"/>
            </w:pPr>
            <w:r>
              <w:rPr>
                <w:rFonts w:ascii="宋体" w:eastAsia="宋体" w:hAnsi="宋体" w:cs="宋体"/>
                <w:b w:val="0"/>
                <w:i w:val="0"/>
                <w:color w:val="000000"/>
                <w:sz w:val="14"/>
              </w:rPr>
              <w:t xml:space="preserve">280.00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12.17</w:t>
            </w:r>
          </w:p>
        </w:tc>
        <w:tc>
          <w:tcPr>
            <w:tcW w:w="1160" w:type="dxa"/>
            <w:tcBorders/>
            <w:vAlign w:val="center"/>
          </w:tcPr>
          <w:p>
            <w:pPr>
              <w:jc w:val="right"/>
            </w:pPr>
            <w:r>
              <w:rPr>
                <w:rFonts w:ascii="宋体" w:eastAsia="宋体" w:hAnsi="宋体" w:cs="宋体"/>
                <w:b w:val="0"/>
                <w:i w:val="0"/>
                <w:color w:val="000000"/>
                <w:sz w:val="14"/>
              </w:rPr>
              <w:t xml:space="preserve">12.17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12.17</w:t>
            </w:r>
          </w:p>
        </w:tc>
        <w:tc>
          <w:tcPr>
            <w:tcW w:w="1160" w:type="dxa"/>
            <w:tcBorders/>
            <w:vAlign w:val="center"/>
          </w:tcPr>
          <w:p>
            <w:pPr>
              <w:jc w:val="right"/>
            </w:pPr>
            <w:r>
              <w:rPr>
                <w:rFonts w:ascii="宋体" w:eastAsia="宋体" w:hAnsi="宋体" w:cs="宋体"/>
                <w:b w:val="0"/>
                <w:i w:val="0"/>
                <w:color w:val="000000"/>
                <w:sz w:val="14"/>
              </w:rPr>
              <w:t xml:space="preserve">12.17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行政单位离退休</w:t>
            </w:r>
          </w:p>
        </w:tc>
        <w:tc>
          <w:tcPr>
            <w:tcW w:w="1160" w:type="dxa"/>
            <w:tcBorders/>
            <w:vAlign w:val="center"/>
          </w:tcPr>
          <w:p>
            <w:pPr>
              <w:jc w:val="right"/>
            </w:pPr>
            <w:r>
              <w:rPr>
                <w:rFonts w:ascii="宋体" w:eastAsia="宋体" w:hAnsi="宋体" w:cs="宋体"/>
                <w:b w:val="0"/>
                <w:i w:val="0"/>
                <w:color w:val="000000"/>
                <w:sz w:val="14"/>
              </w:rPr>
              <w:t xml:space="preserve">0.71</w:t>
            </w:r>
          </w:p>
        </w:tc>
        <w:tc>
          <w:tcPr>
            <w:tcW w:w="1160" w:type="dxa"/>
            <w:tcBorders/>
            <w:vAlign w:val="center"/>
          </w:tcPr>
          <w:p>
            <w:pPr>
              <w:jc w:val="right"/>
            </w:pPr>
            <w:r>
              <w:rPr>
                <w:rFonts w:ascii="宋体" w:eastAsia="宋体" w:hAnsi="宋体" w:cs="宋体"/>
                <w:b w:val="0"/>
                <w:i w:val="0"/>
                <w:color w:val="000000"/>
                <w:sz w:val="14"/>
              </w:rPr>
              <w:t xml:space="preserve">0.71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11.46</w:t>
            </w:r>
          </w:p>
        </w:tc>
        <w:tc>
          <w:tcPr>
            <w:tcW w:w="1160" w:type="dxa"/>
            <w:tcBorders/>
            <w:vAlign w:val="center"/>
          </w:tcPr>
          <w:p>
            <w:pPr>
              <w:jc w:val="right"/>
            </w:pPr>
            <w:r>
              <w:rPr>
                <w:rFonts w:ascii="宋体" w:eastAsia="宋体" w:hAnsi="宋体" w:cs="宋体"/>
                <w:b w:val="0"/>
                <w:i w:val="0"/>
                <w:color w:val="000000"/>
                <w:sz w:val="14"/>
              </w:rPr>
              <w:t xml:space="preserve">11.46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5.54</w:t>
            </w:r>
          </w:p>
        </w:tc>
        <w:tc>
          <w:tcPr>
            <w:tcW w:w="1160" w:type="dxa"/>
            <w:tcBorders/>
            <w:vAlign w:val="center"/>
          </w:tcPr>
          <w:p>
            <w:pPr>
              <w:jc w:val="right"/>
            </w:pPr>
            <w:r>
              <w:rPr>
                <w:rFonts w:ascii="宋体" w:eastAsia="宋体" w:hAnsi="宋体" w:cs="宋体"/>
                <w:b w:val="0"/>
                <w:i w:val="0"/>
                <w:color w:val="000000"/>
                <w:sz w:val="14"/>
              </w:rPr>
              <w:t xml:space="preserve">5.54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5.54</w:t>
            </w:r>
          </w:p>
        </w:tc>
        <w:tc>
          <w:tcPr>
            <w:tcW w:w="1160" w:type="dxa"/>
            <w:tcBorders/>
            <w:vAlign w:val="center"/>
          </w:tcPr>
          <w:p>
            <w:pPr>
              <w:jc w:val="right"/>
            </w:pPr>
            <w:r>
              <w:rPr>
                <w:rFonts w:ascii="宋体" w:eastAsia="宋体" w:hAnsi="宋体" w:cs="宋体"/>
                <w:b w:val="0"/>
                <w:i w:val="0"/>
                <w:color w:val="000000"/>
                <w:sz w:val="14"/>
              </w:rPr>
              <w:t xml:space="preserve">5.54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行政单位医疗</w:t>
            </w:r>
          </w:p>
        </w:tc>
        <w:tc>
          <w:tcPr>
            <w:tcW w:w="1160" w:type="dxa"/>
            <w:tcBorders/>
            <w:vAlign w:val="center"/>
          </w:tcPr>
          <w:p>
            <w:pPr>
              <w:jc w:val="right"/>
            </w:pPr>
            <w:r>
              <w:rPr>
                <w:rFonts w:ascii="宋体" w:eastAsia="宋体" w:hAnsi="宋体" w:cs="宋体"/>
                <w:b w:val="0"/>
                <w:i w:val="0"/>
                <w:color w:val="000000"/>
                <w:sz w:val="14"/>
              </w:rPr>
              <w:t xml:space="preserve">4.13</w:t>
            </w:r>
          </w:p>
        </w:tc>
        <w:tc>
          <w:tcPr>
            <w:tcW w:w="1160" w:type="dxa"/>
            <w:tcBorders/>
            <w:vAlign w:val="center"/>
          </w:tcPr>
          <w:p>
            <w:pPr>
              <w:jc w:val="right"/>
            </w:pPr>
            <w:r>
              <w:rPr>
                <w:rFonts w:ascii="宋体" w:eastAsia="宋体" w:hAnsi="宋体" w:cs="宋体"/>
                <w:b w:val="0"/>
                <w:i w:val="0"/>
                <w:color w:val="000000"/>
                <w:sz w:val="14"/>
              </w:rPr>
              <w:t xml:space="preserve">4.13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公务员医疗补助</w:t>
            </w:r>
          </w:p>
        </w:tc>
        <w:tc>
          <w:tcPr>
            <w:tcW w:w="1160" w:type="dxa"/>
            <w:tcBorders/>
            <w:vAlign w:val="center"/>
          </w:tcPr>
          <w:p>
            <w:pPr>
              <w:jc w:val="right"/>
            </w:pPr>
            <w:r>
              <w:rPr>
                <w:rFonts w:ascii="宋体" w:eastAsia="宋体" w:hAnsi="宋体" w:cs="宋体"/>
                <w:b w:val="0"/>
                <w:i w:val="0"/>
                <w:color w:val="000000"/>
                <w:sz w:val="14"/>
              </w:rPr>
              <w:t xml:space="preserve">1.16</w:t>
            </w:r>
          </w:p>
        </w:tc>
        <w:tc>
          <w:tcPr>
            <w:tcW w:w="1160" w:type="dxa"/>
            <w:tcBorders/>
            <w:vAlign w:val="center"/>
          </w:tcPr>
          <w:p>
            <w:pPr>
              <w:jc w:val="right"/>
            </w:pPr>
            <w:r>
              <w:rPr>
                <w:rFonts w:ascii="宋体" w:eastAsia="宋体" w:hAnsi="宋体" w:cs="宋体"/>
                <w:b w:val="0"/>
                <w:i w:val="0"/>
                <w:color w:val="000000"/>
                <w:sz w:val="14"/>
              </w:rPr>
              <w:t xml:space="preserve">1.16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其他行政事业单位医疗支出</w:t>
            </w:r>
          </w:p>
        </w:tc>
        <w:tc>
          <w:tcPr>
            <w:tcW w:w="1160" w:type="dxa"/>
            <w:tcBorders/>
            <w:vAlign w:val="center"/>
          </w:tcPr>
          <w:p>
            <w:pPr>
              <w:jc w:val="right"/>
            </w:pPr>
            <w:r>
              <w:rPr>
                <w:rFonts w:ascii="宋体" w:eastAsia="宋体" w:hAnsi="宋体" w:cs="宋体"/>
                <w:b w:val="0"/>
                <w:i w:val="0"/>
                <w:color w:val="000000"/>
                <w:sz w:val="14"/>
              </w:rPr>
              <w:t xml:space="preserve">0.25</w:t>
            </w:r>
          </w:p>
        </w:tc>
        <w:tc>
          <w:tcPr>
            <w:tcW w:w="1160" w:type="dxa"/>
            <w:tcBorders/>
            <w:vAlign w:val="center"/>
          </w:tcPr>
          <w:p>
            <w:pPr>
              <w:jc w:val="right"/>
            </w:pPr>
            <w:r>
              <w:rPr>
                <w:rFonts w:ascii="宋体" w:eastAsia="宋体" w:hAnsi="宋体" w:cs="宋体"/>
                <w:b w:val="0"/>
                <w:i w:val="0"/>
                <w:color w:val="000000"/>
                <w:sz w:val="14"/>
              </w:rPr>
              <w:t xml:space="preserve">0.25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资源勘探工业信息等支出</w:t>
            </w:r>
          </w:p>
        </w:tc>
        <w:tc>
          <w:tcPr>
            <w:tcW w:w="1160" w:type="dxa"/>
            <w:tcBorders/>
            <w:vAlign w:val="center"/>
          </w:tcPr>
          <w:p>
            <w:pPr>
              <w:jc w:val="right"/>
            </w:pPr>
            <w:r>
              <w:rPr>
                <w:rFonts w:ascii="宋体" w:eastAsia="宋体" w:hAnsi="宋体" w:cs="宋体"/>
                <w:b w:val="0"/>
                <w:i w:val="0"/>
                <w:color w:val="000000"/>
                <w:sz w:val="14"/>
              </w:rPr>
              <w:t xml:space="preserve">500.00</w:t>
            </w:r>
          </w:p>
        </w:tc>
        <w:tc>
          <w:tcPr>
            <w:tcW w:w="1160" w:type="dxa"/>
            <w:tcBorders/>
            <w:vAlign w:val="center"/>
          </w:tcPr>
          <w:p>
            <w:pPr>
              <w:jc w:val="right"/>
            </w:pPr>
            <w:r>
              <w:rPr>
                <w:rFonts w:ascii="宋体" w:eastAsia="宋体" w:hAnsi="宋体" w:cs="宋体"/>
                <w:b w:val="0"/>
                <w:i w:val="0"/>
                <w:color w:val="000000"/>
                <w:sz w:val="14"/>
              </w:rPr>
              <w:t xml:space="preserve">500.00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21599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其他资源勘探工业信息等支出</w:t>
            </w:r>
          </w:p>
        </w:tc>
        <w:tc>
          <w:tcPr>
            <w:tcW w:w="1160" w:type="dxa"/>
            <w:tcBorders/>
            <w:vAlign w:val="center"/>
          </w:tcPr>
          <w:p>
            <w:pPr>
              <w:jc w:val="right"/>
            </w:pPr>
            <w:r>
              <w:rPr>
                <w:rFonts w:ascii="宋体" w:eastAsia="宋体" w:hAnsi="宋体" w:cs="宋体"/>
                <w:b w:val="0"/>
                <w:i w:val="0"/>
                <w:color w:val="000000"/>
                <w:sz w:val="14"/>
              </w:rPr>
              <w:t xml:space="preserve">500.00</w:t>
            </w:r>
          </w:p>
        </w:tc>
        <w:tc>
          <w:tcPr>
            <w:tcW w:w="1160" w:type="dxa"/>
            <w:tcBorders/>
            <w:vAlign w:val="center"/>
          </w:tcPr>
          <w:p>
            <w:pPr>
              <w:jc w:val="right"/>
            </w:pPr>
            <w:r>
              <w:rPr>
                <w:rFonts w:ascii="宋体" w:eastAsia="宋体" w:hAnsi="宋体" w:cs="宋体"/>
                <w:b w:val="0"/>
                <w:i w:val="0"/>
                <w:color w:val="000000"/>
                <w:sz w:val="14"/>
              </w:rPr>
              <w:t xml:space="preserve">500.00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2159999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其他资源勘探工业信息等支出</w:t>
            </w:r>
          </w:p>
        </w:tc>
        <w:tc>
          <w:tcPr>
            <w:tcW w:w="1160" w:type="dxa"/>
            <w:tcBorders/>
            <w:vAlign w:val="center"/>
          </w:tcPr>
          <w:p>
            <w:pPr>
              <w:jc w:val="right"/>
            </w:pPr>
            <w:r>
              <w:rPr>
                <w:rFonts w:ascii="宋体" w:eastAsia="宋体" w:hAnsi="宋体" w:cs="宋体"/>
                <w:b w:val="0"/>
                <w:i w:val="0"/>
                <w:color w:val="000000"/>
                <w:sz w:val="14"/>
              </w:rPr>
              <w:t xml:space="preserve">500.00</w:t>
            </w:r>
          </w:p>
        </w:tc>
        <w:tc>
          <w:tcPr>
            <w:tcW w:w="1160" w:type="dxa"/>
            <w:tcBorders/>
            <w:vAlign w:val="center"/>
          </w:tcPr>
          <w:p>
            <w:pPr>
              <w:jc w:val="right"/>
            </w:pPr>
            <w:r>
              <w:rPr>
                <w:rFonts w:ascii="宋体" w:eastAsia="宋体" w:hAnsi="宋体" w:cs="宋体"/>
                <w:b w:val="0"/>
                <w:i w:val="0"/>
                <w:color w:val="000000"/>
                <w:sz w:val="14"/>
              </w:rPr>
              <w:t xml:space="preserve">500.00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216</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商业服务业等支出</w:t>
            </w:r>
          </w:p>
        </w:tc>
        <w:tc>
          <w:tcPr>
            <w:tcW w:w="1160" w:type="dxa"/>
            <w:tcBorders/>
            <w:vAlign w:val="center"/>
          </w:tcPr>
          <w:p>
            <w:pPr>
              <w:jc w:val="right"/>
            </w:pPr>
            <w:r>
              <w:rPr>
                <w:rFonts w:ascii="宋体" w:eastAsia="宋体" w:hAnsi="宋体" w:cs="宋体"/>
                <w:b w:val="0"/>
                <w:i w:val="0"/>
                <w:color w:val="000000"/>
                <w:sz w:val="14"/>
              </w:rPr>
              <w:t xml:space="preserve">1,229.13</w:t>
            </w:r>
          </w:p>
        </w:tc>
        <w:tc>
          <w:tcPr>
            <w:tcW w:w="1160" w:type="dxa"/>
            <w:tcBorders/>
            <w:vAlign w:val="center"/>
          </w:tcPr>
          <w:p>
            <w:pPr>
              <w:jc w:val="right"/>
            </w:pPr>
            <w:r>
              <w:rPr>
                <w:rFonts w:ascii="宋体" w:eastAsia="宋体" w:hAnsi="宋体" w:cs="宋体"/>
                <w:b w:val="0"/>
                <w:i w:val="0"/>
                <w:color w:val="000000"/>
                <w:sz w:val="14"/>
              </w:rPr>
              <w:t xml:space="preserve">1,229.13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21602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商业流通事务</w:t>
            </w:r>
          </w:p>
        </w:tc>
        <w:tc>
          <w:tcPr>
            <w:tcW w:w="1160" w:type="dxa"/>
            <w:tcBorders/>
            <w:vAlign w:val="center"/>
          </w:tcPr>
          <w:p>
            <w:pPr>
              <w:jc w:val="right"/>
            </w:pPr>
            <w:r>
              <w:rPr>
                <w:rFonts w:ascii="宋体" w:eastAsia="宋体" w:hAnsi="宋体" w:cs="宋体"/>
                <w:b w:val="0"/>
                <w:i w:val="0"/>
                <w:color w:val="000000"/>
                <w:sz w:val="14"/>
              </w:rPr>
              <w:t xml:space="preserve">1,141.12</w:t>
            </w:r>
          </w:p>
        </w:tc>
        <w:tc>
          <w:tcPr>
            <w:tcW w:w="1160" w:type="dxa"/>
            <w:tcBorders/>
            <w:vAlign w:val="center"/>
          </w:tcPr>
          <w:p>
            <w:pPr>
              <w:jc w:val="right"/>
            </w:pPr>
            <w:r>
              <w:rPr>
                <w:rFonts w:ascii="宋体" w:eastAsia="宋体" w:hAnsi="宋体" w:cs="宋体"/>
                <w:b w:val="0"/>
                <w:i w:val="0"/>
                <w:color w:val="000000"/>
                <w:sz w:val="14"/>
              </w:rPr>
              <w:t xml:space="preserve">1,141.12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2160299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其他商业流通事务支出</w:t>
            </w:r>
          </w:p>
        </w:tc>
        <w:tc>
          <w:tcPr>
            <w:tcW w:w="1160" w:type="dxa"/>
            <w:tcBorders/>
            <w:vAlign w:val="center"/>
          </w:tcPr>
          <w:p>
            <w:pPr>
              <w:jc w:val="right"/>
            </w:pPr>
            <w:r>
              <w:rPr>
                <w:rFonts w:ascii="宋体" w:eastAsia="宋体" w:hAnsi="宋体" w:cs="宋体"/>
                <w:b w:val="0"/>
                <w:i w:val="0"/>
                <w:color w:val="000000"/>
                <w:sz w:val="14"/>
              </w:rPr>
              <w:t xml:space="preserve">1,141.12</w:t>
            </w:r>
          </w:p>
        </w:tc>
        <w:tc>
          <w:tcPr>
            <w:tcW w:w="1160" w:type="dxa"/>
            <w:tcBorders/>
            <w:vAlign w:val="center"/>
          </w:tcPr>
          <w:p>
            <w:pPr>
              <w:jc w:val="right"/>
            </w:pPr>
            <w:r>
              <w:rPr>
                <w:rFonts w:ascii="宋体" w:eastAsia="宋体" w:hAnsi="宋体" w:cs="宋体"/>
                <w:b w:val="0"/>
                <w:i w:val="0"/>
                <w:color w:val="000000"/>
                <w:sz w:val="14"/>
              </w:rPr>
              <w:t xml:space="preserve">1,141.12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21606</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涉外发展服务支出</w:t>
            </w:r>
          </w:p>
        </w:tc>
        <w:tc>
          <w:tcPr>
            <w:tcW w:w="1160" w:type="dxa"/>
            <w:tcBorders/>
            <w:vAlign w:val="center"/>
          </w:tcPr>
          <w:p>
            <w:pPr>
              <w:jc w:val="right"/>
            </w:pPr>
            <w:r>
              <w:rPr>
                <w:rFonts w:ascii="宋体" w:eastAsia="宋体" w:hAnsi="宋体" w:cs="宋体"/>
                <w:b w:val="0"/>
                <w:i w:val="0"/>
                <w:color w:val="000000"/>
                <w:sz w:val="14"/>
              </w:rPr>
              <w:t xml:space="preserve">88.01</w:t>
            </w:r>
          </w:p>
        </w:tc>
        <w:tc>
          <w:tcPr>
            <w:tcW w:w="1160" w:type="dxa"/>
            <w:tcBorders/>
            <w:vAlign w:val="center"/>
          </w:tcPr>
          <w:p>
            <w:pPr>
              <w:jc w:val="right"/>
            </w:pPr>
            <w:r>
              <w:rPr>
                <w:rFonts w:ascii="宋体" w:eastAsia="宋体" w:hAnsi="宋体" w:cs="宋体"/>
                <w:b w:val="0"/>
                <w:i w:val="0"/>
                <w:color w:val="000000"/>
                <w:sz w:val="14"/>
              </w:rPr>
              <w:t xml:space="preserve">88.01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2160699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其他涉外发展服务支出</w:t>
            </w:r>
          </w:p>
        </w:tc>
        <w:tc>
          <w:tcPr>
            <w:tcW w:w="1160" w:type="dxa"/>
            <w:tcBorders/>
            <w:vAlign w:val="center"/>
          </w:tcPr>
          <w:p>
            <w:pPr>
              <w:jc w:val="right"/>
            </w:pPr>
            <w:r>
              <w:rPr>
                <w:rFonts w:ascii="宋体" w:eastAsia="宋体" w:hAnsi="宋体" w:cs="宋体"/>
                <w:b w:val="0"/>
                <w:i w:val="0"/>
                <w:color w:val="000000"/>
                <w:sz w:val="14"/>
              </w:rPr>
              <w:t xml:space="preserve">88.01</w:t>
            </w:r>
          </w:p>
        </w:tc>
        <w:tc>
          <w:tcPr>
            <w:tcW w:w="1160" w:type="dxa"/>
            <w:tcBorders/>
            <w:vAlign w:val="center"/>
          </w:tcPr>
          <w:p>
            <w:pPr>
              <w:jc w:val="right"/>
            </w:pPr>
            <w:r>
              <w:rPr>
                <w:rFonts w:ascii="宋体" w:eastAsia="宋体" w:hAnsi="宋体" w:cs="宋体"/>
                <w:b w:val="0"/>
                <w:i w:val="0"/>
                <w:color w:val="000000"/>
                <w:sz w:val="14"/>
              </w:rPr>
              <w:t xml:space="preserve">88.01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12.56</w:t>
            </w:r>
          </w:p>
        </w:tc>
        <w:tc>
          <w:tcPr>
            <w:tcW w:w="1160" w:type="dxa"/>
            <w:tcBorders/>
            <w:vAlign w:val="center"/>
          </w:tcPr>
          <w:p>
            <w:pPr>
              <w:jc w:val="right"/>
            </w:pPr>
            <w:r>
              <w:rPr>
                <w:rFonts w:ascii="宋体" w:eastAsia="宋体" w:hAnsi="宋体" w:cs="宋体"/>
                <w:b w:val="0"/>
                <w:i w:val="0"/>
                <w:color w:val="000000"/>
                <w:sz w:val="14"/>
              </w:rPr>
              <w:t xml:space="preserve">12.56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12.56</w:t>
            </w:r>
          </w:p>
        </w:tc>
        <w:tc>
          <w:tcPr>
            <w:tcW w:w="1160" w:type="dxa"/>
            <w:tcBorders/>
            <w:vAlign w:val="center"/>
          </w:tcPr>
          <w:p>
            <w:pPr>
              <w:jc w:val="right"/>
            </w:pPr>
            <w:r>
              <w:rPr>
                <w:rFonts w:ascii="宋体" w:eastAsia="宋体" w:hAnsi="宋体" w:cs="宋体"/>
                <w:b w:val="0"/>
                <w:i w:val="0"/>
                <w:color w:val="000000"/>
                <w:sz w:val="14"/>
              </w:rPr>
              <w:t xml:space="preserve">12.56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12.56</w:t>
            </w:r>
          </w:p>
        </w:tc>
        <w:tc>
          <w:tcPr>
            <w:tcW w:w="1160" w:type="dxa"/>
            <w:tcBorders/>
            <w:vAlign w:val="center"/>
          </w:tcPr>
          <w:p>
            <w:pPr>
              <w:jc w:val="right"/>
            </w:pPr>
            <w:r>
              <w:rPr>
                <w:rFonts w:ascii="宋体" w:eastAsia="宋体" w:hAnsi="宋体" w:cs="宋体"/>
                <w:b w:val="0"/>
                <w:i w:val="0"/>
                <w:color w:val="000000"/>
                <w:sz w:val="14"/>
              </w:rPr>
              <w:t xml:space="preserve">12.56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如本表为空，则我部门本年度无此类资金收支结余。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2,169.27</w:t>
            </w:r>
          </w:p>
        </w:tc>
        <w:tc>
          <w:tcPr>
            <w:tcW w:w="1120" w:type="dxa"/>
            <w:tcBorders/>
            <w:vAlign w:val="center"/>
          </w:tcPr>
          <w:p>
            <w:pPr>
              <w:jc w:val="right"/>
            </w:pPr>
            <w:r>
              <w:rPr>
                <w:rFonts w:ascii="宋体" w:eastAsia="宋体" w:hAnsi="宋体" w:cs="宋体"/>
                <w:b/>
                <w:i w:val="0"/>
                <w:color w:val="000000"/>
                <w:sz w:val="16"/>
              </w:rPr>
              <w:t xml:space="preserve">158.37</w:t>
            </w:r>
          </w:p>
        </w:tc>
        <w:tc>
          <w:tcPr>
            <w:tcW w:w="1120" w:type="dxa"/>
            <w:tcBorders/>
            <w:vAlign w:val="center"/>
          </w:tcPr>
          <w:p>
            <w:pPr>
              <w:jc w:val="right"/>
            </w:pPr>
            <w:r>
              <w:rPr>
                <w:rFonts w:ascii="宋体" w:eastAsia="宋体" w:hAnsi="宋体" w:cs="宋体"/>
                <w:b/>
                <w:i w:val="0"/>
                <w:color w:val="000000"/>
                <w:sz w:val="16"/>
              </w:rPr>
              <w:t xml:space="preserve">2,010.90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一般公共服务支出</w:t>
            </w:r>
          </w:p>
        </w:tc>
        <w:tc>
          <w:tcPr>
            <w:tcW w:w="1120" w:type="dxa"/>
            <w:tcBorders/>
            <w:vAlign w:val="center"/>
          </w:tcPr>
          <w:p>
            <w:pPr>
              <w:jc w:val="right"/>
            </w:pPr>
            <w:r>
              <w:rPr>
                <w:rFonts w:ascii="宋体" w:eastAsia="宋体" w:hAnsi="宋体" w:cs="宋体"/>
                <w:b w:val="0"/>
                <w:i w:val="0"/>
                <w:color w:val="000000"/>
                <w:sz w:val="16"/>
              </w:rPr>
              <w:t xml:space="preserve">409.87</w:t>
            </w:r>
          </w:p>
        </w:tc>
        <w:tc>
          <w:tcPr>
            <w:tcW w:w="1120" w:type="dxa"/>
            <w:tcBorders/>
            <w:vAlign w:val="center"/>
          </w:tcPr>
          <w:p>
            <w:pPr>
              <w:jc w:val="right"/>
            </w:pPr>
            <w:r>
              <w:rPr>
                <w:rFonts w:ascii="宋体" w:eastAsia="宋体" w:hAnsi="宋体" w:cs="宋体"/>
                <w:b w:val="0"/>
                <w:i w:val="0"/>
                <w:color w:val="000000"/>
                <w:sz w:val="16"/>
              </w:rPr>
              <w:t xml:space="preserve">128.10</w:t>
            </w:r>
          </w:p>
        </w:tc>
        <w:tc>
          <w:tcPr>
            <w:tcW w:w="1120" w:type="dxa"/>
            <w:tcBorders/>
            <w:vAlign w:val="center"/>
          </w:tcPr>
          <w:p>
            <w:pPr>
              <w:jc w:val="right"/>
            </w:pPr>
            <w:r>
              <w:rPr>
                <w:rFonts w:ascii="宋体" w:eastAsia="宋体" w:hAnsi="宋体" w:cs="宋体"/>
                <w:b w:val="0"/>
                <w:i w:val="0"/>
                <w:color w:val="000000"/>
                <w:sz w:val="16"/>
              </w:rPr>
              <w:t xml:space="preserve">281.77</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20113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商贸事务</w:t>
            </w:r>
          </w:p>
        </w:tc>
        <w:tc>
          <w:tcPr>
            <w:tcW w:w="1120" w:type="dxa"/>
            <w:tcBorders/>
            <w:vAlign w:val="center"/>
          </w:tcPr>
          <w:p>
            <w:pPr>
              <w:jc w:val="right"/>
            </w:pPr>
            <w:r>
              <w:rPr>
                <w:rFonts w:ascii="宋体" w:eastAsia="宋体" w:hAnsi="宋体" w:cs="宋体"/>
                <w:b w:val="0"/>
                <w:i w:val="0"/>
                <w:color w:val="000000"/>
                <w:sz w:val="16"/>
              </w:rPr>
              <w:t xml:space="preserve">409.87</w:t>
            </w:r>
          </w:p>
        </w:tc>
        <w:tc>
          <w:tcPr>
            <w:tcW w:w="1120" w:type="dxa"/>
            <w:tcBorders/>
            <w:vAlign w:val="center"/>
          </w:tcPr>
          <w:p>
            <w:pPr>
              <w:jc w:val="right"/>
            </w:pPr>
            <w:r>
              <w:rPr>
                <w:rFonts w:ascii="宋体" w:eastAsia="宋体" w:hAnsi="宋体" w:cs="宋体"/>
                <w:b w:val="0"/>
                <w:i w:val="0"/>
                <w:color w:val="000000"/>
                <w:sz w:val="16"/>
              </w:rPr>
              <w:t xml:space="preserve">128.10</w:t>
            </w:r>
          </w:p>
        </w:tc>
        <w:tc>
          <w:tcPr>
            <w:tcW w:w="1120" w:type="dxa"/>
            <w:tcBorders/>
            <w:vAlign w:val="center"/>
          </w:tcPr>
          <w:p>
            <w:pPr>
              <w:jc w:val="right"/>
            </w:pPr>
            <w:r>
              <w:rPr>
                <w:rFonts w:ascii="宋体" w:eastAsia="宋体" w:hAnsi="宋体" w:cs="宋体"/>
                <w:b w:val="0"/>
                <w:i w:val="0"/>
                <w:color w:val="000000"/>
                <w:sz w:val="16"/>
              </w:rPr>
              <w:t xml:space="preserve">281.77</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2011301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128.10</w:t>
            </w:r>
          </w:p>
        </w:tc>
        <w:tc>
          <w:tcPr>
            <w:tcW w:w="1120" w:type="dxa"/>
            <w:tcBorders/>
            <w:vAlign w:val="center"/>
          </w:tcPr>
          <w:p>
            <w:pPr>
              <w:jc w:val="right"/>
            </w:pPr>
            <w:r>
              <w:rPr>
                <w:rFonts w:ascii="宋体" w:eastAsia="宋体" w:hAnsi="宋体" w:cs="宋体"/>
                <w:b w:val="0"/>
                <w:i w:val="0"/>
                <w:color w:val="000000"/>
                <w:sz w:val="16"/>
              </w:rPr>
              <w:t xml:space="preserve">128.10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2011302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一般行政管理事务</w:t>
            </w:r>
          </w:p>
        </w:tc>
        <w:tc>
          <w:tcPr>
            <w:tcW w:w="1120" w:type="dxa"/>
            <w:tcBorders/>
            <w:vAlign w:val="center"/>
          </w:tcPr>
          <w:p>
            <w:pPr>
              <w:jc w:val="right"/>
            </w:pPr>
            <w:r>
              <w:rPr>
                <w:rFonts w:ascii="宋体" w:eastAsia="宋体" w:hAnsi="宋体" w:cs="宋体"/>
                <w:b w:val="0"/>
                <w:i w:val="0"/>
                <w:color w:val="000000"/>
                <w:sz w:val="16"/>
              </w:rPr>
              <w:t xml:space="preserve">1.77</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1.77</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2011399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其他商贸事务支出</w:t>
            </w:r>
          </w:p>
        </w:tc>
        <w:tc>
          <w:tcPr>
            <w:tcW w:w="1120" w:type="dxa"/>
            <w:tcBorders/>
            <w:vAlign w:val="center"/>
          </w:tcPr>
          <w:p>
            <w:pPr>
              <w:jc w:val="right"/>
            </w:pPr>
            <w:r>
              <w:rPr>
                <w:rFonts w:ascii="宋体" w:eastAsia="宋体" w:hAnsi="宋体" w:cs="宋体"/>
                <w:b w:val="0"/>
                <w:i w:val="0"/>
                <w:color w:val="000000"/>
                <w:sz w:val="16"/>
              </w:rPr>
              <w:t xml:space="preserve">280.00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280.00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12.17</w:t>
            </w:r>
          </w:p>
        </w:tc>
        <w:tc>
          <w:tcPr>
            <w:tcW w:w="1120" w:type="dxa"/>
            <w:tcBorders/>
            <w:vAlign w:val="center"/>
          </w:tcPr>
          <w:p>
            <w:pPr>
              <w:jc w:val="right"/>
            </w:pPr>
            <w:r>
              <w:rPr>
                <w:rFonts w:ascii="宋体" w:eastAsia="宋体" w:hAnsi="宋体" w:cs="宋体"/>
                <w:b w:val="0"/>
                <w:i w:val="0"/>
                <w:color w:val="000000"/>
                <w:sz w:val="16"/>
              </w:rPr>
              <w:t xml:space="preserve">12.17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12.17</w:t>
            </w:r>
          </w:p>
        </w:tc>
        <w:tc>
          <w:tcPr>
            <w:tcW w:w="1120" w:type="dxa"/>
            <w:tcBorders/>
            <w:vAlign w:val="center"/>
          </w:tcPr>
          <w:p>
            <w:pPr>
              <w:jc w:val="right"/>
            </w:pPr>
            <w:r>
              <w:rPr>
                <w:rFonts w:ascii="宋体" w:eastAsia="宋体" w:hAnsi="宋体" w:cs="宋体"/>
                <w:b w:val="0"/>
                <w:i w:val="0"/>
                <w:color w:val="000000"/>
                <w:sz w:val="16"/>
              </w:rPr>
              <w:t xml:space="preserve">12.17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行政单位离退休</w:t>
            </w:r>
          </w:p>
        </w:tc>
        <w:tc>
          <w:tcPr>
            <w:tcW w:w="1120" w:type="dxa"/>
            <w:tcBorders/>
            <w:vAlign w:val="center"/>
          </w:tcPr>
          <w:p>
            <w:pPr>
              <w:jc w:val="right"/>
            </w:pPr>
            <w:r>
              <w:rPr>
                <w:rFonts w:ascii="宋体" w:eastAsia="宋体" w:hAnsi="宋体" w:cs="宋体"/>
                <w:b w:val="0"/>
                <w:i w:val="0"/>
                <w:color w:val="000000"/>
                <w:sz w:val="16"/>
              </w:rPr>
              <w:t xml:space="preserve">0.71</w:t>
            </w:r>
          </w:p>
        </w:tc>
        <w:tc>
          <w:tcPr>
            <w:tcW w:w="1120" w:type="dxa"/>
            <w:tcBorders/>
            <w:vAlign w:val="center"/>
          </w:tcPr>
          <w:p>
            <w:pPr>
              <w:jc w:val="right"/>
            </w:pPr>
            <w:r>
              <w:rPr>
                <w:rFonts w:ascii="宋体" w:eastAsia="宋体" w:hAnsi="宋体" w:cs="宋体"/>
                <w:b w:val="0"/>
                <w:i w:val="0"/>
                <w:color w:val="000000"/>
                <w:sz w:val="16"/>
              </w:rPr>
              <w:t xml:space="preserve">0.71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11.46</w:t>
            </w:r>
          </w:p>
        </w:tc>
        <w:tc>
          <w:tcPr>
            <w:tcW w:w="1120" w:type="dxa"/>
            <w:tcBorders/>
            <w:vAlign w:val="center"/>
          </w:tcPr>
          <w:p>
            <w:pPr>
              <w:jc w:val="right"/>
            </w:pPr>
            <w:r>
              <w:rPr>
                <w:rFonts w:ascii="宋体" w:eastAsia="宋体" w:hAnsi="宋体" w:cs="宋体"/>
                <w:b w:val="0"/>
                <w:i w:val="0"/>
                <w:color w:val="000000"/>
                <w:sz w:val="16"/>
              </w:rPr>
              <w:t xml:space="preserve">11.46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5.54</w:t>
            </w:r>
          </w:p>
        </w:tc>
        <w:tc>
          <w:tcPr>
            <w:tcW w:w="1120" w:type="dxa"/>
            <w:tcBorders/>
            <w:vAlign w:val="center"/>
          </w:tcPr>
          <w:p>
            <w:pPr>
              <w:jc w:val="right"/>
            </w:pPr>
            <w:r>
              <w:rPr>
                <w:rFonts w:ascii="宋体" w:eastAsia="宋体" w:hAnsi="宋体" w:cs="宋体"/>
                <w:b w:val="0"/>
                <w:i w:val="0"/>
                <w:color w:val="000000"/>
                <w:sz w:val="16"/>
              </w:rPr>
              <w:t xml:space="preserve">5.54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5.54</w:t>
            </w:r>
          </w:p>
        </w:tc>
        <w:tc>
          <w:tcPr>
            <w:tcW w:w="1120" w:type="dxa"/>
            <w:tcBorders/>
            <w:vAlign w:val="center"/>
          </w:tcPr>
          <w:p>
            <w:pPr>
              <w:jc w:val="right"/>
            </w:pPr>
            <w:r>
              <w:rPr>
                <w:rFonts w:ascii="宋体" w:eastAsia="宋体" w:hAnsi="宋体" w:cs="宋体"/>
                <w:b w:val="0"/>
                <w:i w:val="0"/>
                <w:color w:val="000000"/>
                <w:sz w:val="16"/>
              </w:rPr>
              <w:t xml:space="preserve">5.54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行政单位医疗</w:t>
            </w:r>
          </w:p>
        </w:tc>
        <w:tc>
          <w:tcPr>
            <w:tcW w:w="1120" w:type="dxa"/>
            <w:tcBorders/>
            <w:vAlign w:val="center"/>
          </w:tcPr>
          <w:p>
            <w:pPr>
              <w:jc w:val="right"/>
            </w:pPr>
            <w:r>
              <w:rPr>
                <w:rFonts w:ascii="宋体" w:eastAsia="宋体" w:hAnsi="宋体" w:cs="宋体"/>
                <w:b w:val="0"/>
                <w:i w:val="0"/>
                <w:color w:val="000000"/>
                <w:sz w:val="16"/>
              </w:rPr>
              <w:t xml:space="preserve">4.13</w:t>
            </w:r>
          </w:p>
        </w:tc>
        <w:tc>
          <w:tcPr>
            <w:tcW w:w="1120" w:type="dxa"/>
            <w:tcBorders/>
            <w:vAlign w:val="center"/>
          </w:tcPr>
          <w:p>
            <w:pPr>
              <w:jc w:val="right"/>
            </w:pPr>
            <w:r>
              <w:rPr>
                <w:rFonts w:ascii="宋体" w:eastAsia="宋体" w:hAnsi="宋体" w:cs="宋体"/>
                <w:b w:val="0"/>
                <w:i w:val="0"/>
                <w:color w:val="000000"/>
                <w:sz w:val="16"/>
              </w:rPr>
              <w:t xml:space="preserve">4.13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公务员医疗补助</w:t>
            </w:r>
          </w:p>
        </w:tc>
        <w:tc>
          <w:tcPr>
            <w:tcW w:w="1120" w:type="dxa"/>
            <w:tcBorders/>
            <w:vAlign w:val="center"/>
          </w:tcPr>
          <w:p>
            <w:pPr>
              <w:jc w:val="right"/>
            </w:pPr>
            <w:r>
              <w:rPr>
                <w:rFonts w:ascii="宋体" w:eastAsia="宋体" w:hAnsi="宋体" w:cs="宋体"/>
                <w:b w:val="0"/>
                <w:i w:val="0"/>
                <w:color w:val="000000"/>
                <w:sz w:val="16"/>
              </w:rPr>
              <w:t xml:space="preserve">1.16</w:t>
            </w:r>
          </w:p>
        </w:tc>
        <w:tc>
          <w:tcPr>
            <w:tcW w:w="1120" w:type="dxa"/>
            <w:tcBorders/>
            <w:vAlign w:val="center"/>
          </w:tcPr>
          <w:p>
            <w:pPr>
              <w:jc w:val="right"/>
            </w:pPr>
            <w:r>
              <w:rPr>
                <w:rFonts w:ascii="宋体" w:eastAsia="宋体" w:hAnsi="宋体" w:cs="宋体"/>
                <w:b w:val="0"/>
                <w:i w:val="0"/>
                <w:color w:val="000000"/>
                <w:sz w:val="16"/>
              </w:rPr>
              <w:t xml:space="preserve">1.16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其他行政事业单位医疗支出</w:t>
            </w:r>
          </w:p>
        </w:tc>
        <w:tc>
          <w:tcPr>
            <w:tcW w:w="1120" w:type="dxa"/>
            <w:tcBorders/>
            <w:vAlign w:val="center"/>
          </w:tcPr>
          <w:p>
            <w:pPr>
              <w:jc w:val="right"/>
            </w:pPr>
            <w:r>
              <w:rPr>
                <w:rFonts w:ascii="宋体" w:eastAsia="宋体" w:hAnsi="宋体" w:cs="宋体"/>
                <w:b w:val="0"/>
                <w:i w:val="0"/>
                <w:color w:val="000000"/>
                <w:sz w:val="16"/>
              </w:rPr>
              <w:t xml:space="preserve">0.25</w:t>
            </w:r>
          </w:p>
        </w:tc>
        <w:tc>
          <w:tcPr>
            <w:tcW w:w="1120" w:type="dxa"/>
            <w:tcBorders/>
            <w:vAlign w:val="center"/>
          </w:tcPr>
          <w:p>
            <w:pPr>
              <w:jc w:val="right"/>
            </w:pPr>
            <w:r>
              <w:rPr>
                <w:rFonts w:ascii="宋体" w:eastAsia="宋体" w:hAnsi="宋体" w:cs="宋体"/>
                <w:b w:val="0"/>
                <w:i w:val="0"/>
                <w:color w:val="000000"/>
                <w:sz w:val="16"/>
              </w:rPr>
              <w:t xml:space="preserve">0.25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资源勘探工业信息等支出</w:t>
            </w:r>
          </w:p>
        </w:tc>
        <w:tc>
          <w:tcPr>
            <w:tcW w:w="1120" w:type="dxa"/>
            <w:tcBorders/>
            <w:vAlign w:val="center"/>
          </w:tcPr>
          <w:p>
            <w:pPr>
              <w:jc w:val="right"/>
            </w:pPr>
            <w:r>
              <w:rPr>
                <w:rFonts w:ascii="宋体" w:eastAsia="宋体" w:hAnsi="宋体" w:cs="宋体"/>
                <w:b w:val="0"/>
                <w:i w:val="0"/>
                <w:color w:val="000000"/>
                <w:sz w:val="16"/>
              </w:rPr>
              <w:t xml:space="preserve">500.00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500.00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21599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其他资源勘探工业信息等支出</w:t>
            </w:r>
          </w:p>
        </w:tc>
        <w:tc>
          <w:tcPr>
            <w:tcW w:w="1120" w:type="dxa"/>
            <w:tcBorders/>
            <w:vAlign w:val="center"/>
          </w:tcPr>
          <w:p>
            <w:pPr>
              <w:jc w:val="right"/>
            </w:pPr>
            <w:r>
              <w:rPr>
                <w:rFonts w:ascii="宋体" w:eastAsia="宋体" w:hAnsi="宋体" w:cs="宋体"/>
                <w:b w:val="0"/>
                <w:i w:val="0"/>
                <w:color w:val="000000"/>
                <w:sz w:val="16"/>
              </w:rPr>
              <w:t xml:space="preserve">500.00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500.00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2159999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其他资源勘探工业信息等支出</w:t>
            </w:r>
          </w:p>
        </w:tc>
        <w:tc>
          <w:tcPr>
            <w:tcW w:w="1120" w:type="dxa"/>
            <w:tcBorders/>
            <w:vAlign w:val="center"/>
          </w:tcPr>
          <w:p>
            <w:pPr>
              <w:jc w:val="right"/>
            </w:pPr>
            <w:r>
              <w:rPr>
                <w:rFonts w:ascii="宋体" w:eastAsia="宋体" w:hAnsi="宋体" w:cs="宋体"/>
                <w:b w:val="0"/>
                <w:i w:val="0"/>
                <w:color w:val="000000"/>
                <w:sz w:val="16"/>
              </w:rPr>
              <w:t xml:space="preserve">500.00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500.00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216</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商业服务业等支出</w:t>
            </w:r>
          </w:p>
        </w:tc>
        <w:tc>
          <w:tcPr>
            <w:tcW w:w="1120" w:type="dxa"/>
            <w:tcBorders/>
            <w:vAlign w:val="center"/>
          </w:tcPr>
          <w:p>
            <w:pPr>
              <w:jc w:val="right"/>
            </w:pPr>
            <w:r>
              <w:rPr>
                <w:rFonts w:ascii="宋体" w:eastAsia="宋体" w:hAnsi="宋体" w:cs="宋体"/>
                <w:b w:val="0"/>
                <w:i w:val="0"/>
                <w:color w:val="000000"/>
                <w:sz w:val="16"/>
              </w:rPr>
              <w:t xml:space="preserve">1,229.13</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1,229.13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21602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商业流通事务</w:t>
            </w:r>
          </w:p>
        </w:tc>
        <w:tc>
          <w:tcPr>
            <w:tcW w:w="1120" w:type="dxa"/>
            <w:tcBorders/>
            <w:vAlign w:val="center"/>
          </w:tcPr>
          <w:p>
            <w:pPr>
              <w:jc w:val="right"/>
            </w:pPr>
            <w:r>
              <w:rPr>
                <w:rFonts w:ascii="宋体" w:eastAsia="宋体" w:hAnsi="宋体" w:cs="宋体"/>
                <w:b w:val="0"/>
                <w:i w:val="0"/>
                <w:color w:val="000000"/>
                <w:sz w:val="16"/>
              </w:rPr>
              <w:t xml:space="preserve">1,141.12</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1,141.12</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2160299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其他商业流通事务支出</w:t>
            </w:r>
          </w:p>
        </w:tc>
        <w:tc>
          <w:tcPr>
            <w:tcW w:w="1120" w:type="dxa"/>
            <w:tcBorders/>
            <w:vAlign w:val="center"/>
          </w:tcPr>
          <w:p>
            <w:pPr>
              <w:jc w:val="right"/>
            </w:pPr>
            <w:r>
              <w:rPr>
                <w:rFonts w:ascii="宋体" w:eastAsia="宋体" w:hAnsi="宋体" w:cs="宋体"/>
                <w:b w:val="0"/>
                <w:i w:val="0"/>
                <w:color w:val="000000"/>
                <w:sz w:val="16"/>
              </w:rPr>
              <w:t xml:space="preserve">1,141.12</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1,141.12</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21606</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涉外发展服务支出</w:t>
            </w:r>
          </w:p>
        </w:tc>
        <w:tc>
          <w:tcPr>
            <w:tcW w:w="1120" w:type="dxa"/>
            <w:tcBorders/>
            <w:vAlign w:val="center"/>
          </w:tcPr>
          <w:p>
            <w:pPr>
              <w:jc w:val="right"/>
            </w:pPr>
            <w:r>
              <w:rPr>
                <w:rFonts w:ascii="宋体" w:eastAsia="宋体" w:hAnsi="宋体" w:cs="宋体"/>
                <w:b w:val="0"/>
                <w:i w:val="0"/>
                <w:color w:val="000000"/>
                <w:sz w:val="16"/>
              </w:rPr>
              <w:t xml:space="preserve">88.01</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88.01</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2160699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其他涉外发展服务支出</w:t>
            </w:r>
          </w:p>
        </w:tc>
        <w:tc>
          <w:tcPr>
            <w:tcW w:w="1120" w:type="dxa"/>
            <w:tcBorders/>
            <w:vAlign w:val="center"/>
          </w:tcPr>
          <w:p>
            <w:pPr>
              <w:jc w:val="right"/>
            </w:pPr>
            <w:r>
              <w:rPr>
                <w:rFonts w:ascii="宋体" w:eastAsia="宋体" w:hAnsi="宋体" w:cs="宋体"/>
                <w:b w:val="0"/>
                <w:i w:val="0"/>
                <w:color w:val="000000"/>
                <w:sz w:val="16"/>
              </w:rPr>
              <w:t xml:space="preserve">88.01</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88.01</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12.56</w:t>
            </w:r>
          </w:p>
        </w:tc>
        <w:tc>
          <w:tcPr>
            <w:tcW w:w="1120" w:type="dxa"/>
            <w:tcBorders/>
            <w:vAlign w:val="center"/>
          </w:tcPr>
          <w:p>
            <w:pPr>
              <w:jc w:val="right"/>
            </w:pPr>
            <w:r>
              <w:rPr>
                <w:rFonts w:ascii="宋体" w:eastAsia="宋体" w:hAnsi="宋体" w:cs="宋体"/>
                <w:b w:val="0"/>
                <w:i w:val="0"/>
                <w:color w:val="000000"/>
                <w:sz w:val="16"/>
              </w:rPr>
              <w:t xml:space="preserve">12.56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12.56</w:t>
            </w:r>
          </w:p>
        </w:tc>
        <w:tc>
          <w:tcPr>
            <w:tcW w:w="1120" w:type="dxa"/>
            <w:tcBorders/>
            <w:vAlign w:val="center"/>
          </w:tcPr>
          <w:p>
            <w:pPr>
              <w:jc w:val="right"/>
            </w:pPr>
            <w:r>
              <w:rPr>
                <w:rFonts w:ascii="宋体" w:eastAsia="宋体" w:hAnsi="宋体" w:cs="宋体"/>
                <w:b w:val="0"/>
                <w:i w:val="0"/>
                <w:color w:val="000000"/>
                <w:sz w:val="16"/>
              </w:rPr>
              <w:t xml:space="preserve">12.56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12.56</w:t>
            </w:r>
          </w:p>
        </w:tc>
        <w:tc>
          <w:tcPr>
            <w:tcW w:w="1120" w:type="dxa"/>
            <w:tcBorders/>
            <w:vAlign w:val="center"/>
          </w:tcPr>
          <w:p>
            <w:pPr>
              <w:jc w:val="right"/>
            </w:pPr>
            <w:r>
              <w:rPr>
                <w:rFonts w:ascii="宋体" w:eastAsia="宋体" w:hAnsi="宋体" w:cs="宋体"/>
                <w:b w:val="0"/>
                <w:i w:val="0"/>
                <w:color w:val="000000"/>
                <w:sz w:val="16"/>
              </w:rPr>
              <w:t xml:space="preserve">12.56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如本表为空，则我部门本年度无此类资金收支结余。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2,169.27</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jc w:val="right"/>
            </w:pPr>
            <w:r>
              <w:rPr>
                <w:rFonts w:ascii="宋体" w:eastAsia="宋体" w:hAnsi="宋体" w:cs="宋体"/>
                <w:b w:val="0"/>
                <w:i w:val="0"/>
                <w:color w:val="000000"/>
                <w:sz w:val="14"/>
              </w:rPr>
              <w:t xml:space="preserve">409.87</w:t>
            </w:r>
          </w:p>
        </w:tc>
        <w:tc>
          <w:tcPr>
            <w:tcW w:w="1100" w:type="dxa"/>
            <w:tcBorders/>
            <w:vAlign w:val="center"/>
          </w:tcPr>
          <w:p>
            <w:pPr>
              <w:jc w:val="right"/>
            </w:pPr>
            <w:r>
              <w:rPr>
                <w:rFonts w:ascii="宋体" w:eastAsia="宋体" w:hAnsi="宋体" w:cs="宋体"/>
                <w:b w:val="0"/>
                <w:i w:val="0"/>
                <w:color w:val="000000"/>
                <w:sz w:val="14"/>
              </w:rPr>
              <w:t xml:space="preserve">409.87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12.17</w:t>
            </w:r>
          </w:p>
        </w:tc>
        <w:tc>
          <w:tcPr>
            <w:tcW w:w="1100" w:type="dxa"/>
            <w:tcBorders/>
            <w:vAlign w:val="center"/>
          </w:tcPr>
          <w:p>
            <w:pPr>
              <w:jc w:val="right"/>
            </w:pPr>
            <w:r>
              <w:rPr>
                <w:rFonts w:ascii="宋体" w:eastAsia="宋体" w:hAnsi="宋体" w:cs="宋体"/>
                <w:b w:val="0"/>
                <w:i w:val="0"/>
                <w:color w:val="000000"/>
                <w:sz w:val="14"/>
              </w:rPr>
              <w:t xml:space="preserve">12.17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5.54</w:t>
            </w:r>
          </w:p>
        </w:tc>
        <w:tc>
          <w:tcPr>
            <w:tcW w:w="1100" w:type="dxa"/>
            <w:tcBorders/>
            <w:vAlign w:val="center"/>
          </w:tcPr>
          <w:p>
            <w:pPr>
              <w:jc w:val="right"/>
            </w:pPr>
            <w:r>
              <w:rPr>
                <w:rFonts w:ascii="宋体" w:eastAsia="宋体" w:hAnsi="宋体" w:cs="宋体"/>
                <w:b w:val="0"/>
                <w:i w:val="0"/>
                <w:color w:val="000000"/>
                <w:sz w:val="14"/>
              </w:rPr>
              <w:t xml:space="preserve">5.54</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jc w:val="right"/>
            </w:pPr>
            <w:r>
              <w:rPr>
                <w:rFonts w:ascii="宋体" w:eastAsia="宋体" w:hAnsi="宋体" w:cs="宋体"/>
                <w:b w:val="0"/>
                <w:i w:val="0"/>
                <w:color w:val="000000"/>
                <w:sz w:val="14"/>
              </w:rPr>
              <w:t xml:space="preserve">500.00</w:t>
            </w:r>
          </w:p>
        </w:tc>
        <w:tc>
          <w:tcPr>
            <w:tcW w:w="1100" w:type="dxa"/>
            <w:tcBorders/>
            <w:vAlign w:val="center"/>
          </w:tcPr>
          <w:p>
            <w:pPr>
              <w:jc w:val="right"/>
            </w:pPr>
            <w:r>
              <w:rPr>
                <w:rFonts w:ascii="宋体" w:eastAsia="宋体" w:hAnsi="宋体" w:cs="宋体"/>
                <w:b w:val="0"/>
                <w:i w:val="0"/>
                <w:color w:val="000000"/>
                <w:sz w:val="14"/>
              </w:rPr>
              <w:t xml:space="preserve">500.00</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jc w:val="right"/>
            </w:pPr>
            <w:r>
              <w:rPr>
                <w:rFonts w:ascii="宋体" w:eastAsia="宋体" w:hAnsi="宋体" w:cs="宋体"/>
                <w:b w:val="0"/>
                <w:i w:val="0"/>
                <w:color w:val="000000"/>
                <w:sz w:val="14"/>
              </w:rPr>
              <w:t xml:space="preserve">1,229.13</w:t>
            </w:r>
          </w:p>
        </w:tc>
        <w:tc>
          <w:tcPr>
            <w:tcW w:w="1100" w:type="dxa"/>
            <w:tcBorders/>
            <w:vAlign w:val="center"/>
          </w:tcPr>
          <w:p>
            <w:pPr>
              <w:jc w:val="right"/>
            </w:pPr>
            <w:r>
              <w:rPr>
                <w:rFonts w:ascii="宋体" w:eastAsia="宋体" w:hAnsi="宋体" w:cs="宋体"/>
                <w:b w:val="0"/>
                <w:i w:val="0"/>
                <w:color w:val="000000"/>
                <w:sz w:val="14"/>
              </w:rPr>
              <w:t xml:space="preserve">1,229.13</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12.56</w:t>
            </w:r>
          </w:p>
        </w:tc>
        <w:tc>
          <w:tcPr>
            <w:tcW w:w="1100" w:type="dxa"/>
            <w:tcBorders/>
            <w:vAlign w:val="center"/>
          </w:tcPr>
          <w:p>
            <w:pPr>
              <w:jc w:val="right"/>
            </w:pPr>
            <w:r>
              <w:rPr>
                <w:rFonts w:ascii="宋体" w:eastAsia="宋体" w:hAnsi="宋体" w:cs="宋体"/>
                <w:b w:val="0"/>
                <w:i w:val="0"/>
                <w:color w:val="000000"/>
                <w:sz w:val="14"/>
              </w:rPr>
              <w:t xml:space="preserve">12.56</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2,169.27</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2,169.27</w:t>
            </w:r>
          </w:p>
        </w:tc>
        <w:tc>
          <w:tcPr>
            <w:tcW w:w="1100" w:type="dxa"/>
            <w:tcBorders/>
            <w:vAlign w:val="center"/>
          </w:tcPr>
          <w:p>
            <w:pPr>
              <w:jc w:val="right"/>
            </w:pPr>
            <w:r>
              <w:rPr>
                <w:rFonts w:ascii="宋体" w:eastAsia="宋体" w:hAnsi="宋体" w:cs="宋体"/>
                <w:b w:val="0"/>
                <w:i w:val="0"/>
                <w:color w:val="000000"/>
                <w:sz w:val="14"/>
              </w:rPr>
              <w:t xml:space="preserve">2,169.27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2,169.27</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2,169.27</w:t>
            </w:r>
          </w:p>
        </w:tc>
        <w:tc>
          <w:tcPr>
            <w:tcW w:w="1100" w:type="dxa"/>
            <w:tcBorders/>
            <w:vAlign w:val="center"/>
          </w:tcPr>
          <w:p>
            <w:pPr>
              <w:jc w:val="right"/>
            </w:pPr>
            <w:r>
              <w:rPr>
                <w:rFonts w:ascii="宋体" w:eastAsia="宋体" w:hAnsi="宋体" w:cs="宋体"/>
                <w:b w:val="0"/>
                <w:i w:val="0"/>
                <w:color w:val="000000"/>
                <w:sz w:val="14"/>
              </w:rPr>
              <w:t xml:space="preserve">2,169.27</w:t>
            </w:r>
          </w:p>
        </w:tc>
        <w:tc>
          <w:tcPr>
            <w:tcW w:w="1100" w:type="dxa"/>
            <w:tcBorders/>
            <w:vAlign w:val="center"/>
          </w:tcPr>
          <w:p>
            <w:pPr/>
          </w:p>
        </w:tc>
        <w:tc>
          <w:tcPr>
            <w:tcW w:w="1112" w:type="dxa"/>
            <w:tcBorders/>
            <w:vAlign w:val="center"/>
          </w:tcPr>
          <w:p>
            <w:pPr/>
          </w:p>
        </w:tc>
      </w:tr>
      <w:tr>
        <w:trPr>
          <w:trHeight w:hRule="exact" w:val="278"/>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78"/>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如本表为空，则我部门本年度无此类资金收支结余。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2,169.27</w:t>
            </w:r>
          </w:p>
        </w:tc>
        <w:tc>
          <w:tcPr>
            <w:tcW w:w="1980" w:type="dxa"/>
            <w:tcBorders/>
            <w:vAlign w:val="center"/>
          </w:tcPr>
          <w:p>
            <w:pPr>
              <w:jc w:val="right"/>
            </w:pPr>
            <w:r>
              <w:rPr>
                <w:rFonts w:ascii="宋体" w:eastAsia="宋体" w:hAnsi="宋体" w:cs="宋体"/>
                <w:b/>
                <w:i w:val="0"/>
                <w:color w:val="000000"/>
                <w:sz w:val="20"/>
              </w:rPr>
              <w:t xml:space="preserve">158.37</w:t>
            </w:r>
          </w:p>
        </w:tc>
        <w:tc>
          <w:tcPr>
            <w:tcW w:w="1952" w:type="dxa"/>
            <w:tcBorders/>
            <w:vAlign w:val="center"/>
          </w:tcPr>
          <w:p>
            <w:pPr>
              <w:jc w:val="right"/>
            </w:pPr>
            <w:r>
              <w:rPr>
                <w:rFonts w:ascii="宋体" w:eastAsia="宋体" w:hAnsi="宋体" w:cs="宋体"/>
                <w:b/>
                <w:i w:val="0"/>
                <w:color w:val="000000"/>
                <w:sz w:val="20"/>
              </w:rPr>
              <w:t xml:space="preserve">2,010.90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一般公共服务支出</w:t>
            </w:r>
          </w:p>
        </w:tc>
        <w:tc>
          <w:tcPr>
            <w:tcW w:w="1980" w:type="dxa"/>
            <w:tcBorders/>
            <w:vAlign w:val="center"/>
          </w:tcPr>
          <w:p>
            <w:pPr>
              <w:jc w:val="right"/>
            </w:pPr>
            <w:r>
              <w:rPr>
                <w:rFonts w:ascii="宋体" w:eastAsia="宋体" w:hAnsi="宋体" w:cs="宋体"/>
                <w:b w:val="0"/>
                <w:i w:val="0"/>
                <w:color w:val="000000"/>
                <w:sz w:val="20"/>
              </w:rPr>
              <w:t xml:space="preserve">409.87</w:t>
            </w:r>
          </w:p>
        </w:tc>
        <w:tc>
          <w:tcPr>
            <w:tcW w:w="1980" w:type="dxa"/>
            <w:tcBorders/>
            <w:vAlign w:val="center"/>
          </w:tcPr>
          <w:p>
            <w:pPr>
              <w:jc w:val="right"/>
            </w:pPr>
            <w:r>
              <w:rPr>
                <w:rFonts w:ascii="宋体" w:eastAsia="宋体" w:hAnsi="宋体" w:cs="宋体"/>
                <w:b w:val="0"/>
                <w:i w:val="0"/>
                <w:color w:val="000000"/>
                <w:sz w:val="20"/>
              </w:rPr>
              <w:t xml:space="preserve">128.10</w:t>
            </w:r>
          </w:p>
        </w:tc>
        <w:tc>
          <w:tcPr>
            <w:tcW w:w="1952" w:type="dxa"/>
            <w:tcBorders/>
            <w:vAlign w:val="center"/>
          </w:tcPr>
          <w:p>
            <w:pPr>
              <w:jc w:val="right"/>
            </w:pPr>
            <w:r>
              <w:rPr>
                <w:rFonts w:ascii="宋体" w:eastAsia="宋体" w:hAnsi="宋体" w:cs="宋体"/>
                <w:b w:val="0"/>
                <w:i w:val="0"/>
                <w:color w:val="000000"/>
                <w:sz w:val="20"/>
              </w:rPr>
              <w:t xml:space="preserve">281.77</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20113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商贸事务</w:t>
            </w:r>
          </w:p>
        </w:tc>
        <w:tc>
          <w:tcPr>
            <w:tcW w:w="1980" w:type="dxa"/>
            <w:tcBorders/>
            <w:vAlign w:val="center"/>
          </w:tcPr>
          <w:p>
            <w:pPr>
              <w:jc w:val="right"/>
            </w:pPr>
            <w:r>
              <w:rPr>
                <w:rFonts w:ascii="宋体" w:eastAsia="宋体" w:hAnsi="宋体" w:cs="宋体"/>
                <w:b w:val="0"/>
                <w:i w:val="0"/>
                <w:color w:val="000000"/>
                <w:sz w:val="20"/>
              </w:rPr>
              <w:t xml:space="preserve">409.87</w:t>
            </w:r>
          </w:p>
        </w:tc>
        <w:tc>
          <w:tcPr>
            <w:tcW w:w="1980" w:type="dxa"/>
            <w:tcBorders/>
            <w:vAlign w:val="center"/>
          </w:tcPr>
          <w:p>
            <w:pPr>
              <w:jc w:val="right"/>
            </w:pPr>
            <w:r>
              <w:rPr>
                <w:rFonts w:ascii="宋体" w:eastAsia="宋体" w:hAnsi="宋体" w:cs="宋体"/>
                <w:b w:val="0"/>
                <w:i w:val="0"/>
                <w:color w:val="000000"/>
                <w:sz w:val="20"/>
              </w:rPr>
              <w:t xml:space="preserve">128.10</w:t>
            </w:r>
          </w:p>
        </w:tc>
        <w:tc>
          <w:tcPr>
            <w:tcW w:w="1952" w:type="dxa"/>
            <w:tcBorders/>
            <w:vAlign w:val="center"/>
          </w:tcPr>
          <w:p>
            <w:pPr>
              <w:jc w:val="right"/>
            </w:pPr>
            <w:r>
              <w:rPr>
                <w:rFonts w:ascii="宋体" w:eastAsia="宋体" w:hAnsi="宋体" w:cs="宋体"/>
                <w:b w:val="0"/>
                <w:i w:val="0"/>
                <w:color w:val="000000"/>
                <w:sz w:val="20"/>
              </w:rPr>
              <w:t xml:space="preserve">281.77</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2011301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128.10</w:t>
            </w:r>
          </w:p>
        </w:tc>
        <w:tc>
          <w:tcPr>
            <w:tcW w:w="1980" w:type="dxa"/>
            <w:tcBorders/>
            <w:vAlign w:val="center"/>
          </w:tcPr>
          <w:p>
            <w:pPr>
              <w:jc w:val="right"/>
            </w:pPr>
            <w:r>
              <w:rPr>
                <w:rFonts w:ascii="宋体" w:eastAsia="宋体" w:hAnsi="宋体" w:cs="宋体"/>
                <w:b w:val="0"/>
                <w:i w:val="0"/>
                <w:color w:val="000000"/>
                <w:sz w:val="20"/>
              </w:rPr>
              <w:t xml:space="preserve">128.10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2011302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一般行政管理事务</w:t>
            </w:r>
          </w:p>
        </w:tc>
        <w:tc>
          <w:tcPr>
            <w:tcW w:w="1980" w:type="dxa"/>
            <w:tcBorders/>
            <w:vAlign w:val="center"/>
          </w:tcPr>
          <w:p>
            <w:pPr>
              <w:jc w:val="right"/>
            </w:pPr>
            <w:r>
              <w:rPr>
                <w:rFonts w:ascii="宋体" w:eastAsia="宋体" w:hAnsi="宋体" w:cs="宋体"/>
                <w:b w:val="0"/>
                <w:i w:val="0"/>
                <w:color w:val="000000"/>
                <w:sz w:val="20"/>
              </w:rPr>
              <w:t xml:space="preserve">1.77</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1.77</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2011399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其他商贸事务支出</w:t>
            </w:r>
          </w:p>
        </w:tc>
        <w:tc>
          <w:tcPr>
            <w:tcW w:w="1980" w:type="dxa"/>
            <w:tcBorders/>
            <w:vAlign w:val="center"/>
          </w:tcPr>
          <w:p>
            <w:pPr>
              <w:jc w:val="right"/>
            </w:pPr>
            <w:r>
              <w:rPr>
                <w:rFonts w:ascii="宋体" w:eastAsia="宋体" w:hAnsi="宋体" w:cs="宋体"/>
                <w:b w:val="0"/>
                <w:i w:val="0"/>
                <w:color w:val="000000"/>
                <w:sz w:val="20"/>
              </w:rPr>
              <w:t xml:space="preserve">280.00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280.00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12.17</w:t>
            </w:r>
          </w:p>
        </w:tc>
        <w:tc>
          <w:tcPr>
            <w:tcW w:w="1980" w:type="dxa"/>
            <w:tcBorders/>
            <w:vAlign w:val="center"/>
          </w:tcPr>
          <w:p>
            <w:pPr>
              <w:jc w:val="right"/>
            </w:pPr>
            <w:r>
              <w:rPr>
                <w:rFonts w:ascii="宋体" w:eastAsia="宋体" w:hAnsi="宋体" w:cs="宋体"/>
                <w:b w:val="0"/>
                <w:i w:val="0"/>
                <w:color w:val="000000"/>
                <w:sz w:val="20"/>
              </w:rPr>
              <w:t xml:space="preserve">12.17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12.17</w:t>
            </w:r>
          </w:p>
        </w:tc>
        <w:tc>
          <w:tcPr>
            <w:tcW w:w="1980" w:type="dxa"/>
            <w:tcBorders/>
            <w:vAlign w:val="center"/>
          </w:tcPr>
          <w:p>
            <w:pPr>
              <w:jc w:val="right"/>
            </w:pPr>
            <w:r>
              <w:rPr>
                <w:rFonts w:ascii="宋体" w:eastAsia="宋体" w:hAnsi="宋体" w:cs="宋体"/>
                <w:b w:val="0"/>
                <w:i w:val="0"/>
                <w:color w:val="000000"/>
                <w:sz w:val="20"/>
              </w:rPr>
              <w:t xml:space="preserve">12.17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行政单位离退休</w:t>
            </w:r>
          </w:p>
        </w:tc>
        <w:tc>
          <w:tcPr>
            <w:tcW w:w="1980" w:type="dxa"/>
            <w:tcBorders/>
            <w:vAlign w:val="center"/>
          </w:tcPr>
          <w:p>
            <w:pPr>
              <w:jc w:val="right"/>
            </w:pPr>
            <w:r>
              <w:rPr>
                <w:rFonts w:ascii="宋体" w:eastAsia="宋体" w:hAnsi="宋体" w:cs="宋体"/>
                <w:b w:val="0"/>
                <w:i w:val="0"/>
                <w:color w:val="000000"/>
                <w:sz w:val="20"/>
              </w:rPr>
              <w:t xml:space="preserve">0.71</w:t>
            </w:r>
          </w:p>
        </w:tc>
        <w:tc>
          <w:tcPr>
            <w:tcW w:w="1980" w:type="dxa"/>
            <w:tcBorders/>
            <w:vAlign w:val="center"/>
          </w:tcPr>
          <w:p>
            <w:pPr>
              <w:jc w:val="right"/>
            </w:pPr>
            <w:r>
              <w:rPr>
                <w:rFonts w:ascii="宋体" w:eastAsia="宋体" w:hAnsi="宋体" w:cs="宋体"/>
                <w:b w:val="0"/>
                <w:i w:val="0"/>
                <w:color w:val="000000"/>
                <w:sz w:val="20"/>
              </w:rPr>
              <w:t xml:space="preserve">0.71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11.46</w:t>
            </w:r>
          </w:p>
        </w:tc>
        <w:tc>
          <w:tcPr>
            <w:tcW w:w="1980" w:type="dxa"/>
            <w:tcBorders/>
            <w:vAlign w:val="center"/>
          </w:tcPr>
          <w:p>
            <w:pPr>
              <w:jc w:val="right"/>
            </w:pPr>
            <w:r>
              <w:rPr>
                <w:rFonts w:ascii="宋体" w:eastAsia="宋体" w:hAnsi="宋体" w:cs="宋体"/>
                <w:b w:val="0"/>
                <w:i w:val="0"/>
                <w:color w:val="000000"/>
                <w:sz w:val="20"/>
              </w:rPr>
              <w:t xml:space="preserve">11.46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其他行政事业单位养老支出</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5.54</w:t>
            </w:r>
          </w:p>
        </w:tc>
        <w:tc>
          <w:tcPr>
            <w:tcW w:w="1980" w:type="dxa"/>
            <w:tcBorders/>
            <w:vAlign w:val="center"/>
          </w:tcPr>
          <w:p>
            <w:pPr>
              <w:jc w:val="right"/>
            </w:pPr>
            <w:r>
              <w:rPr>
                <w:rFonts w:ascii="宋体" w:eastAsia="宋体" w:hAnsi="宋体" w:cs="宋体"/>
                <w:b w:val="0"/>
                <w:i w:val="0"/>
                <w:color w:val="000000"/>
                <w:sz w:val="20"/>
              </w:rPr>
              <w:t xml:space="preserve">5.54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5.54</w:t>
            </w:r>
          </w:p>
        </w:tc>
        <w:tc>
          <w:tcPr>
            <w:tcW w:w="1980" w:type="dxa"/>
            <w:tcBorders/>
            <w:vAlign w:val="center"/>
          </w:tcPr>
          <w:p>
            <w:pPr>
              <w:jc w:val="right"/>
            </w:pPr>
            <w:r>
              <w:rPr>
                <w:rFonts w:ascii="宋体" w:eastAsia="宋体" w:hAnsi="宋体" w:cs="宋体"/>
                <w:b w:val="0"/>
                <w:i w:val="0"/>
                <w:color w:val="000000"/>
                <w:sz w:val="20"/>
              </w:rPr>
              <w:t xml:space="preserve">5.54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行政单位医疗</w:t>
            </w:r>
          </w:p>
        </w:tc>
        <w:tc>
          <w:tcPr>
            <w:tcW w:w="1980" w:type="dxa"/>
            <w:tcBorders/>
            <w:vAlign w:val="center"/>
          </w:tcPr>
          <w:p>
            <w:pPr>
              <w:jc w:val="right"/>
            </w:pPr>
            <w:r>
              <w:rPr>
                <w:rFonts w:ascii="宋体" w:eastAsia="宋体" w:hAnsi="宋体" w:cs="宋体"/>
                <w:b w:val="0"/>
                <w:i w:val="0"/>
                <w:color w:val="000000"/>
                <w:sz w:val="20"/>
              </w:rPr>
              <w:t xml:space="preserve">4.13</w:t>
            </w:r>
          </w:p>
        </w:tc>
        <w:tc>
          <w:tcPr>
            <w:tcW w:w="1980" w:type="dxa"/>
            <w:tcBorders/>
            <w:vAlign w:val="center"/>
          </w:tcPr>
          <w:p>
            <w:pPr>
              <w:jc w:val="right"/>
            </w:pPr>
            <w:r>
              <w:rPr>
                <w:rFonts w:ascii="宋体" w:eastAsia="宋体" w:hAnsi="宋体" w:cs="宋体"/>
                <w:b w:val="0"/>
                <w:i w:val="0"/>
                <w:color w:val="000000"/>
                <w:sz w:val="20"/>
              </w:rPr>
              <w:t xml:space="preserve">4.13</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公务员医疗补助</w:t>
            </w:r>
          </w:p>
        </w:tc>
        <w:tc>
          <w:tcPr>
            <w:tcW w:w="1980" w:type="dxa"/>
            <w:tcBorders/>
            <w:vAlign w:val="center"/>
          </w:tcPr>
          <w:p>
            <w:pPr>
              <w:jc w:val="right"/>
            </w:pPr>
            <w:r>
              <w:rPr>
                <w:rFonts w:ascii="宋体" w:eastAsia="宋体" w:hAnsi="宋体" w:cs="宋体"/>
                <w:b w:val="0"/>
                <w:i w:val="0"/>
                <w:color w:val="000000"/>
                <w:sz w:val="20"/>
              </w:rPr>
              <w:t xml:space="preserve">1.16</w:t>
            </w:r>
          </w:p>
        </w:tc>
        <w:tc>
          <w:tcPr>
            <w:tcW w:w="1980" w:type="dxa"/>
            <w:tcBorders/>
            <w:vAlign w:val="center"/>
          </w:tcPr>
          <w:p>
            <w:pPr>
              <w:jc w:val="right"/>
            </w:pPr>
            <w:r>
              <w:rPr>
                <w:rFonts w:ascii="宋体" w:eastAsia="宋体" w:hAnsi="宋体" w:cs="宋体"/>
                <w:b w:val="0"/>
                <w:i w:val="0"/>
                <w:color w:val="000000"/>
                <w:sz w:val="20"/>
              </w:rPr>
              <w:t xml:space="preserve">1.16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其他行政事业单位医疗支出</w:t>
            </w:r>
          </w:p>
        </w:tc>
        <w:tc>
          <w:tcPr>
            <w:tcW w:w="1980" w:type="dxa"/>
            <w:tcBorders/>
            <w:vAlign w:val="center"/>
          </w:tcPr>
          <w:p>
            <w:pPr>
              <w:jc w:val="right"/>
            </w:pPr>
            <w:r>
              <w:rPr>
                <w:rFonts w:ascii="宋体" w:eastAsia="宋体" w:hAnsi="宋体" w:cs="宋体"/>
                <w:b w:val="0"/>
                <w:i w:val="0"/>
                <w:color w:val="000000"/>
                <w:sz w:val="20"/>
              </w:rPr>
              <w:t xml:space="preserve">0.25</w:t>
            </w:r>
          </w:p>
        </w:tc>
        <w:tc>
          <w:tcPr>
            <w:tcW w:w="1980" w:type="dxa"/>
            <w:tcBorders/>
            <w:vAlign w:val="center"/>
          </w:tcPr>
          <w:p>
            <w:pPr>
              <w:jc w:val="right"/>
            </w:pPr>
            <w:r>
              <w:rPr>
                <w:rFonts w:ascii="宋体" w:eastAsia="宋体" w:hAnsi="宋体" w:cs="宋体"/>
                <w:b w:val="0"/>
                <w:i w:val="0"/>
                <w:color w:val="000000"/>
                <w:sz w:val="20"/>
              </w:rPr>
              <w:t xml:space="preserve">0.25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资源勘探工业信息等支出</w:t>
            </w:r>
          </w:p>
        </w:tc>
        <w:tc>
          <w:tcPr>
            <w:tcW w:w="1980" w:type="dxa"/>
            <w:tcBorders/>
            <w:vAlign w:val="center"/>
          </w:tcPr>
          <w:p>
            <w:pPr>
              <w:jc w:val="right"/>
            </w:pPr>
            <w:r>
              <w:rPr>
                <w:rFonts w:ascii="宋体" w:eastAsia="宋体" w:hAnsi="宋体" w:cs="宋体"/>
                <w:b w:val="0"/>
                <w:i w:val="0"/>
                <w:color w:val="000000"/>
                <w:sz w:val="20"/>
              </w:rPr>
              <w:t xml:space="preserve">500.00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500.00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21599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其他资源勘探工业信息等支出</w:t>
            </w:r>
          </w:p>
        </w:tc>
        <w:tc>
          <w:tcPr>
            <w:tcW w:w="1980" w:type="dxa"/>
            <w:tcBorders/>
            <w:vAlign w:val="center"/>
          </w:tcPr>
          <w:p>
            <w:pPr>
              <w:jc w:val="right"/>
            </w:pPr>
            <w:r>
              <w:rPr>
                <w:rFonts w:ascii="宋体" w:eastAsia="宋体" w:hAnsi="宋体" w:cs="宋体"/>
                <w:b w:val="0"/>
                <w:i w:val="0"/>
                <w:color w:val="000000"/>
                <w:sz w:val="20"/>
              </w:rPr>
              <w:t xml:space="preserve">500.00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500.00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2159999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其他资源勘探工业信息等支出</w:t>
            </w:r>
          </w:p>
        </w:tc>
        <w:tc>
          <w:tcPr>
            <w:tcW w:w="1980" w:type="dxa"/>
            <w:tcBorders/>
            <w:vAlign w:val="center"/>
          </w:tcPr>
          <w:p>
            <w:pPr>
              <w:jc w:val="right"/>
            </w:pPr>
            <w:r>
              <w:rPr>
                <w:rFonts w:ascii="宋体" w:eastAsia="宋体" w:hAnsi="宋体" w:cs="宋体"/>
                <w:b w:val="0"/>
                <w:i w:val="0"/>
                <w:color w:val="000000"/>
                <w:sz w:val="20"/>
              </w:rPr>
              <w:t xml:space="preserve">500.00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500.00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216</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商业服务业等支出</w:t>
            </w:r>
          </w:p>
        </w:tc>
        <w:tc>
          <w:tcPr>
            <w:tcW w:w="1980" w:type="dxa"/>
            <w:tcBorders/>
            <w:vAlign w:val="center"/>
          </w:tcPr>
          <w:p>
            <w:pPr>
              <w:jc w:val="right"/>
            </w:pPr>
            <w:r>
              <w:rPr>
                <w:rFonts w:ascii="宋体" w:eastAsia="宋体" w:hAnsi="宋体" w:cs="宋体"/>
                <w:b w:val="0"/>
                <w:i w:val="0"/>
                <w:color w:val="000000"/>
                <w:sz w:val="20"/>
              </w:rPr>
              <w:t xml:space="preserve">1,229.13</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1,229.13</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21602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商业流通事务</w:t>
            </w:r>
          </w:p>
        </w:tc>
        <w:tc>
          <w:tcPr>
            <w:tcW w:w="1980" w:type="dxa"/>
            <w:tcBorders/>
            <w:vAlign w:val="center"/>
          </w:tcPr>
          <w:p>
            <w:pPr>
              <w:jc w:val="right"/>
            </w:pPr>
            <w:r>
              <w:rPr>
                <w:rFonts w:ascii="宋体" w:eastAsia="宋体" w:hAnsi="宋体" w:cs="宋体"/>
                <w:b w:val="0"/>
                <w:i w:val="0"/>
                <w:color w:val="000000"/>
                <w:sz w:val="20"/>
              </w:rPr>
              <w:t xml:space="preserve">1,141.12</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1,141.12</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2160299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其他商业流通事务支出</w:t>
            </w:r>
          </w:p>
        </w:tc>
        <w:tc>
          <w:tcPr>
            <w:tcW w:w="1980" w:type="dxa"/>
            <w:tcBorders/>
            <w:vAlign w:val="center"/>
          </w:tcPr>
          <w:p>
            <w:pPr>
              <w:jc w:val="right"/>
            </w:pPr>
            <w:r>
              <w:rPr>
                <w:rFonts w:ascii="宋体" w:eastAsia="宋体" w:hAnsi="宋体" w:cs="宋体"/>
                <w:b w:val="0"/>
                <w:i w:val="0"/>
                <w:color w:val="000000"/>
                <w:sz w:val="20"/>
              </w:rPr>
              <w:t xml:space="preserve">1,141.12</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1,141.12</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21606</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涉外发展服务支出</w:t>
            </w:r>
          </w:p>
        </w:tc>
        <w:tc>
          <w:tcPr>
            <w:tcW w:w="1980" w:type="dxa"/>
            <w:tcBorders/>
            <w:vAlign w:val="center"/>
          </w:tcPr>
          <w:p>
            <w:pPr>
              <w:jc w:val="right"/>
            </w:pPr>
            <w:r>
              <w:rPr>
                <w:rFonts w:ascii="宋体" w:eastAsia="宋体" w:hAnsi="宋体" w:cs="宋体"/>
                <w:b w:val="0"/>
                <w:i w:val="0"/>
                <w:color w:val="000000"/>
                <w:sz w:val="20"/>
              </w:rPr>
              <w:t xml:space="preserve">88.01</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88.01</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2160699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其他涉外发展服务支出</w:t>
            </w:r>
          </w:p>
        </w:tc>
        <w:tc>
          <w:tcPr>
            <w:tcW w:w="1980" w:type="dxa"/>
            <w:tcBorders/>
            <w:vAlign w:val="center"/>
          </w:tcPr>
          <w:p>
            <w:pPr>
              <w:jc w:val="right"/>
            </w:pPr>
            <w:r>
              <w:rPr>
                <w:rFonts w:ascii="宋体" w:eastAsia="宋体" w:hAnsi="宋体" w:cs="宋体"/>
                <w:b w:val="0"/>
                <w:i w:val="0"/>
                <w:color w:val="000000"/>
                <w:sz w:val="20"/>
              </w:rPr>
              <w:t xml:space="preserve">88.01</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88.01</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12.56</w:t>
            </w:r>
          </w:p>
        </w:tc>
        <w:tc>
          <w:tcPr>
            <w:tcW w:w="1980" w:type="dxa"/>
            <w:tcBorders/>
            <w:vAlign w:val="center"/>
          </w:tcPr>
          <w:p>
            <w:pPr>
              <w:jc w:val="right"/>
            </w:pPr>
            <w:r>
              <w:rPr>
                <w:rFonts w:ascii="宋体" w:eastAsia="宋体" w:hAnsi="宋体" w:cs="宋体"/>
                <w:b w:val="0"/>
                <w:i w:val="0"/>
                <w:color w:val="000000"/>
                <w:sz w:val="20"/>
              </w:rPr>
              <w:t xml:space="preserve">12.56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12.56</w:t>
            </w:r>
          </w:p>
        </w:tc>
        <w:tc>
          <w:tcPr>
            <w:tcW w:w="1980" w:type="dxa"/>
            <w:tcBorders/>
            <w:vAlign w:val="center"/>
          </w:tcPr>
          <w:p>
            <w:pPr>
              <w:jc w:val="right"/>
            </w:pPr>
            <w:r>
              <w:rPr>
                <w:rFonts w:ascii="宋体" w:eastAsia="宋体" w:hAnsi="宋体" w:cs="宋体"/>
                <w:b w:val="0"/>
                <w:i w:val="0"/>
                <w:color w:val="000000"/>
                <w:sz w:val="20"/>
              </w:rPr>
              <w:t xml:space="preserve">12.56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12.56</w:t>
            </w:r>
          </w:p>
        </w:tc>
        <w:tc>
          <w:tcPr>
            <w:tcW w:w="1980" w:type="dxa"/>
            <w:tcBorders/>
            <w:vAlign w:val="center"/>
          </w:tcPr>
          <w:p>
            <w:pPr>
              <w:jc w:val="right"/>
            </w:pPr>
            <w:r>
              <w:rPr>
                <w:rFonts w:ascii="宋体" w:eastAsia="宋体" w:hAnsi="宋体" w:cs="宋体"/>
                <w:b w:val="0"/>
                <w:i w:val="0"/>
                <w:color w:val="000000"/>
                <w:sz w:val="20"/>
              </w:rPr>
              <w:t xml:space="preserve">12.56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如本表为空，则我部门本年度无此类资金收支结余。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147.30</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10.35</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46.09</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1.92</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24.34</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35.07</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jc w:val="right"/>
            </w:pPr>
            <w:r>
              <w:rPr>
                <w:rFonts w:ascii="宋体" w:eastAsia="宋体" w:hAnsi="宋体" w:cs="宋体"/>
                <w:b w:val="0"/>
                <w:i w:val="0"/>
                <w:color w:val="000000"/>
                <w:sz w:val="14"/>
              </w:rPr>
              <w:t xml:space="preserve">12.25</w:t>
            </w: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11.46</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jc w:val="right"/>
            </w:pPr>
            <w:r>
              <w:rPr>
                <w:rFonts w:ascii="宋体" w:eastAsia="宋体" w:hAnsi="宋体" w:cs="宋体"/>
                <w:b w:val="0"/>
                <w:i w:val="0"/>
                <w:color w:val="000000"/>
                <w:sz w:val="14"/>
              </w:rPr>
              <w:t xml:space="preserve">4.07</w:t>
            </w: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jc w:val="right"/>
            </w:pPr>
            <w:r>
              <w:rPr>
                <w:rFonts w:ascii="宋体" w:eastAsia="宋体" w:hAnsi="宋体" w:cs="宋体"/>
                <w:b w:val="0"/>
                <w:i w:val="0"/>
                <w:color w:val="000000"/>
                <w:sz w:val="14"/>
              </w:rPr>
              <w:t xml:space="preserve">1.16</w:t>
            </w: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0.30</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12.56</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jc w:val="right"/>
            </w:pPr>
            <w:r>
              <w:rPr>
                <w:rFonts w:ascii="宋体" w:eastAsia="宋体" w:hAnsi="宋体" w:cs="宋体"/>
                <w:b w:val="0"/>
                <w:i w:val="0"/>
                <w:color w:val="000000"/>
                <w:sz w:val="14"/>
              </w:rPr>
              <w:t xml:space="preserve">0.71</w:t>
            </w: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jc w:val="right"/>
            </w:pPr>
            <w:r>
              <w:rPr>
                <w:rFonts w:ascii="宋体" w:eastAsia="宋体" w:hAnsi="宋体" w:cs="宋体"/>
                <w:b w:val="0"/>
                <w:i w:val="0"/>
                <w:color w:val="000000"/>
                <w:sz w:val="14"/>
              </w:rPr>
              <w:t xml:space="preserve">0.71</w:t>
            </w: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jc w:val="right"/>
            </w:pPr>
            <w:r>
              <w:rPr>
                <w:rFonts w:ascii="宋体" w:eastAsia="宋体" w:hAnsi="宋体" w:cs="宋体"/>
                <w:b w:val="0"/>
                <w:i w:val="0"/>
                <w:color w:val="000000"/>
                <w:sz w:val="14"/>
              </w:rPr>
              <w:t xml:space="preserve">1.85</w:t>
            </w: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jc w:val="right"/>
            </w:pPr>
            <w:r>
              <w:rPr>
                <w:rFonts w:ascii="宋体" w:eastAsia="宋体" w:hAnsi="宋体" w:cs="宋体"/>
                <w:b w:val="0"/>
                <w:i w:val="0"/>
                <w:color w:val="000000"/>
                <w:sz w:val="14"/>
              </w:rPr>
              <w:t xml:space="preserve">0.10</w:t>
            </w: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6.48</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148.01</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10.35</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如本表为空，则我部门本年度无此类资金收支结余。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如本表为空，则我部门本年度无此类资金收支结余。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如本表为空，则我部门本年度无此类资金收支结余。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单位：辽宁省盘锦市兴隆台区商务局（本级）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如本表为空，则我部门本年度无此类资金收支结余。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44"/>
          <w:szCs w:val="44"/>
        </w:rPr>
      </w:pPr>
      <w:r>
        <w:rPr>
          <w:rFonts w:ascii="宋体" w:hAnsi="宋体" w:hint="eastAsia"/>
          <w:b/>
          <w:sz w:val="36"/>
          <w:szCs w:val="36"/>
        </w:rPr>
        <w:t xml:space="preserve">第五部分 附件</w:t>
      </w:r>
    </w:p>
    <w:p>
      <w:pPr>
        <w:spacing w:line="540" w:lineRule="exact"/>
        <w:jc w:val="center"/>
        <w:rPr>
          <w:rFonts w:ascii="宋体" w:hAnsi="宋体"/>
          <w:b/>
          <w:sz w:val="52"/>
          <w:szCs w:val="52"/>
        </w:rPr>
        <w:sectPr>
          <w:pgSz w:w="11906" w:h="16838" w:orient="portrait"/>
          <w:pgMar w:top="567" w:right="567" w:bottom="567" w:left="567" w:header="851" w:footer="992" w:gutter="0"/>
          <w:cols w:num="1" w:space="720">
            <w:col w:w="10772" w:space="720"/>
          </w:cols>
          <w:docGrid w:type="lines" w:linePitch="312"/>
        </w:sectPr>
      </w:pPr>
    </w:p>
    <w:p>
      <w:pPr>
        <w:pStyle w:val="Normal_7b4f9fec-d198-4c47-b010-d178ead08280"/>
      </w:pPr>
      <w:r>
        <w:pict>
          <v:shape id="_x0000_s1054" type="#_x0000_t75" style="height:545.65pt;margin-left:0;margin-top:0;position:absolute;width:841.75pt;z-index:0">
            <v:imagedata r:id="rId8" o:title=""/>
            <w10:wrap type="square"/>
          </v:shape>
        </w:pict>
      </w:r>
    </w:p>
    <w:p>
      <w:pPr>
        <w:pStyle w:val="Normal_7b4f9fec-d198-4c47-b010-d178ead08280"/>
      </w:pPr>
      <w:r>
        <w:pict>
          <v:shape id="_x0000_s1055" type="#_x0000_t75" style="height:545.65pt;margin-left:0;margin-top:0;position:absolute;width:841.75pt;z-index:0">
            <v:imagedata r:id="rId9" o:title=""/>
            <w10:wrap type="square"/>
          </v:shape>
        </w:pict>
      </w:r>
    </w:p>
    <w:p>
      <w:pPr>
        <w:pStyle w:val="Normal_7b4f9fec-d198-4c47-b010-d178ead08280"/>
      </w:pPr>
      <w:r>
        <w:pict>
          <v:shape id="_x0000_s1056" type="#_x0000_t75" style="height:545.65pt;margin-left:0;margin-top:0;position:absolute;width:841.75pt;z-index:0">
            <v:imagedata r:id="rId10" o:title=""/>
            <w10:wrap type="square"/>
          </v:shape>
        </w:pict>
      </w:r>
    </w:p>
    <w:p>
      <w:pPr>
        <w:pStyle w:val="Normal_7b4f9fec-d198-4c47-b010-d178ead08280"/>
        <w:sectPr>
          <w:headerReference w:type="default" r:id="rId11"/>
          <w:pgSz w:w="16839" w:h="11907" w:orient="landscape"/>
          <w:pgMar w:top="2" w:right="2" w:bottom="992" w:left="2" w:header="0" w:footer="720" w:gutter="0"/>
        </w:sectPr>
      </w:pPr>
      <w:r>
        <w:pict>
          <v:shape id="_x0000_s1057" type="#_x0000_t75" style="height:545.65pt;margin-left:0;margin-top:0;position:absolute;width:841.75pt;z-index:0">
            <v:imagedata r:id="rId12" o:title=""/>
            <w10:wrap type="square"/>
          </v:shape>
        </w:pict>
      </w:r>
    </w:p>
    <w:p>
      <w:pPr>
        <w:pStyle w:val="Normal_7b4f9fec-d198-4c47-b010-d178ead08280"/>
      </w:pPr>
      <w:r>
        <w:pict>
          <v:shape id="_x0000_s1058" type="#_x0000_t75" style="height:545.65pt;margin-left:0;margin-top:0;position:absolute;width:841.75pt;z-index:0">
            <v:imagedata r:id="rId13" o:title=""/>
            <w10:wrap type="square"/>
          </v:shape>
        </w:pict>
      </w:r>
    </w:p>
    <w:p>
      <w:pPr>
        <w:pStyle w:val="Normal_7b4f9fec-d198-4c47-b010-d178ead08280"/>
        <w:sectPr>
          <w:headerReference w:type="default" r:id="rId14"/>
          <w:pgSz w:w="16839" w:h="11907" w:orient="landscape"/>
          <w:pgMar w:top="2" w:right="2" w:bottom="992" w:left="2" w:header="0" w:footer="720" w:gutter="0"/>
        </w:sectPr>
      </w:pPr>
      <w:r>
        <w:pict>
          <v:shape id="_x0000_s1059" type="#_x0000_t75" style="height:545.65pt;margin-left:0;margin-top:0;position:absolute;width:841.75pt;z-index:0">
            <v:imagedata r:id="rId15" o:title=""/>
            <w10:wrap type="square"/>
          </v:shape>
        </w:pict>
      </w:r>
    </w:p>
    <w:p>
      <w:pPr>
        <w:pStyle w:val="Normal_7b4f9fec-d198-4c47-b010-d178ead08280"/>
      </w:pPr>
      <w:r>
        <w:pict>
          <v:shape id="_x0000_s1060" type="#_x0000_t75" style="height:545.65pt;margin-left:0;margin-top:0;position:absolute;width:841.75pt;z-index:0">
            <v:imagedata r:id="rId16" o:title=""/>
            <w10:wrap type="square"/>
          </v:shape>
        </w:pict>
      </w:r>
    </w:p>
    <w:sectPr>
      <w:headerReference w:type="default" r:id="rId17"/>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variable"/>
    <w:sig w:usb0="A00006FF" w:usb1="4000205B" w:usb2="00000010" w:usb3="00000000" w:csb0="0000019F" w:csb1="00000000"/>
  </w:font>
  <w:font w:name="黑体">
    <w:altName w:val="SimHei"/>
    <w:panose1 w:val="02010609060101010101"/>
    <w:charset w:val="86"/>
    <w:family w:val="Auto"/>
    <w:pitch w:val="fixed"/>
    <w:sig w:usb0="800002BF" w:usb1="38CF7CFA" w:usb2="00000016" w:usb3="00000000" w:csb0="00040001" w:csb1="00000000"/>
  </w:font>
  <w:font w:name="仿宋">
    <w:panose1 w:val="02010609060101010101"/>
    <w:charset w:val="86"/>
    <w:family w:val="Auto"/>
    <w:pitch w:val="fixed"/>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Auto"/>
    <w:pitch w:val="variable"/>
    <w:sig w:usb0="E00006FF" w:usb1="420024FF" w:usb2="02000000" w:usb3="00000000" w:csb0="0000019F" w:csb1="00000000"/>
  </w:font>
  <w:font w:name="Calibri">
    <w:panose1 w:val="020F0502020204030204"/>
    <w:charset w:val="00"/>
    <w:family w:val="Auto"/>
    <w:pitch w:val="variable"/>
    <w:sig w:usb0="E4002EFF" w:usb1="C0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rP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rPr/>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rPr/>
    </w:pPr>
    <w:r>
      <w:rPr>
        <w:noProof/>
      </w:rPr>
      <mc:AlternateContent xmlns:mc="http://schemas.openxmlformats.org/markup-compatibility/2006">
        <mc:Choice Requires="wps">
          <w:drawing>
            <wp:anchor distT="0" distB="0" distL="114300" distR="114300" simplePos="0" relativeHeight="251659264" behindDoc="0" locked="0" layoutInCell="1" allowOverlap="1" hidden="0">
              <wp:simplePos x="0" y="0"/>
              <wp:positionH relativeFrom="margin">
                <wp:align>center</wp:align>
              </wp:positionH>
              <wp:positionV relativeFrom="paragraph">
                <wp:posOffset>0</wp:posOffset>
              </wp:positionV>
              <wp:extent cx="1828800" cy="1828800"/>
              <wp:effectExtent l="0" t="0" r="0" b="0"/>
              <wp:wrapNone/>
              <wp:docPr id="3" name="文本框 3" hidden="0"/>
              <wp:cNvGraphicFramePr>
                <a:graphicFrameLocks xmlns:a="http://schemas.openxmlformats.org/drawingml/2006/main" noChangeAspect="1"/>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rPr/>
                          </w:pPr>
                          <w:r>
                            <w:fldChar w:fldCharType="begin"/>
                          </w:r>
                          <w:r>
                            <w:instrText xml:space="preserve"> PAGE  \* MERGEFORMAT </w:instrText>
                          </w:r>
                          <w:r>
                            <w:fldChar w:fldCharType="separate"/>
                          </w:r>
                          <w:r w:rsidR="00BA103E">
                            <w:rPr>
                              <w:noProof/>
                            </w:rPr>
                            <w:t xml:space="preserve">15</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1053" type="#_x0000_t202" style="height:2in;margin-left:0;margin-top:0;mso-position-horizontal:center;mso-position-horizontal-relative:margin;mso-wrap-distance-bottom:0;mso-wrap-distance-left:9pt;mso-wrap-distance-right:9pt;mso-wrap-distance-top:0;mso-wrap-style:none;position:absolute;v-text-anchor:top;visibility:visible;width:2in;z-index:251659264" filled="f" stroked="f" strokeweight="0.5pt">
              <w10:bordertop type="none" width="0"/>
              <w10:borderleft type="none" width="0"/>
              <w10:borderbottom type="none" width="0"/>
              <w10:borderright type="none" width="0"/>
              <v:textbox style="layout-flow:horizontal;mso-fit-shape-to-text:t" inset="0,0,0,0">
                <w:txbxContent>
                  <w:p>
                    <w:pPr>
                      <w:pStyle w:val="Footer"/>
                      <w:rPr/>
                    </w:pPr>
                    <w:r>
                      <w:fldChar w:fldCharType="begin"/>
                    </w:r>
                    <w:r>
                      <w:instrText xml:space="preserve"> PAGE  \* MERGEFORMAT </w:instrText>
                    </w:r>
                    <w:r>
                      <w:fldChar w:fldCharType="separate"/>
                    </w:r>
                    <w:r w:rsidR="00BA103E">
                      <w:rPr>
                        <w:noProof/>
                      </w:rPr>
                      <w:t xml:space="preserve">15</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7b4f9fec-d198-4c47-b010-d178ead08280"/>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7b4f9fec-d198-4c47-b010-d178ead08280"/>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7b4f9fec-d198-4c47-b010-d178ead08280"/>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00"/>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pPr>
      <w:widowControl w:val="0"/>
      <w:jc w:val="both"/>
    </w:pPr>
    <w:rPr>
      <w:kern w:val="2"/>
      <w:sz w:val="21"/>
      <w:szCs w:val="24"/>
    </w:rPr>
  </w:style>
  <w:style w:type="character" w:default="1" w:styleId="DefaultParagraphFont">
    <w:name w:val="Default Paragraph Font"/>
    <w:uiPriority w:val="1"/>
    <w:semiHidden/>
    <w:unhideWhenUsed/>
    <w:rPr/>
  </w:style>
  <w:style w:type="table" w:default="1" w:styleId="NormalTable">
    <w:name w:val="Normal Table"/>
    <w:uiPriority w:val="99"/>
    <w:semiHidden/>
    <w:unhideWhenUsed/>
    <w:rPr/>
    <w:tblPr>
      <w:tblInd w:w="0" w:type="dxa"/>
      <w:tblCellMar>
        <w:top w:w="0" w:type="dxa"/>
        <w:left w:w="108" w:type="dxa"/>
        <w:bottom w:w="0" w:type="dxa"/>
        <w:right w:w="108" w:type="dxa"/>
      </w:tblCellMar>
    </w:tblPr>
  </w:style>
  <w:style w:type="numbering" w:styleId="NoList">
    <w:name w:val="No List"/>
    <w:uiPriority w:val="99"/>
    <w:semiHidden/>
    <w:unhideWhenUsed/>
    <w:rPr/>
  </w:style>
  <w:style w:type="paragraph" w:styleId="BodyText">
    <w:name w:val="Body Text"/>
    <w:basedOn w:val="Normal"/>
    <w:autoRedefine/>
    <w:qFormat/>
    <w:rPr>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7b4f9fec-d198-4c47-b010-d178ead08280">
    <w:name w:val="Normal_7b4f9fec-d198-4c47-b010-d178ead08280"/>
    <w:qFormat/>
    <w:rPr>
      <w:rFonts w:ascii="Times New Roman" w:eastAsia="Times New Roman" w:hAnsi="Times New Roman"/>
      <w:sz w:val="24"/>
      <w:szCs w:val="24"/>
      <w:lang w:val="en-US" w:eastAsia="uk-UA" w:bidi="ar-SA"/>
    </w:rPr>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header" Target="header1.xml"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header" Target="header2.xml"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header" Target="header3.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customXml" Target="../customXml/item2.xml" /><Relationship Id="rId20" Type="http://schemas.openxmlformats.org/officeDocument/2006/relationships/webSettings" Target="webSettings.xml" /><Relationship Id="rId21" Type="http://schemas.openxmlformats.org/officeDocument/2006/relationships/numbering" Target="numbering.xml" /><Relationship Id="rId22" Type="http://schemas.openxmlformats.org/officeDocument/2006/relationships/fontTable" Target="fontTable.xml" /><Relationship Id="rId23"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legion1</cp:lastModifiedBy>
  <cp:revision>12</cp:revision>
  <cp:lastPrinted>2023-07-31T21:56:00Z</cp:lastPrinted>
  <dcterms:created xsi:type="dcterms:W3CDTF">2024-05-11T01:33:00Z</dcterms:created>
  <dcterms:modified xsi:type="dcterms:W3CDTF">2024-11-08T03:28:00Z</dcterms:modified>
</cp:coreProperties>
</file>

<file path=customXml/item2.xml><?xml version="1.0" encoding="utf-8"?>
<Properties xmlns="http://schemas.openxmlformats.org/officeDocument/2006/extended-properties" xmlns:vt="http://schemas.openxmlformats.org/officeDocument/2006/docPropsVTypes">
  <Template>Normal</Template>
  <TotalTime>3</TotalTime>
  <Pages>28</Pages>
  <Words>1954</Words>
  <Characters>11138</Characters>
  <Application>Microsoft Office Word</Application>
  <DocSecurity>0</DocSecurity>
  <Lines>92</Lines>
  <Paragraphs>26</Paragraphs>
  <ScaleCrop>false</ScaleCrop>
  <Company>Microsoft</Company>
  <LinksUpToDate>false</LinksUpToDate>
  <CharactersWithSpaces>13066</CharactersWithSpaces>
  <SharedDoc>false</SharedDoc>
  <HyperlinksChanged>false</HyperlinksChanged>
  <AppVersion>15.0000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EC9CEE0467244214B2233E74EBAAD9F6_13</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3</TotalTime>
  <Pages>28</Pages>
  <Words>1954</Words>
  <Characters>11138</Characters>
  <Application>Microsoft Office Word</Application>
  <DocSecurity>0</DocSecurity>
  <Lines>92</Lines>
  <Paragraphs>26</Paragraphs>
  <Company>Microsoft</Company>
  <CharactersWithSpaces>13066</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legion1</cp:lastModifiedBy>
  <cp:revision>12</cp:revision>
  <cp:lastPrinted>2023-07-31T21:56:00Z</cp:lastPrinted>
  <dcterms:created xsi:type="dcterms:W3CDTF">2024-05-11T01:33:00Z</dcterms:created>
  <dcterms:modified xsi:type="dcterms:W3CDTF">2024-11-08T03:28:00Z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2052-12.1.0.18276</vt:lpwstr>
  </property>
  <property fmtid="{D5CDD505-2E9C-101B-9397-08002B2CF9AE}" pid="3" name="ICV">
    <vt:lpwstr>EC9CEE0467244214B2233E74EBAAD9F6_13</vt:lpwstr>
  </property>
</Properties>
</file>