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28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人社服务中心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人社中心部门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人社中心部门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>
      <w:pPr>
        <w:pStyle w:val="2"/>
        <w:spacing w:before="44"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人社服务中心部门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t>（一）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贯彻执行各项就业创业和人才引进等服务性政策，为拟订我区相关发展规划、政策措施并指导创业带动就业提供服务。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（二）贯彻执行国家、省、市有关机关事业单位养老保险、工伤保险、失业保险的法律法规和有关政策规定。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三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为全区创业孵化基地、城乡基层人力资源服务平台建设提供服务；承担全区就业失业人员的公共就业服务工作；承担全区就业失业人员的登记、监测、统计、分析工作；为就业困难人员登记与就业援助提供服务。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四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）承担流动人员、毕业生人事档案管理及相关人事代理工作；承担全区普惠制培训机构服务和下岗失业人员、农村转移劳动力技能培训工作。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五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）承担人力资源市场的管理工作；开展人力资源需求信息收集整理、分析预测和发布工作，组织人力资源市场信息平台建设及管理运营工作。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六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）承担全区各项人才政策落实工作；为全区各类人才交流、引进、开发和培养工作提供服务；负责人才供求信息统计、上报和发布工作。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七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）为全区大中专毕业生就业政策制定、就业指导、就业见习及创业提供服务工作；开展毕业生创业、转岗等各类培训工作；承担大学生“三支一扶”计划的实施、选派、管理和考核工作。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八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）承担“毕业生就业见习基地”、“大学生创业孵化基地”的建设与管理；开展“两难”家庭高校毕业生</w:t>
      </w:r>
      <w:r>
        <w:rPr>
          <w:rFonts w:hint="eastAsia" w:ascii="仿宋" w:hAnsi="仿宋" w:eastAsia="仿宋" w:cs="仿宋"/>
          <w:sz w:val="30"/>
          <w:szCs w:val="30"/>
          <w:lang w:eastAsia="zh-CN" w:bidi="ar-SA"/>
        </w:rPr>
        <w:t>公益性岗位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的征集、人员选派和管理考核。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九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）承担区直机关、事业单位的养老保险、工伤保险、失业保险经办服务工作。承担区直机关事业单位职业年金相关服务工作。承担全区人力资源和社会保障信息系统建设、运行和维护工作。</w:t>
      </w:r>
    </w:p>
    <w:p>
      <w:pPr>
        <w:ind w:firstLine="680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（十）开展参保登记、个人权益记录、待遇支付及风险防控、监察、稽核等工作。</w:t>
      </w:r>
    </w:p>
    <w:p>
      <w:pPr>
        <w:ind w:firstLine="6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bidi="ar-SA"/>
        </w:rPr>
        <w:t>（十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一</w:t>
      </w:r>
      <w:r>
        <w:rPr>
          <w:rFonts w:hint="eastAsia" w:ascii="仿宋" w:hAnsi="仿宋" w:eastAsia="仿宋" w:cs="仿宋"/>
          <w:sz w:val="30"/>
          <w:szCs w:val="30"/>
          <w:lang w:bidi="ar-SA"/>
        </w:rPr>
        <w:t>）承担区人力资源和社会保障局交办的其他工作。</w:t>
      </w:r>
    </w:p>
    <w:p>
      <w:pPr>
        <w:pStyle w:val="2"/>
        <w:spacing w:before="194" w:line="295" w:lineRule="auto"/>
        <w:ind w:left="27" w:firstLine="636"/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人社服务中心部门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>
      <w:pPr>
        <w:spacing w:line="54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根据本部门主要职责，内设机构如下：</w:t>
      </w:r>
    </w:p>
    <w:p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、综合办公室</w:t>
      </w:r>
    </w:p>
    <w:p>
      <w:pPr>
        <w:pStyle w:val="3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负责中心行政运行的综合协调工作；负责会议会务、文书档案、公务车辆、文电、机要、保密、安全生产和其他后勤保障工作；负责政务公开、文字综合、绩效考核、督查督办、稽核、依法行政、信息宣传、网络系统管理、法律事务工作；负责服务标准化建设工作；负责各类信访、举报、投诉事项的处理工作；负责中心党的组织建设、党风廉政、宣传教育、意识形态、精神文明建设等党务工作；负责中心工会、共青团、妇委会等群众组织工作；负责民族宗教事务；负责中心的机构编制、人事管理、干部队伍建设、退休人员服务、纪检监察及上级党组织交办的其它工作。</w:t>
      </w:r>
    </w:p>
    <w:p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、财务基金结算办公室</w:t>
      </w:r>
    </w:p>
    <w:p>
      <w:pPr>
        <w:pStyle w:val="3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负责拟定中心财务管理制度；负责编制和执行财务经费及社会保险（养老、失业、工伤保险）、人才就业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_GB2312"/>
          <w:sz w:val="32"/>
          <w:szCs w:val="32"/>
        </w:rPr>
        <w:t>的预决算工作；负责各项就业创业资金的使用、拨付和核算工作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、创业就业促进办公室</w:t>
      </w:r>
    </w:p>
    <w:p>
      <w:pPr>
        <w:ind w:firstLine="6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落实城乡创新创业的政策措施；指导落实创业扶持政策和创业带头人培养、认定工作；承担创业项目的收集与咨询工作；承担扶持政策企业的认定、管理和创业资金与创业带动就业专项资金管理使用工作；负责就业和创业人员小额担保业务的审核与管理；负责大中专毕业生的创业指导工作；负责“全区创业创新孵化基地”、“大学生创业孵化基地”、“毕业生就业见习基地”的建设、运营与管理等工作。</w:t>
      </w:r>
    </w:p>
    <w:p>
      <w:pPr>
        <w:ind w:firstLine="6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负责人力资源市场的权利；负责就业困难人员登记与就业援助工作；负责全区公益性岗位管理和大龄灵活就业人员管理与服务；负责全区就业失业人员的登记管理、就业失业信息监测管理；负责再就业优惠政策咨询；负责失业保险综合管理、核定失业人员享受有关待遇工作；负责办理享受失业保险待遇人员的医疗保险关系接续工作；负责失业保险金发放工作。</w:t>
      </w:r>
    </w:p>
    <w:p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、人才引进与发展办公室</w:t>
      </w:r>
    </w:p>
    <w:p>
      <w:pPr>
        <w:pStyle w:val="3"/>
        <w:spacing w:before="0" w:beforeAutospacing="0" w:after="0" w:afterAutospacing="0"/>
        <w:ind w:firstLine="645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负责人才交流、引进、开发及人才供求信息统计、上报和发布；负责人才资源状况的调研、人才政策的落实；负责高层次和急需人才的引进工作；负责建立各类人才库；负责促进毕业生就业、创业相关政策措施的拟定与落实；开展大中专毕业生就业政策、就业指导、就业见习及创业服务工作；负责大型人才项目的策划、大学生“三支一扶”计划的实施、选派、管理和考核工作；负责人事代理中心的档案管理工作，为开展人事代理业务、流动人才和未就业高校毕业生转移手续提供服务，代为申报和评定专业技术职务任职资格和养老保险等业务。</w:t>
      </w:r>
    </w:p>
    <w:p>
      <w:pPr>
        <w:ind w:firstLine="68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、机关事业单位养老保险办公室</w:t>
      </w:r>
    </w:p>
    <w:p>
      <w:pPr>
        <w:ind w:firstLine="680"/>
        <w:rPr>
          <w:rFonts w:hint="eastAsia" w:ascii="FZFSK--GBK1-0" w:eastAsia="FZFSK--GBK1-0" w:cs="FZFSK--GBK1-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负责区直和上级委托的机关、事业单位职工的养老、失业、工伤保险的申报、审核、征收、保险金转移、个人账户管理工作；负责区直机关事业单位参保职工离退休（职）养老金的审核与发放工作，核定在职职工的调转、死亡一次性返还个人账户工作及退休人员档案管理工作；承担区直机关事业单位职业年金相关服务工作；负责社会保障信息化管理和维护工作。</w:t>
      </w:r>
    </w:p>
    <w:p>
      <w:pPr>
        <w:pStyle w:val="2"/>
        <w:spacing w:before="194" w:line="295" w:lineRule="auto"/>
        <w:ind w:left="27" w:firstLine="636"/>
      </w:pPr>
    </w:p>
    <w:p>
      <w:pPr>
        <w:pStyle w:val="2"/>
        <w:spacing w:before="194" w:line="295" w:lineRule="auto"/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人社服务中心部门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1848.53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1848.53</w:t>
      </w:r>
      <w:r>
        <w:rPr>
          <w:spacing w:val="3"/>
        </w:rPr>
        <w:t>万元；</w:t>
      </w:r>
    </w:p>
    <w:p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1848.53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356.07</w:t>
      </w:r>
      <w:r>
        <w:rPr>
          <w:spacing w:val="1"/>
        </w:rPr>
        <w:t>万元；</w:t>
      </w:r>
    </w:p>
    <w:p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1492.46</w:t>
      </w:r>
      <w:r>
        <w:rPr>
          <w:spacing w:val="3"/>
        </w:rPr>
        <w:t>万元。</w:t>
      </w:r>
    </w:p>
    <w:p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7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1424.96</w:t>
      </w:r>
      <w:r>
        <w:rPr>
          <w:spacing w:val="7"/>
        </w:rPr>
        <w:t>万元。</w:t>
      </w:r>
    </w:p>
    <w:p>
      <w:pPr>
        <w:spacing w:before="57" w:line="318" w:lineRule="auto"/>
        <w:ind w:left="40" w:right="11" w:firstLine="624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2207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2025年预算按照区本级实际支出金额填报</w:t>
      </w:r>
    </w:p>
    <w:p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人社服务中心部门管理专项资金共7个，涉及资金1424.96万元。其中：公益性岗位补贴项目526万元；公益性岗位社保补贴项目594.2万元；吸纳就业困难人员的企业岗位补贴和社保补贴65.70万元；高校毕业生生活补贴36万元；企业一次性吸纳毕业生就业补贴2万元；企业吸纳毕业生社保补贴10万元；创业场地补贴1万元。</w:t>
      </w:r>
    </w:p>
    <w:p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人社服务中心部门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21.29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办公费10.25万元，委托业务费0.30万元，工会经费4.36万元，福利费0.38万元</w:t>
      </w:r>
      <w:r>
        <w:rPr>
          <w:spacing w:val="12"/>
        </w:rPr>
        <w:t>。</w:t>
      </w:r>
    </w:p>
    <w:p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2025年盘锦市双台子区人社服务中心部门安排政府采购预算0万元，具体为货物0万元，服务0万元，工程0万元；预留面向中小企业采购份额0万元，其中预留给小微企业0万元。</w:t>
      </w:r>
    </w:p>
    <w:p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>
      <w:pPr>
        <w:pStyle w:val="2"/>
        <w:spacing w:before="181" w:line="322" w:lineRule="auto"/>
        <w:ind w:left="27" w:right="12" w:firstLine="673"/>
        <w:rPr>
          <w:rFonts w:hint="eastAsia"/>
          <w:color w:val="auto"/>
          <w:spacing w:val="10"/>
          <w:lang w:eastAsia="zh-CN"/>
        </w:rPr>
      </w:pPr>
      <w:r>
        <w:rPr>
          <w:rFonts w:hint="eastAsia"/>
          <w:color w:val="auto"/>
          <w:spacing w:val="10"/>
          <w:lang w:val="en-US" w:eastAsia="zh-CN"/>
        </w:rPr>
        <w:t>2025</w:t>
      </w:r>
      <w:r>
        <w:rPr>
          <w:rFonts w:hint="eastAsia"/>
          <w:color w:val="auto"/>
          <w:spacing w:val="10"/>
          <w:lang w:eastAsia="zh-CN"/>
        </w:rPr>
        <w:t>年，盘锦市双台子区</w:t>
      </w:r>
      <w:r>
        <w:rPr>
          <w:rFonts w:hint="eastAsia"/>
          <w:color w:val="auto"/>
          <w:spacing w:val="10"/>
          <w:lang w:val="en-US" w:eastAsia="zh-CN"/>
        </w:rPr>
        <w:t>人社服务中心部门</w:t>
      </w:r>
      <w:r>
        <w:rPr>
          <w:rFonts w:hint="eastAsia"/>
          <w:color w:val="auto"/>
          <w:spacing w:val="10"/>
          <w:lang w:eastAsia="zh-CN"/>
        </w:rPr>
        <w:t>财政拨款预算安排的“三公”经费预算为</w:t>
      </w:r>
      <w:r>
        <w:rPr>
          <w:rFonts w:hint="eastAsia"/>
          <w:color w:val="auto"/>
          <w:spacing w:val="10"/>
          <w:lang w:val="en-US" w:eastAsia="zh-CN"/>
        </w:rPr>
        <w:t>6</w:t>
      </w:r>
      <w:r>
        <w:rPr>
          <w:rFonts w:hint="eastAsia"/>
          <w:color w:val="auto"/>
          <w:spacing w:val="10"/>
          <w:lang w:eastAsia="zh-CN"/>
        </w:rPr>
        <w:t>万元，比上年减少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万元，下降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%。其中：</w:t>
      </w:r>
    </w:p>
    <w:p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>
      <w:pPr>
        <w:pStyle w:val="2"/>
        <w:spacing w:before="53" w:line="319" w:lineRule="auto"/>
        <w:ind w:left="40" w:right="66" w:firstLine="662"/>
        <w:rPr>
          <w:color w:val="auto"/>
          <w:spacing w:val="10"/>
        </w:rPr>
      </w:pPr>
      <w:r>
        <w:rPr>
          <w:rFonts w:hint="eastAsia"/>
          <w:color w:val="auto"/>
          <w:spacing w:val="10"/>
          <w:lang w:eastAsia="zh-CN"/>
        </w:rPr>
        <w:t>3.公务用车购置及运行费</w:t>
      </w:r>
      <w:r>
        <w:rPr>
          <w:rFonts w:hint="eastAsia"/>
          <w:color w:val="auto"/>
          <w:spacing w:val="10"/>
          <w:lang w:val="en-US" w:eastAsia="zh-CN"/>
        </w:rPr>
        <w:t>6</w:t>
      </w:r>
      <w:r>
        <w:rPr>
          <w:rFonts w:hint="eastAsia"/>
          <w:color w:val="auto"/>
          <w:spacing w:val="10"/>
          <w:lang w:eastAsia="zh-CN"/>
        </w:rPr>
        <w:t>万元（其中：公务用车购置费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万元，比上年减少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万元，下降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%；公务用车运行费</w:t>
      </w:r>
      <w:r>
        <w:rPr>
          <w:rFonts w:hint="eastAsia"/>
          <w:color w:val="auto"/>
          <w:spacing w:val="10"/>
          <w:lang w:val="en-US" w:eastAsia="zh-CN"/>
        </w:rPr>
        <w:t>6</w:t>
      </w:r>
      <w:r>
        <w:rPr>
          <w:rFonts w:hint="eastAsia"/>
          <w:color w:val="auto"/>
          <w:spacing w:val="10"/>
          <w:lang w:eastAsia="zh-CN"/>
        </w:rPr>
        <w:t>万元，比上年减少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万元，下降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%），比上年减少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万元，下降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rFonts w:hint="eastAsia"/>
          <w:color w:val="auto"/>
          <w:spacing w:val="10"/>
          <w:lang w:eastAsia="zh-CN"/>
        </w:rPr>
        <w:t>%。主要原因是</w:t>
      </w:r>
      <w:r>
        <w:rPr>
          <w:rFonts w:hint="eastAsia"/>
          <w:color w:val="auto"/>
          <w:spacing w:val="10"/>
          <w:lang w:val="en-US" w:eastAsia="zh-CN"/>
        </w:rPr>
        <w:t>跟去年经费一样</w:t>
      </w:r>
      <w:r>
        <w:rPr>
          <w:rFonts w:hint="eastAsia"/>
          <w:color w:val="auto"/>
          <w:spacing w:val="10"/>
          <w:lang w:eastAsia="zh-CN"/>
        </w:rPr>
        <w:t>。</w:t>
      </w:r>
    </w:p>
    <w:p>
      <w:pPr>
        <w:pStyle w:val="2"/>
        <w:spacing w:before="181" w:line="322" w:lineRule="auto"/>
        <w:ind w:left="27" w:right="12" w:firstLine="673"/>
        <w:rPr>
          <w:color w:val="auto"/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>
            <w:pPr>
              <w:pStyle w:val="7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  <w:tc>
          <w:tcPr>
            <w:tcW w:w="2586" w:type="dxa"/>
            <w:vAlign w:val="top"/>
          </w:tcPr>
          <w:p>
            <w:pPr>
              <w:pStyle w:val="7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>
            <w:pPr>
              <w:pStyle w:val="7"/>
              <w:jc w:val="center"/>
              <w:rPr>
                <w:sz w:val="36"/>
                <w:szCs w:val="36"/>
              </w:rPr>
            </w:pPr>
          </w:p>
        </w:tc>
        <w:tc>
          <w:tcPr>
            <w:tcW w:w="2586" w:type="dxa"/>
            <w:vAlign w:val="top"/>
          </w:tcPr>
          <w:p>
            <w:pPr>
              <w:pStyle w:val="7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>
            <w:pPr>
              <w:pStyle w:val="7"/>
              <w:jc w:val="center"/>
              <w:rPr>
                <w:sz w:val="36"/>
                <w:szCs w:val="36"/>
              </w:rPr>
            </w:pPr>
          </w:p>
        </w:tc>
        <w:tc>
          <w:tcPr>
            <w:tcW w:w="2586" w:type="dxa"/>
            <w:vAlign w:val="top"/>
          </w:tcPr>
          <w:p>
            <w:pPr>
              <w:pStyle w:val="7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120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>
            <w:pPr>
              <w:pStyle w:val="7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  <w:tc>
          <w:tcPr>
            <w:tcW w:w="2586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>
            <w:pPr>
              <w:pStyle w:val="7"/>
              <w:jc w:val="center"/>
              <w:rPr>
                <w:sz w:val="36"/>
                <w:szCs w:val="36"/>
              </w:rPr>
            </w:pPr>
          </w:p>
        </w:tc>
        <w:tc>
          <w:tcPr>
            <w:tcW w:w="2586" w:type="dxa"/>
            <w:vAlign w:val="top"/>
          </w:tcPr>
          <w:p>
            <w:pPr>
              <w:pStyle w:val="7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>
            <w:pPr>
              <w:pStyle w:val="7"/>
              <w:jc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  <w:tc>
          <w:tcPr>
            <w:tcW w:w="2586" w:type="dxa"/>
            <w:vAlign w:val="top"/>
          </w:tcPr>
          <w:p>
            <w:pPr>
              <w:pStyle w:val="7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36"/>
                <w:szCs w:val="36"/>
                <w:lang w:val="en-US" w:eastAsia="zh-CN" w:bidi="ar-SA"/>
              </w:rPr>
              <w:t>6</w:t>
            </w:r>
          </w:p>
        </w:tc>
      </w:tr>
    </w:tbl>
    <w:p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人社服务中心部门2025年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人社服务中心部门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7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7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7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1424.96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盘锦市双台子区人社中心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1803.43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pStyle w:val="7"/>
            </w:pP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882"/>
        <w:gridCol w:w="54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5" w:lineRule="auto"/>
            </w:pPr>
          </w:p>
          <w:p>
            <w:pPr>
              <w:pStyle w:val="7"/>
              <w:spacing w:line="275" w:lineRule="auto"/>
            </w:pPr>
          </w:p>
          <w:p>
            <w:pPr>
              <w:pStyle w:val="7"/>
              <w:spacing w:line="275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5" w:lineRule="auto"/>
            </w:pPr>
          </w:p>
          <w:p>
            <w:pPr>
              <w:pStyle w:val="7"/>
              <w:spacing w:line="275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0" w:lineRule="auto"/>
            </w:pPr>
          </w:p>
          <w:p>
            <w:pPr>
              <w:pStyle w:val="7"/>
              <w:spacing w:line="330" w:lineRule="auto"/>
            </w:pPr>
          </w:p>
          <w:p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8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17" w:lineRule="auto"/>
            </w:pPr>
          </w:p>
          <w:p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14" w:lineRule="auto"/>
            </w:pPr>
          </w:p>
          <w:p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0" w:lineRule="auto"/>
            </w:pPr>
          </w:p>
          <w:p>
            <w:pPr>
              <w:pStyle w:val="7"/>
              <w:spacing w:line="330" w:lineRule="auto"/>
            </w:pPr>
          </w:p>
          <w:p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8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17" w:lineRule="auto"/>
            </w:pPr>
          </w:p>
          <w:p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14" w:lineRule="auto"/>
            </w:pPr>
          </w:p>
          <w:p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9" w:lineRule="auto"/>
            </w:pPr>
          </w:p>
          <w:p>
            <w:pPr>
              <w:pStyle w:val="7"/>
              <w:spacing w:line="330" w:lineRule="auto"/>
            </w:pPr>
          </w:p>
          <w:p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4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  <w:spacing w:line="474" w:lineRule="auto"/>
            </w:pPr>
          </w:p>
          <w:p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>
            <w:pPr>
              <w:pStyle w:val="7"/>
              <w:spacing w:line="350" w:lineRule="auto"/>
            </w:pPr>
          </w:p>
          <w:p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>
            <w:pPr>
              <w:pStyle w:val="7"/>
              <w:spacing w:line="350" w:lineRule="auto"/>
            </w:pPr>
          </w:p>
          <w:p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1032" w:type="dxa"/>
            <w:vAlign w:val="top"/>
          </w:tcPr>
          <w:p>
            <w:pPr>
              <w:pStyle w:val="7"/>
            </w:pPr>
          </w:p>
        </w:tc>
        <w:tc>
          <w:tcPr>
            <w:tcW w:w="882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54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90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7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>
            <w:pPr>
              <w:pStyle w:val="7"/>
            </w:pPr>
          </w:p>
        </w:tc>
        <w:tc>
          <w:tcPr>
            <w:tcW w:w="1043" w:type="dxa"/>
            <w:vAlign w:val="top"/>
          </w:tcPr>
          <w:p>
            <w:pPr>
              <w:pStyle w:val="7"/>
            </w:pPr>
          </w:p>
        </w:tc>
        <w:tc>
          <w:tcPr>
            <w:tcW w:w="1032" w:type="dxa"/>
            <w:vAlign w:val="top"/>
          </w:tcPr>
          <w:p>
            <w:pPr>
              <w:pStyle w:val="7"/>
            </w:pPr>
          </w:p>
        </w:tc>
        <w:tc>
          <w:tcPr>
            <w:tcW w:w="882" w:type="dxa"/>
            <w:vAlign w:val="top"/>
          </w:tcPr>
          <w:p>
            <w:pPr>
              <w:pStyle w:val="7"/>
            </w:pPr>
          </w:p>
        </w:tc>
        <w:tc>
          <w:tcPr>
            <w:tcW w:w="54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90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7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>
            <w:pPr>
              <w:pStyle w:val="7"/>
            </w:pPr>
          </w:p>
        </w:tc>
        <w:tc>
          <w:tcPr>
            <w:tcW w:w="1043" w:type="dxa"/>
            <w:vAlign w:val="top"/>
          </w:tcPr>
          <w:p>
            <w:pPr>
              <w:pStyle w:val="7"/>
            </w:pPr>
          </w:p>
        </w:tc>
        <w:tc>
          <w:tcPr>
            <w:tcW w:w="1032" w:type="dxa"/>
            <w:vAlign w:val="top"/>
          </w:tcPr>
          <w:p>
            <w:pPr>
              <w:pStyle w:val="7"/>
            </w:pPr>
          </w:p>
        </w:tc>
        <w:tc>
          <w:tcPr>
            <w:tcW w:w="882" w:type="dxa"/>
            <w:vAlign w:val="top"/>
          </w:tcPr>
          <w:p>
            <w:pPr>
              <w:pStyle w:val="7"/>
            </w:pPr>
          </w:p>
        </w:tc>
        <w:tc>
          <w:tcPr>
            <w:tcW w:w="54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90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7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>
            <w:pPr>
              <w:pStyle w:val="7"/>
            </w:pPr>
          </w:p>
        </w:tc>
        <w:tc>
          <w:tcPr>
            <w:tcW w:w="1043" w:type="dxa"/>
            <w:vAlign w:val="top"/>
          </w:tcPr>
          <w:p>
            <w:pPr>
              <w:pStyle w:val="7"/>
            </w:pPr>
          </w:p>
        </w:tc>
        <w:tc>
          <w:tcPr>
            <w:tcW w:w="1032" w:type="dxa"/>
            <w:vAlign w:val="top"/>
          </w:tcPr>
          <w:p>
            <w:pPr>
              <w:pStyle w:val="7"/>
            </w:pPr>
          </w:p>
        </w:tc>
        <w:tc>
          <w:tcPr>
            <w:tcW w:w="882" w:type="dxa"/>
            <w:vAlign w:val="top"/>
          </w:tcPr>
          <w:p>
            <w:pPr>
              <w:pStyle w:val="7"/>
            </w:pPr>
          </w:p>
        </w:tc>
        <w:tc>
          <w:tcPr>
            <w:tcW w:w="54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90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7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>
            <w:pPr>
              <w:pStyle w:val="7"/>
            </w:pPr>
          </w:p>
        </w:tc>
        <w:tc>
          <w:tcPr>
            <w:tcW w:w="1043" w:type="dxa"/>
            <w:vAlign w:val="top"/>
          </w:tcPr>
          <w:p>
            <w:pPr>
              <w:pStyle w:val="7"/>
            </w:pPr>
          </w:p>
        </w:tc>
        <w:tc>
          <w:tcPr>
            <w:tcW w:w="1032" w:type="dxa"/>
            <w:vAlign w:val="top"/>
          </w:tcPr>
          <w:p>
            <w:pPr>
              <w:pStyle w:val="7"/>
            </w:pPr>
          </w:p>
        </w:tc>
        <w:tc>
          <w:tcPr>
            <w:tcW w:w="882" w:type="dxa"/>
            <w:vAlign w:val="top"/>
          </w:tcPr>
          <w:p>
            <w:pPr>
              <w:pStyle w:val="7"/>
            </w:pPr>
          </w:p>
        </w:tc>
        <w:tc>
          <w:tcPr>
            <w:tcW w:w="54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512" w:type="dxa"/>
            <w:vAlign w:val="top"/>
          </w:tcPr>
          <w:p>
            <w:pPr>
              <w:pStyle w:val="7"/>
            </w:pPr>
          </w:p>
        </w:tc>
        <w:tc>
          <w:tcPr>
            <w:tcW w:w="90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7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0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356.07</w:t>
            </w:r>
          </w:p>
        </w:tc>
        <w:tc>
          <w:tcPr>
            <w:tcW w:w="1583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334.78</w:t>
            </w:r>
          </w:p>
        </w:tc>
        <w:tc>
          <w:tcPr>
            <w:tcW w:w="1583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21.29</w:t>
            </w:r>
          </w:p>
        </w:tc>
        <w:tc>
          <w:tcPr>
            <w:tcW w:w="1593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1492.46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83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7"/>
            </w:pP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pStyle w:val="7"/>
            </w:pP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7"/>
            </w:pP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7"/>
            </w:pPr>
          </w:p>
        </w:tc>
        <w:tc>
          <w:tcPr>
            <w:tcW w:w="2546" w:type="dxa"/>
            <w:vAlign w:val="top"/>
          </w:tcPr>
          <w:p>
            <w:pPr>
              <w:pStyle w:val="7"/>
            </w:pPr>
          </w:p>
        </w:tc>
        <w:tc>
          <w:tcPr>
            <w:tcW w:w="4521" w:type="dxa"/>
            <w:vAlign w:val="top"/>
          </w:tcPr>
          <w:p>
            <w:pPr>
              <w:pStyle w:val="7"/>
            </w:pPr>
          </w:p>
        </w:tc>
        <w:tc>
          <w:tcPr>
            <w:tcW w:w="255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  <w:tc>
          <w:tcPr>
            <w:tcW w:w="4521" w:type="dxa"/>
            <w:vAlign w:val="top"/>
          </w:tcPr>
          <w:p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1848.53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6" w:lineRule="auto"/>
            </w:pPr>
          </w:p>
          <w:p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5" w:lineRule="auto"/>
            </w:pPr>
          </w:p>
          <w:p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4813" w:type="dxa"/>
            <w:vAlign w:val="top"/>
          </w:tcPr>
          <w:p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356.07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334.78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356.07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334.78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1,803.43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310.97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289.68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人力资源和社会保障管理事务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335.94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247.47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20.97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2080150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事业运行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247.47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20.97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其他人力资源和社会保障管理事务支出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1694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事业单位离退休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533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机关事业单位基本养老保险缴费支出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就业补助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694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就业创业服务补助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  <w:tc>
          <w:tcPr>
            <w:tcW w:w="1694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2080704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社会保险补贴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  <w:tc>
          <w:tcPr>
            <w:tcW w:w="1694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公益性岗位补贴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  <w:tc>
          <w:tcPr>
            <w:tcW w:w="1694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求职和创业补贴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694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其他就业补助支出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  <w:tc>
          <w:tcPr>
            <w:tcW w:w="1694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6155" w:type="dxa"/>
            <w:vAlign w:val="top"/>
          </w:tcPr>
          <w:p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356.07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334.78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356.07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334.78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134.78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964" w:type="dxa"/>
            <w:vAlign w:val="top"/>
          </w:tcPr>
          <w:p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3208" w:type="dxa"/>
            <w:vAlign w:val="center"/>
          </w:tcPr>
          <w:p>
            <w:pPr>
              <w:jc w:val="right"/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965" w:type="dxa"/>
            <w:vAlign w:val="center"/>
          </w:tcPr>
          <w:p>
            <w:pPr>
              <w:jc w:val="right"/>
            </w:pP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98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7"/>
            </w:pPr>
          </w:p>
        </w:tc>
        <w:tc>
          <w:tcPr>
            <w:tcW w:w="3208" w:type="dxa"/>
            <w:vAlign w:val="top"/>
          </w:tcPr>
          <w:p>
            <w:pPr>
              <w:pStyle w:val="7"/>
            </w:pPr>
          </w:p>
        </w:tc>
        <w:tc>
          <w:tcPr>
            <w:tcW w:w="1964" w:type="dxa"/>
            <w:vAlign w:val="top"/>
          </w:tcPr>
          <w:p>
            <w:pPr>
              <w:pStyle w:val="7"/>
            </w:pPr>
          </w:p>
        </w:tc>
        <w:tc>
          <w:tcPr>
            <w:tcW w:w="1965" w:type="dxa"/>
            <w:vAlign w:val="top"/>
          </w:tcPr>
          <w:p>
            <w:pPr>
              <w:pStyle w:val="7"/>
            </w:pPr>
          </w:p>
        </w:tc>
        <w:tc>
          <w:tcPr>
            <w:tcW w:w="1914" w:type="dxa"/>
            <w:vAlign w:val="top"/>
          </w:tcPr>
          <w:p>
            <w:pPr>
              <w:pStyle w:val="7"/>
            </w:pPr>
          </w:p>
        </w:tc>
        <w:tc>
          <w:tcPr>
            <w:tcW w:w="198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7"/>
            </w:pPr>
          </w:p>
        </w:tc>
        <w:tc>
          <w:tcPr>
            <w:tcW w:w="3208" w:type="dxa"/>
            <w:vAlign w:val="top"/>
          </w:tcPr>
          <w:p>
            <w:pPr>
              <w:pStyle w:val="7"/>
            </w:pPr>
          </w:p>
        </w:tc>
        <w:tc>
          <w:tcPr>
            <w:tcW w:w="1964" w:type="dxa"/>
            <w:vAlign w:val="top"/>
          </w:tcPr>
          <w:p>
            <w:pPr>
              <w:pStyle w:val="7"/>
            </w:pPr>
          </w:p>
        </w:tc>
        <w:tc>
          <w:tcPr>
            <w:tcW w:w="1965" w:type="dxa"/>
            <w:vAlign w:val="top"/>
          </w:tcPr>
          <w:p>
            <w:pPr>
              <w:pStyle w:val="7"/>
            </w:pPr>
          </w:p>
        </w:tc>
        <w:tc>
          <w:tcPr>
            <w:tcW w:w="1914" w:type="dxa"/>
            <w:vAlign w:val="top"/>
          </w:tcPr>
          <w:p>
            <w:pPr>
              <w:pStyle w:val="7"/>
            </w:pPr>
          </w:p>
        </w:tc>
        <w:tc>
          <w:tcPr>
            <w:tcW w:w="198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>
            <w:pPr>
              <w:pStyle w:val="7"/>
            </w:pPr>
          </w:p>
        </w:tc>
        <w:tc>
          <w:tcPr>
            <w:tcW w:w="3208" w:type="dxa"/>
            <w:vAlign w:val="top"/>
          </w:tcPr>
          <w:p>
            <w:pPr>
              <w:pStyle w:val="7"/>
            </w:pPr>
          </w:p>
        </w:tc>
        <w:tc>
          <w:tcPr>
            <w:tcW w:w="1964" w:type="dxa"/>
            <w:vAlign w:val="top"/>
          </w:tcPr>
          <w:p>
            <w:pPr>
              <w:pStyle w:val="7"/>
            </w:pPr>
          </w:p>
        </w:tc>
        <w:tc>
          <w:tcPr>
            <w:tcW w:w="1965" w:type="dxa"/>
            <w:vAlign w:val="top"/>
          </w:tcPr>
          <w:p>
            <w:pPr>
              <w:pStyle w:val="7"/>
            </w:pPr>
          </w:p>
        </w:tc>
        <w:tc>
          <w:tcPr>
            <w:tcW w:w="1914" w:type="dxa"/>
            <w:vAlign w:val="top"/>
          </w:tcPr>
          <w:p>
            <w:pPr>
              <w:pStyle w:val="7"/>
            </w:pPr>
          </w:p>
        </w:tc>
        <w:tc>
          <w:tcPr>
            <w:tcW w:w="1985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7"/>
            </w:pPr>
          </w:p>
        </w:tc>
        <w:tc>
          <w:tcPr>
            <w:tcW w:w="6477" w:type="dxa"/>
            <w:vAlign w:val="top"/>
          </w:tcPr>
          <w:p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7"/>
            </w:pPr>
          </w:p>
        </w:tc>
        <w:tc>
          <w:tcPr>
            <w:tcW w:w="6477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7"/>
            </w:pPr>
          </w:p>
        </w:tc>
        <w:tc>
          <w:tcPr>
            <w:tcW w:w="6477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>
            <w:pPr>
              <w:pStyle w:val="7"/>
            </w:pPr>
          </w:p>
        </w:tc>
        <w:tc>
          <w:tcPr>
            <w:tcW w:w="6477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</w:tbl>
    <w:p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2" w:lineRule="auto"/>
            </w:pPr>
          </w:p>
          <w:p>
            <w:pPr>
              <w:pStyle w:val="7"/>
              <w:spacing w:line="302" w:lineRule="auto"/>
            </w:pPr>
          </w:p>
          <w:p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2" w:lineRule="auto"/>
            </w:pPr>
          </w:p>
          <w:p>
            <w:pPr>
              <w:pStyle w:val="7"/>
              <w:spacing w:line="302" w:lineRule="auto"/>
            </w:pPr>
          </w:p>
          <w:p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2" w:lineRule="auto"/>
            </w:pPr>
          </w:p>
          <w:p>
            <w:pPr>
              <w:pStyle w:val="7"/>
              <w:spacing w:line="302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14" w:type="dxa"/>
            <w:vAlign w:val="top"/>
          </w:tcPr>
          <w:p>
            <w:pPr>
              <w:pStyle w:val="7"/>
              <w:spacing w:line="346" w:lineRule="auto"/>
            </w:pPr>
          </w:p>
          <w:p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>
            <w:pPr>
              <w:pStyle w:val="7"/>
              <w:spacing w:line="346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1,492.46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人力资源和社会保障事务管理业务经费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三支一扶计划补助资金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314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314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5" w:lineRule="auto"/>
            </w:pPr>
          </w:p>
          <w:p>
            <w:pPr>
              <w:pStyle w:val="7"/>
              <w:spacing w:line="305" w:lineRule="auto"/>
            </w:pPr>
          </w:p>
          <w:p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5" w:lineRule="auto"/>
            </w:pPr>
          </w:p>
          <w:p>
            <w:pPr>
              <w:pStyle w:val="7"/>
              <w:spacing w:line="305" w:lineRule="auto"/>
            </w:pPr>
          </w:p>
          <w:p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5" w:lineRule="auto"/>
            </w:pPr>
          </w:p>
          <w:p>
            <w:pPr>
              <w:pStyle w:val="7"/>
              <w:spacing w:line="305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14" w:type="dxa"/>
            <w:vAlign w:val="top"/>
          </w:tcPr>
          <w:p>
            <w:pPr>
              <w:pStyle w:val="7"/>
              <w:spacing w:line="352" w:lineRule="auto"/>
            </w:pPr>
          </w:p>
          <w:p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7"/>
              <w:spacing w:line="352" w:lineRule="auto"/>
            </w:pPr>
          </w:p>
          <w:p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314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1,803.43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1,803.43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1,803.43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335.94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335.94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335.94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2080150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268.44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其他人力资源和社会保障管理事务支出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40.69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1,424.96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就业创业服务补助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210.11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社会保险补贴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603.20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求职和创业补贴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7" w:lineRule="auto"/>
            </w:pPr>
          </w:p>
          <w:p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03" w:type="dxa"/>
            <w:vAlign w:val="top"/>
          </w:tcPr>
          <w:p>
            <w:pPr>
              <w:pStyle w:val="7"/>
              <w:spacing w:line="337" w:lineRule="auto"/>
            </w:pPr>
          </w:p>
          <w:p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7"/>
              <w:spacing w:line="337" w:lineRule="auto"/>
            </w:pPr>
          </w:p>
          <w:p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2356" w:type="dxa"/>
            <w:vAlign w:val="top"/>
          </w:tcPr>
          <w:p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1,344.60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1,344.60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1,344.60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610.00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610.00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610.00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734.60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734.60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734.60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352.36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352.36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352.36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331.07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7" w:lineRule="auto"/>
            </w:pPr>
          </w:p>
          <w:p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83" w:type="dxa"/>
            <w:vAlign w:val="top"/>
          </w:tcPr>
          <w:p>
            <w:pPr>
              <w:pStyle w:val="7"/>
              <w:spacing w:line="337" w:lineRule="auto"/>
            </w:pPr>
          </w:p>
          <w:p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7"/>
              <w:spacing w:line="337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1,848.53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1,675.67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1,675.67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1,675.67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660.78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660.78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660.78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90.75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90.75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105.94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736.60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736.60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736.60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抚恤金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其他对企业补助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7" w:lineRule="auto"/>
            </w:pPr>
          </w:p>
          <w:p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  <w:spacing w:line="337" w:lineRule="auto"/>
            </w:pPr>
          </w:p>
          <w:p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7"/>
              <w:spacing w:line="337" w:lineRule="auto"/>
            </w:pPr>
          </w:p>
          <w:p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7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7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7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7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7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7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5" w:lineRule="auto"/>
            </w:pPr>
          </w:p>
          <w:p>
            <w:pPr>
              <w:pStyle w:val="7"/>
              <w:spacing w:line="305" w:lineRule="auto"/>
            </w:pPr>
          </w:p>
          <w:p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5" w:lineRule="auto"/>
            </w:pPr>
          </w:p>
          <w:p>
            <w:pPr>
              <w:pStyle w:val="7"/>
              <w:spacing w:line="305" w:lineRule="auto"/>
            </w:pPr>
          </w:p>
          <w:p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5" w:lineRule="auto"/>
            </w:pPr>
          </w:p>
          <w:p>
            <w:pPr>
              <w:pStyle w:val="7"/>
              <w:spacing w:line="305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  <w:spacing w:line="352" w:lineRule="auto"/>
            </w:pPr>
          </w:p>
          <w:p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7"/>
              <w:spacing w:line="352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>
            <w:pPr>
              <w:pStyle w:val="7"/>
            </w:pPr>
          </w:p>
        </w:tc>
        <w:tc>
          <w:tcPr>
            <w:tcW w:w="1815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243" w:type="dxa"/>
            <w:vAlign w:val="top"/>
          </w:tcPr>
          <w:p>
            <w:pPr>
              <w:pStyle w:val="7"/>
            </w:pPr>
          </w:p>
        </w:tc>
        <w:tc>
          <w:tcPr>
            <w:tcW w:w="113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68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22" w:type="dxa"/>
            <w:vAlign w:val="top"/>
          </w:tcPr>
          <w:p>
            <w:pPr>
              <w:pStyle w:val="7"/>
            </w:pPr>
          </w:p>
        </w:tc>
        <w:tc>
          <w:tcPr>
            <w:tcW w:w="63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6" w:lineRule="auto"/>
            </w:pPr>
          </w:p>
          <w:p>
            <w:pPr>
              <w:pStyle w:val="7"/>
              <w:spacing w:line="307" w:lineRule="auto"/>
            </w:pPr>
          </w:p>
          <w:p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68" w:lineRule="auto"/>
            </w:pPr>
          </w:p>
          <w:p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7" w:lineRule="auto"/>
            </w:pPr>
          </w:p>
          <w:p>
            <w:pPr>
              <w:pStyle w:val="7"/>
              <w:spacing w:line="307" w:lineRule="auto"/>
            </w:pPr>
          </w:p>
          <w:p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7"/>
            </w:pPr>
          </w:p>
        </w:tc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7"/>
            </w:pPr>
          </w:p>
        </w:tc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7"/>
            </w:pPr>
          </w:p>
        </w:tc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>
            <w:pPr>
              <w:pStyle w:val="7"/>
            </w:pPr>
          </w:p>
        </w:tc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7"/>
            </w:pPr>
          </w:p>
        </w:tc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>
            <w:pPr>
              <w:pStyle w:val="7"/>
            </w:pPr>
          </w:p>
        </w:tc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>
            <w:pPr>
              <w:pStyle w:val="7"/>
            </w:pPr>
          </w:p>
        </w:tc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22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1073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792" w:type="dxa"/>
            <w:vAlign w:val="top"/>
          </w:tcPr>
          <w:p>
            <w:pPr>
              <w:pStyle w:val="7"/>
            </w:pPr>
          </w:p>
        </w:tc>
        <w:tc>
          <w:tcPr>
            <w:tcW w:w="852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71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>
      <w:pPr>
        <w:spacing w:line="57" w:lineRule="exact"/>
      </w:pPr>
    </w:p>
    <w:tbl>
      <w:tblPr>
        <w:tblStyle w:val="6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>
            <w:pPr>
              <w:spacing w:before="72" w:line="220" w:lineRule="auto"/>
              <w:ind w:firstLine="2678" w:firstLineChars="1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015002盘锦市双台子区人力资源和社会保障服务中心-211102000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42" w:lineRule="auto"/>
            </w:pPr>
          </w:p>
          <w:p>
            <w:pPr>
              <w:pStyle w:val="7"/>
              <w:spacing w:line="343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基本支出人员经费(保工资)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基本支出人员经费(保工资)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>
            <w:pPr>
              <w:pStyle w:val="7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落实好各项政策，切实做好相关工作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城镇新增就业人数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就业困难人员就业人数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tbl>
      <w:tblPr>
        <w:tblStyle w:val="6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公益性岗位人员满意度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就业服务对象满意度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公众对整体就业服务满意度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服务职工群众内部工作机制建立情况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制度健全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规范养老保险制度改革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>
      <w:pPr>
        <w:spacing w:line="57" w:lineRule="exact"/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>
            <w:pPr>
              <w:pStyle w:val="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就业补助资金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7"/>
            </w:pPr>
            <w:r>
              <w:rPr>
                <w:rFonts w:hint="eastAsia"/>
              </w:rPr>
              <w:t>盘锦市双台子区人力资源和社会保障局</w:t>
            </w:r>
          </w:p>
        </w:tc>
        <w:tc>
          <w:tcPr>
            <w:tcW w:w="1413" w:type="dxa"/>
            <w:vAlign w:val="top"/>
          </w:tcPr>
          <w:p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>
            <w:pPr>
              <w:pStyle w:val="7"/>
            </w:pPr>
            <w:r>
              <w:rPr>
                <w:rFonts w:hint="eastAsia"/>
              </w:rPr>
              <w:t>盘锦市双台子区人力资源和社会保障服务中心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>
            <w:pPr>
              <w:pStyle w:val="7"/>
            </w:pPr>
            <w:r>
              <w:rPr>
                <w:rFonts w:hint="eastAsia"/>
              </w:rPr>
              <w:t>1424.96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>
            <w:pPr>
              <w:pStyle w:val="7"/>
            </w:pPr>
            <w:r>
              <w:rPr>
                <w:rFonts w:hint="eastAsia"/>
              </w:rPr>
              <w:t>公益性岗位补贴526万元；公益性岗位社保补贴594.2万元；吸纳就业困难人员的企业岗位补贴和社保补贴65.70万元。高校毕业生生活补贴36万元。企业一次性吸纳毕业生就业补贴2万元。企业吸纳毕业生社会保险补贴10万元。创业场地补贴1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享受公益性岗位补贴人员数量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发布就业信息数量的完成率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就业信息系统故障率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就业信息系统正常运行率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>
            <w:pPr>
              <w:pStyle w:val="7"/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帮助更多农村、城镇社会薄弱群体创业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鼓励创业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促进高校毕业生高效、高质量就业创业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多措并举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三支一扶计划补助资金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盘锦市双台子区人力资源和社会保障局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盘锦市双台子区人力资源和社会保障服务中心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三支一扶大学生工资55万元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“三支一扶”人员服务年限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选拔招募/慰问“三支一扶”人员人数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“三支一扶”人员考核率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“三支一扶”人员适岗率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“三支一扶”工作示范引领作用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发挥作用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提升“三支一扶”工作示范引领作用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盘锦市双台子区人社服务中心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46" w:type="dxa"/>
            <w:vAlign w:val="top"/>
          </w:tcPr>
          <w:p>
            <w:pPr>
              <w:pStyle w:val="7"/>
            </w:pPr>
          </w:p>
        </w:tc>
        <w:tc>
          <w:tcPr>
            <w:tcW w:w="2135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NjYjM1OTJkNDA4NWYyZjI0ZWYwYWNiYzk4ZTJkNTcifQ=="/>
    <w:docVar w:name="KSO_WPS_MARK_KEY" w:val="584c1ad3-50f2-490e-a1e3-a0e7d94c943a"/>
  </w:docVars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7F43BD4"/>
    <w:rsid w:val="08A059D4"/>
    <w:rsid w:val="094B1DE4"/>
    <w:rsid w:val="099279FE"/>
    <w:rsid w:val="09F4422A"/>
    <w:rsid w:val="0A026946"/>
    <w:rsid w:val="0A110938"/>
    <w:rsid w:val="0B8213C1"/>
    <w:rsid w:val="0BA671D6"/>
    <w:rsid w:val="0C8A49D1"/>
    <w:rsid w:val="0CB42738"/>
    <w:rsid w:val="0DA10614"/>
    <w:rsid w:val="0DA726A0"/>
    <w:rsid w:val="0E1409F6"/>
    <w:rsid w:val="0E1E49F8"/>
    <w:rsid w:val="0F3F7CF5"/>
    <w:rsid w:val="0F6A70B0"/>
    <w:rsid w:val="0FF36A77"/>
    <w:rsid w:val="102E110C"/>
    <w:rsid w:val="11C10E95"/>
    <w:rsid w:val="13DC1FB6"/>
    <w:rsid w:val="13E9022F"/>
    <w:rsid w:val="147E3783"/>
    <w:rsid w:val="1528122B"/>
    <w:rsid w:val="16677B31"/>
    <w:rsid w:val="166D339A"/>
    <w:rsid w:val="16D805C0"/>
    <w:rsid w:val="16DB34C7"/>
    <w:rsid w:val="18226406"/>
    <w:rsid w:val="19097372"/>
    <w:rsid w:val="1A3F329F"/>
    <w:rsid w:val="1ACE471E"/>
    <w:rsid w:val="1BB33460"/>
    <w:rsid w:val="1C3F7586"/>
    <w:rsid w:val="1CCC7C58"/>
    <w:rsid w:val="1E696B3C"/>
    <w:rsid w:val="1FD63B35"/>
    <w:rsid w:val="214C004F"/>
    <w:rsid w:val="21933ED0"/>
    <w:rsid w:val="225766C6"/>
    <w:rsid w:val="2406380A"/>
    <w:rsid w:val="240D7D94"/>
    <w:rsid w:val="26452B30"/>
    <w:rsid w:val="2685028B"/>
    <w:rsid w:val="268A7A18"/>
    <w:rsid w:val="277A3B68"/>
    <w:rsid w:val="27E10706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2E8E0B59"/>
    <w:rsid w:val="3243100D"/>
    <w:rsid w:val="325A081E"/>
    <w:rsid w:val="326343FE"/>
    <w:rsid w:val="328C29A2"/>
    <w:rsid w:val="32DC6FF6"/>
    <w:rsid w:val="33196670"/>
    <w:rsid w:val="344B3611"/>
    <w:rsid w:val="34F65EF8"/>
    <w:rsid w:val="35E52AF5"/>
    <w:rsid w:val="35ED3CB9"/>
    <w:rsid w:val="36347E29"/>
    <w:rsid w:val="36897924"/>
    <w:rsid w:val="3781684D"/>
    <w:rsid w:val="37976071"/>
    <w:rsid w:val="38267E02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0835244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6D53E33"/>
    <w:rsid w:val="47110682"/>
    <w:rsid w:val="47BE4F54"/>
    <w:rsid w:val="48D60C67"/>
    <w:rsid w:val="49207B1A"/>
    <w:rsid w:val="4A96265D"/>
    <w:rsid w:val="4C4628B5"/>
    <w:rsid w:val="4E173610"/>
    <w:rsid w:val="4EB53247"/>
    <w:rsid w:val="4F1F0E01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215EC9"/>
    <w:rsid w:val="57601B83"/>
    <w:rsid w:val="57711FE2"/>
    <w:rsid w:val="57AF48B9"/>
    <w:rsid w:val="57EE718F"/>
    <w:rsid w:val="580249E1"/>
    <w:rsid w:val="58655A16"/>
    <w:rsid w:val="5923730C"/>
    <w:rsid w:val="5A663955"/>
    <w:rsid w:val="5B7C18ED"/>
    <w:rsid w:val="5C1A18C6"/>
    <w:rsid w:val="5FF51154"/>
    <w:rsid w:val="61675901"/>
    <w:rsid w:val="61B2747F"/>
    <w:rsid w:val="622E1095"/>
    <w:rsid w:val="637A221F"/>
    <w:rsid w:val="63A64DC2"/>
    <w:rsid w:val="64405216"/>
    <w:rsid w:val="646031C3"/>
    <w:rsid w:val="657F6E8F"/>
    <w:rsid w:val="65AF7D19"/>
    <w:rsid w:val="65D976D1"/>
    <w:rsid w:val="66882EA5"/>
    <w:rsid w:val="66972998"/>
    <w:rsid w:val="670D2610"/>
    <w:rsid w:val="67487FA5"/>
    <w:rsid w:val="68282249"/>
    <w:rsid w:val="69AD3787"/>
    <w:rsid w:val="69E71C90"/>
    <w:rsid w:val="6AD55F8D"/>
    <w:rsid w:val="6AFA5280"/>
    <w:rsid w:val="6BA6556B"/>
    <w:rsid w:val="6CC4450B"/>
    <w:rsid w:val="70B34FC2"/>
    <w:rsid w:val="72294188"/>
    <w:rsid w:val="72914E8F"/>
    <w:rsid w:val="72F13B80"/>
    <w:rsid w:val="7370030B"/>
    <w:rsid w:val="73BF3BE6"/>
    <w:rsid w:val="74CB2895"/>
    <w:rsid w:val="76606C42"/>
    <w:rsid w:val="769D3E02"/>
    <w:rsid w:val="769E7B7B"/>
    <w:rsid w:val="777022BA"/>
    <w:rsid w:val="78AC47D1"/>
    <w:rsid w:val="78C95383"/>
    <w:rsid w:val="79222CE5"/>
    <w:rsid w:val="7A2754CF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EF42A2E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9180</Words>
  <Characters>11661</Characters>
  <TotalTime>1</TotalTime>
  <ScaleCrop>false</ScaleCrop>
  <LinksUpToDate>false</LinksUpToDate>
  <CharactersWithSpaces>12142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（多喝水 。</cp:lastModifiedBy>
  <dcterms:modified xsi:type="dcterms:W3CDTF">2025-04-24T07:19:47Z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C34CDBA9AFB54AE1B1BA09382B594D8C_13</vt:lpwstr>
  </property>
  <property fmtid="{D5CDD505-2E9C-101B-9397-08002B2CF9AE}" pid="6" name="KSOTemplateDocerSaveRecord">
    <vt:lpwstr>eyJoZGlkIjoiOTc2ZDlhYTUzMGI4NGQ2MzQyZjBmY2YxOWJlZTBlMTkiLCJ1c2VySWQiOiI3MDc2OTcwMjQifQ==</vt:lpwstr>
  </property>
</Properties>
</file>