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0B34E" w14:textId="77777777" w:rsidR="00445AD5" w:rsidRDefault="00EA4B12">
      <w:pPr>
        <w:spacing w:line="540" w:lineRule="exact"/>
        <w:jc w:val="center"/>
        <w:rPr>
          <w:rFonts w:ascii="宋体" w:hAnsi="宋体"/>
          <w:b/>
          <w:sz w:val="52"/>
          <w:szCs w:val="52"/>
        </w:rPr>
      </w:pPr>
      <w:r>
        <w:rPr>
          <w:rFonts w:ascii="宋体" w:hAnsi="宋体"/>
          <w:b/>
          <w:sz w:val="52"/>
          <w:szCs w:val="52"/>
        </w:rPr>
        <w:t xml:space="preserve"> </w:t>
      </w:r>
    </w:p>
    <w:p w14:paraId="22CB9B95" w14:textId="77777777" w:rsidR="00445AD5" w:rsidRDefault="00445AD5">
      <w:pPr>
        <w:spacing w:line="540" w:lineRule="exact"/>
        <w:jc w:val="center"/>
        <w:rPr>
          <w:rFonts w:ascii="宋体" w:hAnsi="宋体"/>
          <w:b/>
          <w:sz w:val="52"/>
          <w:szCs w:val="52"/>
        </w:rPr>
      </w:pPr>
    </w:p>
    <w:p w14:paraId="66DA67F0" w14:textId="77777777" w:rsidR="00445AD5" w:rsidRDefault="00445AD5">
      <w:pPr>
        <w:spacing w:line="540" w:lineRule="exact"/>
        <w:jc w:val="center"/>
        <w:rPr>
          <w:rFonts w:ascii="宋体" w:hAnsi="宋体"/>
          <w:b/>
          <w:sz w:val="52"/>
          <w:szCs w:val="52"/>
        </w:rPr>
      </w:pPr>
    </w:p>
    <w:p w14:paraId="620BB29B" w14:textId="77777777" w:rsidR="00445AD5" w:rsidRDefault="00445AD5">
      <w:pPr>
        <w:spacing w:line="540" w:lineRule="exact"/>
        <w:jc w:val="center"/>
        <w:rPr>
          <w:rFonts w:ascii="宋体" w:hAnsi="宋体"/>
          <w:b/>
          <w:sz w:val="52"/>
          <w:szCs w:val="52"/>
        </w:rPr>
      </w:pPr>
    </w:p>
    <w:p w14:paraId="71C3C65D" w14:textId="77777777" w:rsidR="00445AD5" w:rsidRDefault="00445AD5">
      <w:pPr>
        <w:spacing w:line="540" w:lineRule="exact"/>
        <w:jc w:val="center"/>
        <w:rPr>
          <w:rFonts w:ascii="宋体" w:hAnsi="宋体"/>
          <w:b/>
          <w:sz w:val="52"/>
          <w:szCs w:val="52"/>
        </w:rPr>
      </w:pPr>
    </w:p>
    <w:p w14:paraId="6B8BD698" w14:textId="77777777" w:rsidR="00445AD5" w:rsidRDefault="00EA4B12">
      <w:pPr>
        <w:spacing w:line="480" w:lineRule="auto"/>
        <w:jc w:val="center"/>
        <w:rPr>
          <w:rFonts w:ascii="宋体" w:hAnsi="宋体"/>
          <w:b/>
          <w:sz w:val="52"/>
          <w:szCs w:val="52"/>
        </w:rPr>
      </w:pPr>
      <w:r>
        <w:rPr>
          <w:rFonts w:ascii="宋体" w:hAnsi="宋体" w:hint="eastAsia"/>
          <w:b/>
          <w:sz w:val="52"/>
          <w:szCs w:val="52"/>
        </w:rPr>
        <w:t>盘锦市商贸物流基地建设服务中心</w:t>
      </w:r>
    </w:p>
    <w:p w14:paraId="1509CF28" w14:textId="77777777" w:rsidR="00445AD5" w:rsidRDefault="00EA4B12">
      <w:pPr>
        <w:spacing w:line="480" w:lineRule="auto"/>
        <w:jc w:val="center"/>
        <w:rPr>
          <w:rFonts w:ascii="宋体" w:hAnsi="宋体"/>
          <w:b/>
          <w:sz w:val="52"/>
          <w:szCs w:val="52"/>
        </w:rPr>
      </w:pPr>
      <w:r>
        <w:rPr>
          <w:rFonts w:ascii="宋体" w:hAnsi="宋体" w:hint="eastAsia"/>
          <w:b/>
          <w:sz w:val="52"/>
          <w:szCs w:val="52"/>
        </w:rPr>
        <w:t>202</w:t>
      </w:r>
      <w:r>
        <w:rPr>
          <w:rFonts w:ascii="宋体" w:hAnsi="宋体"/>
          <w:b/>
          <w:sz w:val="52"/>
          <w:szCs w:val="52"/>
        </w:rPr>
        <w:t>1</w:t>
      </w:r>
      <w:r>
        <w:rPr>
          <w:rFonts w:ascii="宋体" w:hAnsi="宋体" w:hint="eastAsia"/>
          <w:b/>
          <w:sz w:val="52"/>
          <w:szCs w:val="52"/>
        </w:rPr>
        <w:t>年度部门决算</w:t>
      </w:r>
    </w:p>
    <w:p w14:paraId="2CB42D74" w14:textId="77777777" w:rsidR="00445AD5" w:rsidRDefault="00EA4B12">
      <w:pPr>
        <w:spacing w:line="480" w:lineRule="auto"/>
        <w:jc w:val="center"/>
        <w:rPr>
          <w:rFonts w:ascii="宋体" w:hAnsi="宋体"/>
          <w:b/>
          <w:sz w:val="52"/>
          <w:szCs w:val="52"/>
        </w:rPr>
      </w:pPr>
      <w:r>
        <w:rPr>
          <w:rFonts w:ascii="宋体" w:hAnsi="宋体" w:hint="eastAsia"/>
          <w:b/>
          <w:sz w:val="52"/>
          <w:szCs w:val="52"/>
        </w:rPr>
        <w:t>公开说明</w:t>
      </w:r>
    </w:p>
    <w:p w14:paraId="36509AAB" w14:textId="77777777" w:rsidR="00445AD5" w:rsidRDefault="00445AD5">
      <w:pPr>
        <w:spacing w:line="540" w:lineRule="exact"/>
        <w:jc w:val="center"/>
        <w:rPr>
          <w:b/>
          <w:sz w:val="44"/>
          <w:szCs w:val="44"/>
          <w:u w:val="single"/>
        </w:rPr>
      </w:pPr>
    </w:p>
    <w:p w14:paraId="695AA00B" w14:textId="77777777" w:rsidR="00445AD5" w:rsidRDefault="00445AD5">
      <w:pPr>
        <w:spacing w:line="540" w:lineRule="exact"/>
        <w:jc w:val="center"/>
        <w:rPr>
          <w:b/>
          <w:sz w:val="44"/>
          <w:szCs w:val="44"/>
          <w:u w:val="single"/>
        </w:rPr>
      </w:pPr>
    </w:p>
    <w:p w14:paraId="375C84A0" w14:textId="77777777" w:rsidR="00445AD5" w:rsidRDefault="00445AD5">
      <w:pPr>
        <w:spacing w:line="540" w:lineRule="exact"/>
        <w:jc w:val="center"/>
        <w:rPr>
          <w:b/>
          <w:sz w:val="44"/>
          <w:szCs w:val="44"/>
          <w:u w:val="single"/>
        </w:rPr>
      </w:pPr>
    </w:p>
    <w:p w14:paraId="105127F6" w14:textId="77777777" w:rsidR="00445AD5" w:rsidRDefault="00445AD5">
      <w:pPr>
        <w:spacing w:line="540" w:lineRule="exact"/>
        <w:jc w:val="center"/>
        <w:rPr>
          <w:b/>
          <w:sz w:val="44"/>
          <w:szCs w:val="44"/>
          <w:u w:val="single"/>
        </w:rPr>
      </w:pPr>
    </w:p>
    <w:p w14:paraId="528B49C3" w14:textId="77777777" w:rsidR="00445AD5" w:rsidRDefault="00445AD5">
      <w:pPr>
        <w:spacing w:line="540" w:lineRule="exact"/>
        <w:jc w:val="center"/>
        <w:rPr>
          <w:b/>
          <w:sz w:val="44"/>
          <w:szCs w:val="44"/>
          <w:u w:val="single"/>
        </w:rPr>
      </w:pPr>
    </w:p>
    <w:p w14:paraId="22F782B7" w14:textId="77777777" w:rsidR="00445AD5" w:rsidRDefault="00445AD5">
      <w:pPr>
        <w:spacing w:line="540" w:lineRule="exact"/>
        <w:jc w:val="center"/>
        <w:rPr>
          <w:b/>
          <w:sz w:val="44"/>
          <w:szCs w:val="44"/>
          <w:u w:val="single"/>
        </w:rPr>
      </w:pPr>
    </w:p>
    <w:p w14:paraId="4CC9C85C" w14:textId="77777777" w:rsidR="00445AD5" w:rsidRDefault="00445AD5">
      <w:pPr>
        <w:spacing w:line="540" w:lineRule="exact"/>
        <w:jc w:val="center"/>
        <w:rPr>
          <w:b/>
          <w:sz w:val="44"/>
          <w:szCs w:val="44"/>
          <w:u w:val="single"/>
        </w:rPr>
      </w:pPr>
    </w:p>
    <w:p w14:paraId="34F0EC62" w14:textId="77777777" w:rsidR="00445AD5" w:rsidRDefault="00445AD5">
      <w:pPr>
        <w:spacing w:line="540" w:lineRule="exact"/>
        <w:jc w:val="center"/>
        <w:rPr>
          <w:b/>
          <w:sz w:val="44"/>
          <w:szCs w:val="44"/>
          <w:u w:val="single"/>
        </w:rPr>
      </w:pPr>
    </w:p>
    <w:p w14:paraId="06B23B6E" w14:textId="77777777" w:rsidR="00445AD5" w:rsidRDefault="00445AD5">
      <w:pPr>
        <w:spacing w:line="540" w:lineRule="exact"/>
        <w:jc w:val="center"/>
        <w:rPr>
          <w:b/>
          <w:sz w:val="44"/>
          <w:szCs w:val="44"/>
          <w:u w:val="single"/>
        </w:rPr>
      </w:pPr>
    </w:p>
    <w:p w14:paraId="413DCF8E" w14:textId="77777777" w:rsidR="00445AD5" w:rsidRDefault="00445AD5">
      <w:pPr>
        <w:spacing w:line="540" w:lineRule="exact"/>
        <w:jc w:val="center"/>
        <w:rPr>
          <w:b/>
          <w:sz w:val="44"/>
          <w:szCs w:val="44"/>
          <w:u w:val="single"/>
        </w:rPr>
      </w:pPr>
    </w:p>
    <w:p w14:paraId="423EC627" w14:textId="77777777" w:rsidR="00445AD5" w:rsidRDefault="00445AD5">
      <w:pPr>
        <w:spacing w:line="540" w:lineRule="exact"/>
        <w:jc w:val="center"/>
        <w:rPr>
          <w:b/>
          <w:sz w:val="44"/>
          <w:szCs w:val="44"/>
          <w:u w:val="single"/>
        </w:rPr>
      </w:pPr>
    </w:p>
    <w:p w14:paraId="1E456449" w14:textId="77777777" w:rsidR="00445AD5" w:rsidRDefault="00445AD5">
      <w:pPr>
        <w:spacing w:line="540" w:lineRule="exact"/>
        <w:jc w:val="center"/>
        <w:rPr>
          <w:b/>
          <w:sz w:val="44"/>
          <w:szCs w:val="44"/>
          <w:u w:val="single"/>
        </w:rPr>
      </w:pPr>
    </w:p>
    <w:p w14:paraId="29E19D03" w14:textId="77777777" w:rsidR="00445AD5" w:rsidRDefault="00445AD5">
      <w:pPr>
        <w:spacing w:line="540" w:lineRule="exact"/>
        <w:jc w:val="center"/>
        <w:rPr>
          <w:b/>
          <w:sz w:val="44"/>
          <w:szCs w:val="44"/>
        </w:rPr>
      </w:pPr>
    </w:p>
    <w:p w14:paraId="14B6C10D" w14:textId="77777777" w:rsidR="00445AD5" w:rsidRDefault="00445AD5">
      <w:pPr>
        <w:spacing w:line="540" w:lineRule="exact"/>
        <w:jc w:val="center"/>
        <w:rPr>
          <w:b/>
          <w:sz w:val="44"/>
          <w:szCs w:val="44"/>
        </w:rPr>
      </w:pPr>
    </w:p>
    <w:p w14:paraId="3A0D0709" w14:textId="0AFE2BF1" w:rsidR="00445AD5" w:rsidRDefault="00445AD5" w:rsidP="00872F9C">
      <w:pPr>
        <w:spacing w:line="540" w:lineRule="exact"/>
        <w:rPr>
          <w:rFonts w:hint="eastAsia"/>
          <w:b/>
          <w:sz w:val="44"/>
          <w:szCs w:val="44"/>
        </w:rPr>
      </w:pPr>
    </w:p>
    <w:p w14:paraId="1897BB5E" w14:textId="77777777" w:rsidR="00445AD5" w:rsidRDefault="00EA4B12">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14:paraId="34BABB12" w14:textId="77777777" w:rsidR="00445AD5" w:rsidRDefault="00445AD5">
      <w:pPr>
        <w:spacing w:line="540" w:lineRule="exact"/>
        <w:rPr>
          <w:b/>
          <w:sz w:val="44"/>
          <w:szCs w:val="44"/>
          <w:u w:val="single"/>
        </w:rPr>
      </w:pPr>
    </w:p>
    <w:p w14:paraId="069BC9D0" w14:textId="77777777" w:rsidR="00445AD5" w:rsidRDefault="00445AD5">
      <w:pPr>
        <w:spacing w:line="540" w:lineRule="exact"/>
        <w:rPr>
          <w:b/>
          <w:sz w:val="44"/>
          <w:szCs w:val="44"/>
          <w:u w:val="single"/>
        </w:rPr>
      </w:pPr>
    </w:p>
    <w:p w14:paraId="21A01050" w14:textId="77777777" w:rsidR="00445AD5" w:rsidRDefault="00EA4B12">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盘锦市商贸物流基地建设服务中心概况</w:t>
      </w:r>
    </w:p>
    <w:p w14:paraId="5C6E010C" w14:textId="77777777" w:rsidR="00445AD5" w:rsidRDefault="00EA4B12">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主要职责及机构设置情况</w:t>
      </w:r>
    </w:p>
    <w:p w14:paraId="3942517E" w14:textId="77777777" w:rsidR="00445AD5" w:rsidRDefault="00EA4B12">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14:paraId="7F3720EB" w14:textId="77777777" w:rsidR="00872F9C" w:rsidRDefault="00EA4B12">
      <w:pPr>
        <w:numPr>
          <w:ilvl w:val="0"/>
          <w:numId w:val="2"/>
        </w:numPr>
        <w:spacing w:line="540" w:lineRule="exact"/>
        <w:ind w:left="3200" w:hangingChars="1000" w:hanging="3200"/>
        <w:rPr>
          <w:rFonts w:ascii="黑体" w:eastAsia="黑体" w:hAnsi="黑体"/>
          <w:sz w:val="32"/>
          <w:szCs w:val="32"/>
        </w:rPr>
      </w:pPr>
      <w:r>
        <w:rPr>
          <w:rFonts w:ascii="黑体" w:eastAsia="黑体" w:hAnsi="黑体" w:hint="eastAsia"/>
          <w:sz w:val="32"/>
          <w:szCs w:val="32"/>
        </w:rPr>
        <w:t>盘锦市商贸物流基地建设服务中心</w:t>
      </w:r>
      <w:r>
        <w:rPr>
          <w:rFonts w:ascii="黑体" w:eastAsia="黑体" w:hAnsi="黑体" w:hint="eastAsia"/>
          <w:sz w:val="32"/>
          <w:szCs w:val="32"/>
        </w:rPr>
        <w:t>202</w:t>
      </w:r>
      <w:r>
        <w:rPr>
          <w:rFonts w:ascii="黑体" w:eastAsia="黑体" w:hAnsi="黑体"/>
          <w:sz w:val="32"/>
          <w:szCs w:val="32"/>
        </w:rPr>
        <w:t>1</w:t>
      </w:r>
      <w:r>
        <w:rPr>
          <w:rFonts w:ascii="黑体" w:eastAsia="黑体" w:hAnsi="黑体" w:hint="eastAsia"/>
          <w:sz w:val="32"/>
          <w:szCs w:val="32"/>
        </w:rPr>
        <w:t>年度决算</w:t>
      </w:r>
    </w:p>
    <w:p w14:paraId="788158E2" w14:textId="6518B07A" w:rsidR="00445AD5" w:rsidRDefault="00EA4B12" w:rsidP="00872F9C">
      <w:pPr>
        <w:spacing w:line="540" w:lineRule="exact"/>
        <w:ind w:left="3200"/>
        <w:rPr>
          <w:rFonts w:ascii="黑体" w:eastAsia="黑体" w:hAnsi="黑体"/>
          <w:sz w:val="32"/>
          <w:szCs w:val="32"/>
        </w:rPr>
      </w:pPr>
      <w:r>
        <w:rPr>
          <w:rFonts w:ascii="黑体" w:eastAsia="黑体" w:hAnsi="黑体" w:hint="eastAsia"/>
          <w:sz w:val="32"/>
          <w:szCs w:val="32"/>
        </w:rPr>
        <w:t>情况说明</w:t>
      </w:r>
    </w:p>
    <w:p w14:paraId="06CFB56F" w14:textId="77777777" w:rsidR="00445AD5" w:rsidRDefault="00EA4B12">
      <w:pPr>
        <w:numPr>
          <w:ilvl w:val="0"/>
          <w:numId w:val="2"/>
        </w:numPr>
        <w:spacing w:line="540" w:lineRule="exact"/>
        <w:ind w:left="3200" w:hangingChars="1000" w:hanging="3200"/>
        <w:rPr>
          <w:rFonts w:ascii="黑体" w:eastAsia="黑体" w:hAnsi="黑体"/>
          <w:sz w:val="32"/>
          <w:szCs w:val="32"/>
        </w:rPr>
      </w:pPr>
      <w:r>
        <w:rPr>
          <w:rFonts w:ascii="黑体" w:eastAsia="黑体" w:hAnsi="黑体" w:hint="eastAsia"/>
          <w:sz w:val="32"/>
          <w:szCs w:val="32"/>
        </w:rPr>
        <w:t>名词解释</w:t>
      </w:r>
    </w:p>
    <w:p w14:paraId="16832655" w14:textId="77777777" w:rsidR="00445AD5" w:rsidRDefault="00EA4B12">
      <w:pPr>
        <w:numPr>
          <w:ilvl w:val="0"/>
          <w:numId w:val="2"/>
        </w:numPr>
        <w:spacing w:line="540" w:lineRule="exact"/>
        <w:ind w:left="3200" w:hangingChars="1000" w:hanging="3200"/>
        <w:rPr>
          <w:rFonts w:ascii="黑体" w:eastAsia="黑体" w:hAnsi="黑体"/>
          <w:sz w:val="32"/>
          <w:szCs w:val="32"/>
        </w:rPr>
      </w:pPr>
      <w:r>
        <w:rPr>
          <w:rFonts w:ascii="黑体" w:eastAsia="黑体" w:hAnsi="黑体" w:hint="eastAsia"/>
          <w:sz w:val="32"/>
          <w:szCs w:val="32"/>
        </w:rPr>
        <w:t>盘锦市商贸物流基地建设服务中心</w:t>
      </w:r>
      <w:r>
        <w:rPr>
          <w:rFonts w:ascii="黑体" w:eastAsia="黑体" w:hAnsi="黑体" w:hint="eastAsia"/>
          <w:sz w:val="32"/>
          <w:szCs w:val="32"/>
        </w:rPr>
        <w:t>202</w:t>
      </w:r>
      <w:r>
        <w:rPr>
          <w:rFonts w:ascii="黑体" w:eastAsia="黑体" w:hAnsi="黑体"/>
          <w:sz w:val="32"/>
          <w:szCs w:val="32"/>
        </w:rPr>
        <w:t>1</w:t>
      </w:r>
      <w:r>
        <w:rPr>
          <w:rFonts w:ascii="黑体" w:eastAsia="黑体" w:hAnsi="黑体" w:hint="eastAsia"/>
          <w:sz w:val="32"/>
          <w:szCs w:val="32"/>
        </w:rPr>
        <w:t>年度决算报表</w:t>
      </w:r>
    </w:p>
    <w:p w14:paraId="664D16DB" w14:textId="77777777" w:rsidR="00445AD5" w:rsidRDefault="00EA4B12">
      <w:pPr>
        <w:spacing w:line="540" w:lineRule="exact"/>
        <w:ind w:left="320" w:hangingChars="100" w:hanging="32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年度收入支出决算总表</w:t>
      </w:r>
    </w:p>
    <w:p w14:paraId="50CA9799" w14:textId="77777777" w:rsidR="00445AD5" w:rsidRDefault="00EA4B12">
      <w:pPr>
        <w:spacing w:line="540" w:lineRule="exact"/>
        <w:rPr>
          <w:rFonts w:ascii="仿宋_GB2312" w:eastAsia="仿宋_GB2312"/>
          <w:sz w:val="32"/>
          <w:szCs w:val="32"/>
        </w:rPr>
      </w:pPr>
      <w:r>
        <w:rPr>
          <w:rFonts w:ascii="仿宋_GB2312" w:eastAsia="仿宋_GB2312" w:hint="eastAsia"/>
          <w:sz w:val="32"/>
          <w:szCs w:val="32"/>
        </w:rPr>
        <w:t>二、</w:t>
      </w:r>
      <w:r>
        <w:rPr>
          <w:rFonts w:ascii="仿宋_GB2312" w:eastAsia="仿宋_GB2312" w:hint="eastAsia"/>
          <w:sz w:val="32"/>
          <w:szCs w:val="32"/>
        </w:rPr>
        <w:t>202</w:t>
      </w:r>
      <w:r>
        <w:rPr>
          <w:rFonts w:ascii="仿宋_GB2312" w:eastAsia="仿宋_GB2312"/>
          <w:sz w:val="32"/>
          <w:szCs w:val="32"/>
        </w:rPr>
        <w:t>1</w:t>
      </w:r>
      <w:r>
        <w:rPr>
          <w:rFonts w:ascii="仿宋_GB2312" w:eastAsia="仿宋_GB2312" w:hAnsi="仿宋" w:hint="eastAsia"/>
          <w:sz w:val="32"/>
          <w:szCs w:val="32"/>
        </w:rPr>
        <w:t>年度</w:t>
      </w:r>
      <w:r>
        <w:rPr>
          <w:rFonts w:ascii="仿宋_GB2312" w:eastAsia="仿宋_GB2312" w:hint="eastAsia"/>
          <w:sz w:val="32"/>
          <w:szCs w:val="32"/>
        </w:rPr>
        <w:t>收入决算表</w:t>
      </w:r>
    </w:p>
    <w:p w14:paraId="31541408" w14:textId="77777777" w:rsidR="00445AD5" w:rsidRDefault="00EA4B12">
      <w:pPr>
        <w:spacing w:line="540" w:lineRule="exact"/>
        <w:rPr>
          <w:rFonts w:ascii="仿宋_GB2312" w:eastAsia="仿宋_GB2312"/>
          <w:sz w:val="32"/>
          <w:szCs w:val="32"/>
        </w:rPr>
      </w:pPr>
      <w:r>
        <w:rPr>
          <w:rFonts w:ascii="仿宋_GB2312" w:eastAsia="仿宋_GB2312" w:hint="eastAsia"/>
          <w:sz w:val="32"/>
          <w:szCs w:val="32"/>
        </w:rPr>
        <w:t>三、</w:t>
      </w:r>
      <w:r>
        <w:rPr>
          <w:rFonts w:ascii="仿宋_GB2312" w:eastAsia="仿宋_GB2312" w:hint="eastAsia"/>
          <w:sz w:val="32"/>
          <w:szCs w:val="32"/>
        </w:rPr>
        <w:t>202</w:t>
      </w:r>
      <w:r>
        <w:rPr>
          <w:rFonts w:ascii="仿宋_GB2312" w:eastAsia="仿宋_GB2312"/>
          <w:sz w:val="32"/>
          <w:szCs w:val="32"/>
        </w:rPr>
        <w:t>1</w:t>
      </w:r>
      <w:r>
        <w:rPr>
          <w:rFonts w:ascii="仿宋_GB2312" w:eastAsia="仿宋_GB2312" w:hAnsi="仿宋" w:hint="eastAsia"/>
          <w:sz w:val="32"/>
          <w:szCs w:val="32"/>
        </w:rPr>
        <w:t>年度</w:t>
      </w:r>
      <w:r>
        <w:rPr>
          <w:rFonts w:ascii="仿宋_GB2312" w:eastAsia="仿宋_GB2312" w:hint="eastAsia"/>
          <w:sz w:val="32"/>
          <w:szCs w:val="32"/>
        </w:rPr>
        <w:t>支出决算表</w:t>
      </w:r>
    </w:p>
    <w:p w14:paraId="609FF60D" w14:textId="77777777" w:rsidR="00445AD5" w:rsidRDefault="00EA4B12">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202</w:t>
      </w:r>
      <w:r>
        <w:rPr>
          <w:rFonts w:ascii="仿宋_GB2312" w:eastAsia="仿宋_GB2312" w:hAnsi="仿宋"/>
          <w:sz w:val="32"/>
          <w:szCs w:val="32"/>
        </w:rPr>
        <w:t>1</w:t>
      </w:r>
      <w:r>
        <w:rPr>
          <w:rFonts w:ascii="仿宋_GB2312" w:eastAsia="仿宋_GB2312" w:hAnsi="仿宋" w:hint="eastAsia"/>
          <w:sz w:val="32"/>
          <w:szCs w:val="32"/>
        </w:rPr>
        <w:t>年度财政拨款收入支出决算表</w:t>
      </w:r>
    </w:p>
    <w:p w14:paraId="25288E50" w14:textId="77777777" w:rsidR="00445AD5" w:rsidRDefault="00EA4B12">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w:t>
      </w:r>
      <w:r>
        <w:rPr>
          <w:rFonts w:ascii="仿宋_GB2312" w:eastAsia="仿宋_GB2312" w:hint="eastAsia"/>
          <w:sz w:val="32"/>
          <w:szCs w:val="32"/>
        </w:rPr>
        <w:t>2</w:t>
      </w:r>
      <w:r>
        <w:rPr>
          <w:rFonts w:ascii="仿宋_GB2312" w:eastAsia="仿宋_GB2312"/>
          <w:sz w:val="32"/>
          <w:szCs w:val="32"/>
        </w:rPr>
        <w:t>1</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财政拨款支出决算表</w:t>
      </w:r>
    </w:p>
    <w:p w14:paraId="2AAD3BF2" w14:textId="77777777" w:rsidR="00445AD5" w:rsidRDefault="00EA4B12">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w:t>
      </w:r>
      <w:r>
        <w:rPr>
          <w:rFonts w:ascii="仿宋_GB2312" w:eastAsia="仿宋_GB2312" w:hint="eastAsia"/>
          <w:sz w:val="32"/>
          <w:szCs w:val="32"/>
        </w:rPr>
        <w:t>2</w:t>
      </w:r>
      <w:r>
        <w:rPr>
          <w:rFonts w:ascii="仿宋_GB2312" w:eastAsia="仿宋_GB2312"/>
          <w:sz w:val="32"/>
          <w:szCs w:val="32"/>
        </w:rPr>
        <w:t>1</w:t>
      </w:r>
      <w:r>
        <w:rPr>
          <w:rFonts w:ascii="仿宋_GB2312" w:eastAsia="仿宋_GB2312"/>
          <w:sz w:val="32"/>
          <w:szCs w:val="32"/>
        </w:rPr>
        <w:t>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14:paraId="718C06D3" w14:textId="77777777" w:rsidR="00445AD5" w:rsidRDefault="00EA4B12">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w:t>
      </w:r>
      <w:r>
        <w:rPr>
          <w:rFonts w:ascii="仿宋_GB2312" w:eastAsia="仿宋_GB2312" w:hint="eastAsia"/>
          <w:sz w:val="32"/>
          <w:szCs w:val="32"/>
        </w:rPr>
        <w:t>2</w:t>
      </w:r>
      <w:r>
        <w:rPr>
          <w:rFonts w:ascii="仿宋_GB2312" w:eastAsia="仿宋_GB2312"/>
          <w:sz w:val="32"/>
          <w:szCs w:val="32"/>
        </w:rPr>
        <w:t>1</w:t>
      </w:r>
      <w:r>
        <w:rPr>
          <w:rFonts w:ascii="仿宋_GB2312" w:eastAsia="仿宋_GB2312"/>
          <w:sz w:val="32"/>
          <w:szCs w:val="32"/>
        </w:rPr>
        <w:t>年度政府性基金预算财政拨款支出决算表</w:t>
      </w:r>
    </w:p>
    <w:p w14:paraId="366F88B4" w14:textId="77777777" w:rsidR="00445AD5" w:rsidRDefault="00EA4B12">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w:t>
      </w:r>
      <w:r>
        <w:rPr>
          <w:rFonts w:ascii="仿宋_GB2312" w:eastAsia="仿宋_GB2312" w:hint="eastAsia"/>
          <w:sz w:val="32"/>
          <w:szCs w:val="32"/>
        </w:rPr>
        <w:t>2</w:t>
      </w:r>
      <w:r>
        <w:rPr>
          <w:rFonts w:ascii="仿宋_GB2312" w:eastAsia="仿宋_GB2312"/>
          <w:sz w:val="32"/>
          <w:szCs w:val="32"/>
        </w:rPr>
        <w:t>1</w:t>
      </w:r>
      <w:r>
        <w:rPr>
          <w:rFonts w:ascii="仿宋_GB2312" w:eastAsia="仿宋_GB2312" w:hAnsi="仿宋" w:hint="eastAsia"/>
          <w:sz w:val="32"/>
          <w:szCs w:val="32"/>
        </w:rPr>
        <w:t>年度</w:t>
      </w:r>
      <w:r>
        <w:rPr>
          <w:rFonts w:ascii="仿宋_GB2312" w:eastAsia="仿宋_GB2312" w:hint="eastAsia"/>
          <w:sz w:val="32"/>
          <w:szCs w:val="32"/>
        </w:rPr>
        <w:t>一般公共预算财政拨款“三公”经费支出决算表</w:t>
      </w:r>
    </w:p>
    <w:p w14:paraId="3B792D05" w14:textId="77777777" w:rsidR="00445AD5" w:rsidRDefault="00EA4B12">
      <w:pPr>
        <w:spacing w:line="540" w:lineRule="exact"/>
        <w:rPr>
          <w:rFonts w:ascii="仿宋_GB2312" w:eastAsia="仿宋_GB2312"/>
          <w:sz w:val="32"/>
          <w:szCs w:val="32"/>
        </w:rPr>
      </w:pPr>
      <w:r>
        <w:rPr>
          <w:rFonts w:ascii="仿宋_GB2312" w:eastAsia="仿宋_GB2312" w:hint="eastAsia"/>
          <w:sz w:val="32"/>
          <w:szCs w:val="32"/>
        </w:rPr>
        <w:t>九、</w:t>
      </w:r>
      <w:r>
        <w:rPr>
          <w:rFonts w:ascii="仿宋_GB2312" w:eastAsia="仿宋_GB2312" w:hint="eastAsia"/>
          <w:sz w:val="32"/>
          <w:szCs w:val="32"/>
        </w:rPr>
        <w:t>202</w:t>
      </w:r>
      <w:r>
        <w:rPr>
          <w:rFonts w:ascii="仿宋_GB2312" w:eastAsia="仿宋_GB2312"/>
          <w:sz w:val="32"/>
          <w:szCs w:val="32"/>
        </w:rPr>
        <w:t>1</w:t>
      </w:r>
      <w:r>
        <w:rPr>
          <w:rFonts w:ascii="仿宋_GB2312" w:eastAsia="仿宋_GB2312" w:hint="eastAsia"/>
          <w:sz w:val="32"/>
          <w:szCs w:val="32"/>
        </w:rPr>
        <w:t>年度国有资本经营预算财政拨款支出决算表</w:t>
      </w:r>
    </w:p>
    <w:p w14:paraId="6454BF39" w14:textId="77777777" w:rsidR="00445AD5" w:rsidRDefault="00445AD5">
      <w:pPr>
        <w:spacing w:line="540" w:lineRule="exact"/>
        <w:jc w:val="center"/>
        <w:rPr>
          <w:rFonts w:ascii="黑体" w:eastAsia="黑体" w:hAnsi="黑体"/>
          <w:b/>
          <w:sz w:val="44"/>
          <w:szCs w:val="44"/>
          <w:u w:val="single"/>
        </w:rPr>
      </w:pPr>
    </w:p>
    <w:p w14:paraId="65A4D9A2" w14:textId="77777777" w:rsidR="00445AD5" w:rsidRDefault="00445AD5">
      <w:pPr>
        <w:spacing w:line="540" w:lineRule="exact"/>
        <w:jc w:val="center"/>
        <w:rPr>
          <w:b/>
          <w:sz w:val="44"/>
          <w:szCs w:val="44"/>
          <w:u w:val="single"/>
        </w:rPr>
      </w:pPr>
    </w:p>
    <w:p w14:paraId="442AD91C" w14:textId="77777777" w:rsidR="00445AD5" w:rsidRDefault="00445AD5">
      <w:pPr>
        <w:spacing w:line="540" w:lineRule="exact"/>
        <w:jc w:val="center"/>
        <w:rPr>
          <w:b/>
          <w:sz w:val="44"/>
          <w:szCs w:val="44"/>
          <w:u w:val="single"/>
        </w:rPr>
      </w:pPr>
    </w:p>
    <w:p w14:paraId="5EA75708" w14:textId="59429E0D" w:rsidR="00445AD5" w:rsidRDefault="00445AD5" w:rsidP="00872F9C">
      <w:pPr>
        <w:spacing w:line="540" w:lineRule="exact"/>
        <w:rPr>
          <w:rFonts w:ascii="黑体" w:eastAsia="黑体" w:hint="eastAsia"/>
          <w:sz w:val="32"/>
          <w:szCs w:val="32"/>
        </w:rPr>
      </w:pPr>
    </w:p>
    <w:p w14:paraId="2A3EBC5A" w14:textId="77777777" w:rsidR="00445AD5" w:rsidRDefault="00EA4B12">
      <w:pPr>
        <w:spacing w:line="540" w:lineRule="exact"/>
        <w:ind w:firstLineChars="200" w:firstLine="723"/>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盘锦市商贸物流基地建设服务中心概况</w:t>
      </w:r>
    </w:p>
    <w:p w14:paraId="78782E2B" w14:textId="77777777" w:rsidR="00445AD5" w:rsidRDefault="00445AD5">
      <w:pPr>
        <w:spacing w:line="540" w:lineRule="exact"/>
        <w:ind w:firstLineChars="200" w:firstLine="640"/>
        <w:jc w:val="left"/>
        <w:rPr>
          <w:rFonts w:ascii="黑体" w:eastAsia="黑体"/>
          <w:sz w:val="32"/>
          <w:szCs w:val="32"/>
        </w:rPr>
      </w:pPr>
    </w:p>
    <w:p w14:paraId="4D131AF2" w14:textId="77777777" w:rsidR="00445AD5" w:rsidRDefault="00EA4B12">
      <w:pPr>
        <w:spacing w:line="540" w:lineRule="exact"/>
        <w:ind w:firstLineChars="200" w:firstLine="640"/>
        <w:jc w:val="left"/>
        <w:rPr>
          <w:rFonts w:ascii="黑体" w:eastAsia="黑体"/>
          <w:sz w:val="32"/>
          <w:szCs w:val="32"/>
        </w:rPr>
      </w:pPr>
      <w:r>
        <w:rPr>
          <w:rFonts w:ascii="黑体" w:eastAsia="黑体" w:hint="eastAsia"/>
          <w:sz w:val="32"/>
          <w:szCs w:val="32"/>
        </w:rPr>
        <w:t>一、主要职责及机构设置</w:t>
      </w:r>
    </w:p>
    <w:p w14:paraId="5BED6B2E"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（一）开展为商贸物流基地重点园区、重点企业、重点项目提供政策咨询、立项指导、协调调度等全过程服务。</w:t>
      </w:r>
    </w:p>
    <w:p w14:paraId="5E66B434"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（二）开展商贸物流领域基础性、前瞻性、战略性问题研究相关服务工作，参与市委、市政府商贸物流产业发展有关政策制定、发展规划的研究工作，提出有关建议。</w:t>
      </w:r>
    </w:p>
    <w:p w14:paraId="6F9999C9"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（三）宣传国家、省和市关于商贸物流产业发展工作的有关政策措施；对政策措施的落实情况及实际操作中遇到的问题进行跟踪调查并及时向有关部门反映企业诉求。</w:t>
      </w:r>
    </w:p>
    <w:p w14:paraId="41910EC0"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14:paraId="1FEBB3B5"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（五）承担商贸物流供应链</w:t>
      </w:r>
      <w:r>
        <w:rPr>
          <w:rFonts w:ascii="仿宋_GB2312" w:eastAsia="仿宋_GB2312" w:hAnsi="仿宋_GB2312" w:cs="仿宋_GB2312" w:hint="eastAsia"/>
          <w:sz w:val="32"/>
          <w:szCs w:val="32"/>
        </w:rPr>
        <w:t>、信用评价体系建设及肉菜追溯体系建设相关事务性工作；承担旧货流通、再生资源行业发展和楼宇经济推进相关事务性工作。</w:t>
      </w:r>
    </w:p>
    <w:p w14:paraId="014E7169" w14:textId="77777777" w:rsidR="00445AD5" w:rsidRDefault="00EA4B1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（六）承担市委、市政府交办的其他工作。</w:t>
      </w:r>
    </w:p>
    <w:p w14:paraId="7BDE671E" w14:textId="77777777" w:rsidR="00445AD5" w:rsidRDefault="00EA4B12">
      <w:pPr>
        <w:spacing w:line="540" w:lineRule="exact"/>
        <w:ind w:firstLineChars="200" w:firstLine="640"/>
        <w:jc w:val="left"/>
        <w:rPr>
          <w:rFonts w:ascii="黑体" w:eastAsia="黑体"/>
          <w:sz w:val="32"/>
          <w:szCs w:val="32"/>
        </w:rPr>
      </w:pPr>
      <w:r>
        <w:rPr>
          <w:rFonts w:ascii="黑体" w:eastAsia="黑体" w:hint="eastAsia"/>
          <w:sz w:val="32"/>
          <w:szCs w:val="32"/>
        </w:rPr>
        <w:t>机构设置情况</w:t>
      </w:r>
    </w:p>
    <w:p w14:paraId="720D6AAA" w14:textId="77777777" w:rsidR="00445AD5" w:rsidRDefault="00EA4B12">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根据本部门主要职责，内设机构如下：</w:t>
      </w:r>
    </w:p>
    <w:p w14:paraId="27E654BF"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办公室</w:t>
      </w:r>
    </w:p>
    <w:p w14:paraId="1CF025D8" w14:textId="77777777" w:rsidR="00445AD5" w:rsidRDefault="00EA4B1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负责党群和纪检工作；负责文电、信息、财务、资产、档案、保密、信访等工作；负责机构编制、人事管理、离退休干</w:t>
      </w:r>
      <w:r>
        <w:rPr>
          <w:rFonts w:ascii="仿宋_GB2312" w:eastAsia="仿宋_GB2312" w:hAnsi="仿宋_GB2312" w:cs="仿宋_GB2312" w:hint="eastAsia"/>
          <w:sz w:val="32"/>
          <w:szCs w:val="32"/>
        </w:rPr>
        <w:lastRenderedPageBreak/>
        <w:t>部服务等工作。</w:t>
      </w:r>
    </w:p>
    <w:p w14:paraId="6511A9B0"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名，主任职数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名、副主任职数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14:paraId="206F9D21"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业务服务科</w:t>
      </w:r>
    </w:p>
    <w:p w14:paraId="5A42C29C"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开展商贸物流领域调查研究，参与市委、市政府商贸物流产业发展有关政策和发展规划的制定工作，提出有关建议；负</w:t>
      </w:r>
      <w:r>
        <w:rPr>
          <w:rFonts w:ascii="仿宋_GB2312" w:eastAsia="仿宋_GB2312" w:hAnsi="仿宋_GB2312" w:cs="仿宋_GB2312" w:hint="eastAsia"/>
          <w:sz w:val="32"/>
          <w:szCs w:val="32"/>
        </w:rPr>
        <w:t>责业务材料综合工作；负责企业诉求的跟踪调查及向有关部门反映工作；承担商贸物流领域大数据平台建设、数据统计分析和信息发布工作；承担全市商贸物流行业调查、业务培训、信息咨询和人才等工作。</w:t>
      </w:r>
    </w:p>
    <w:p w14:paraId="15EB896C"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14:paraId="2560C175"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产业服务科</w:t>
      </w:r>
    </w:p>
    <w:p w14:paraId="09147342"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14:paraId="5A4CBAB2"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14:paraId="23BD76A9"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项目服务科</w:t>
      </w:r>
    </w:p>
    <w:p w14:paraId="41033161"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开展为商贸物流基地重点园区、重点企业、重点项目提供政策咨询、立项指导、协调调度等全过程服务；承担楼宇经济统筹推进、肉菜追溯体系建设事务性工作；承担农产品物流基地服务等工作。</w:t>
      </w:r>
      <w:r>
        <w:rPr>
          <w:rFonts w:ascii="仿宋_GB2312" w:eastAsia="仿宋_GB2312" w:hAnsi="仿宋_GB2312" w:cs="仿宋_GB2312" w:hint="eastAsia"/>
          <w:sz w:val="32"/>
          <w:szCs w:val="32"/>
        </w:rPr>
        <w:t xml:space="preserve"> </w:t>
      </w:r>
    </w:p>
    <w:p w14:paraId="542D5393"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人员编制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14:paraId="12D24430"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经济合作科</w:t>
      </w:r>
    </w:p>
    <w:p w14:paraId="05B90349"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14:paraId="461A61DB"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14:paraId="29C4AB19"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再生资源服务科</w:t>
      </w:r>
    </w:p>
    <w:p w14:paraId="3136A322"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承担旧货流通及流通领域节能降耗事务性工作；推动再生资源行业绿色化、循环化、协同化、高值化、专业化、集群化发展；负责再生资源</w:t>
      </w:r>
      <w:r>
        <w:rPr>
          <w:rFonts w:ascii="仿宋_GB2312" w:eastAsia="仿宋_GB2312" w:hAnsi="仿宋_GB2312" w:cs="仿宋_GB2312" w:hint="eastAsia"/>
          <w:sz w:val="32"/>
          <w:szCs w:val="32"/>
        </w:rPr>
        <w:t>企业的服务工作。</w:t>
      </w:r>
    </w:p>
    <w:p w14:paraId="1D3C501F"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14:paraId="6486F7FE" w14:textId="77777777" w:rsidR="00445AD5" w:rsidRDefault="00EA4B1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本部门没有下属二级单位</w:t>
      </w:r>
    </w:p>
    <w:p w14:paraId="79DB83DF" w14:textId="77777777" w:rsidR="00445AD5" w:rsidRDefault="00EA4B12">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14:paraId="52E6520C" w14:textId="77777777" w:rsidR="00445AD5" w:rsidRDefault="00EA4B12">
      <w:pPr>
        <w:spacing w:line="540" w:lineRule="exact"/>
        <w:ind w:firstLineChars="200" w:firstLine="640"/>
        <w:jc w:val="left"/>
        <w:rPr>
          <w:rFonts w:ascii="仿宋" w:eastAsia="仿宋" w:hAnsi="仿宋" w:cs="仿宋"/>
          <w:sz w:val="32"/>
          <w:szCs w:val="32"/>
        </w:rPr>
      </w:pPr>
      <w:r>
        <w:rPr>
          <w:rFonts w:ascii="仿宋" w:eastAsia="仿宋" w:hAnsi="仿宋" w:cs="仿宋" w:hint="eastAsia"/>
          <w:bCs/>
          <w:sz w:val="32"/>
          <w:szCs w:val="32"/>
        </w:rPr>
        <w:t>纳入盘锦市商贸物流基地建设服务中心</w:t>
      </w:r>
      <w:r>
        <w:rPr>
          <w:rFonts w:ascii="仿宋" w:eastAsia="仿宋" w:hAnsi="仿宋" w:cs="仿宋" w:hint="eastAsia"/>
          <w:bCs/>
          <w:sz w:val="32"/>
          <w:szCs w:val="32"/>
        </w:rPr>
        <w:t>202</w:t>
      </w:r>
      <w:r>
        <w:rPr>
          <w:rFonts w:ascii="仿宋" w:eastAsia="仿宋" w:hAnsi="仿宋" w:cs="仿宋"/>
          <w:bCs/>
          <w:sz w:val="32"/>
          <w:szCs w:val="32"/>
        </w:rPr>
        <w:t>1</w:t>
      </w:r>
      <w:r>
        <w:rPr>
          <w:rFonts w:ascii="仿宋" w:eastAsia="仿宋" w:hAnsi="仿宋" w:cs="仿宋" w:hint="eastAsia"/>
          <w:bCs/>
          <w:sz w:val="32"/>
          <w:szCs w:val="32"/>
        </w:rPr>
        <w:t>年度部门决算编制范围的预算单位包括：</w:t>
      </w:r>
      <w:r>
        <w:rPr>
          <w:rFonts w:ascii="仿宋" w:eastAsia="仿宋" w:hAnsi="仿宋" w:cs="仿宋" w:hint="eastAsia"/>
          <w:sz w:val="32"/>
          <w:szCs w:val="32"/>
        </w:rPr>
        <w:t>盘锦市商贸物流基地建设服务中心一户单位</w:t>
      </w:r>
    </w:p>
    <w:p w14:paraId="45FA4A29" w14:textId="77777777" w:rsidR="00445AD5" w:rsidRDefault="00445AD5">
      <w:pPr>
        <w:spacing w:line="540" w:lineRule="exact"/>
        <w:ind w:firstLineChars="200" w:firstLine="640"/>
        <w:jc w:val="left"/>
        <w:rPr>
          <w:rFonts w:ascii="仿宋" w:eastAsia="仿宋" w:hAnsi="仿宋" w:cs="仿宋"/>
          <w:sz w:val="32"/>
          <w:szCs w:val="32"/>
        </w:rPr>
      </w:pPr>
    </w:p>
    <w:p w14:paraId="0E8449B2" w14:textId="77777777" w:rsidR="00445AD5" w:rsidRDefault="00445AD5">
      <w:pPr>
        <w:spacing w:line="540" w:lineRule="exact"/>
        <w:ind w:firstLineChars="200" w:firstLine="640"/>
        <w:jc w:val="left"/>
        <w:rPr>
          <w:rFonts w:ascii="仿宋_GB2312" w:eastAsia="仿宋_GB2312"/>
          <w:sz w:val="32"/>
          <w:szCs w:val="32"/>
        </w:rPr>
      </w:pPr>
    </w:p>
    <w:p w14:paraId="3790907B" w14:textId="1C5EB4A1" w:rsidR="00445AD5" w:rsidRDefault="00445AD5" w:rsidP="00872F9C">
      <w:pPr>
        <w:spacing w:line="540" w:lineRule="exact"/>
        <w:rPr>
          <w:rFonts w:ascii="宋体" w:hAnsi="宋体" w:hint="eastAsia"/>
          <w:b/>
          <w:sz w:val="36"/>
          <w:szCs w:val="36"/>
        </w:rPr>
      </w:pPr>
    </w:p>
    <w:p w14:paraId="220FFBCC" w14:textId="77777777" w:rsidR="00445AD5" w:rsidRDefault="00EA4B12">
      <w:pPr>
        <w:spacing w:line="540" w:lineRule="exact"/>
        <w:ind w:leftChars="513" w:left="3607" w:hangingChars="700" w:hanging="2530"/>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盘锦市商贸物流基地建设服务中心</w:t>
      </w:r>
      <w:r>
        <w:rPr>
          <w:rFonts w:ascii="宋体" w:hAnsi="宋体" w:hint="eastAsia"/>
          <w:b/>
          <w:sz w:val="36"/>
          <w:szCs w:val="36"/>
        </w:rPr>
        <w:lastRenderedPageBreak/>
        <w:t>202</w:t>
      </w:r>
      <w:r>
        <w:rPr>
          <w:rFonts w:ascii="宋体" w:hAnsi="宋体"/>
          <w:b/>
          <w:sz w:val="36"/>
          <w:szCs w:val="36"/>
        </w:rPr>
        <w:t>1</w:t>
      </w:r>
      <w:r>
        <w:rPr>
          <w:rFonts w:ascii="宋体" w:hAnsi="宋体" w:hint="eastAsia"/>
          <w:b/>
          <w:sz w:val="36"/>
          <w:szCs w:val="36"/>
        </w:rPr>
        <w:t>年度部门决算情况说明</w:t>
      </w:r>
    </w:p>
    <w:p w14:paraId="27DBE2CD" w14:textId="31E9F381" w:rsidR="00445AD5" w:rsidRPr="00872F9C" w:rsidRDefault="00445AD5">
      <w:pPr>
        <w:spacing w:line="540" w:lineRule="exact"/>
        <w:rPr>
          <w:rFonts w:ascii="仿宋_GB2312" w:eastAsia="仿宋_GB2312" w:hint="eastAsia"/>
          <w:sz w:val="32"/>
          <w:szCs w:val="32"/>
        </w:rPr>
      </w:pPr>
    </w:p>
    <w:p w14:paraId="0E59BBB7" w14:textId="77777777" w:rsidR="00445AD5" w:rsidRDefault="00EA4B12">
      <w:pPr>
        <w:spacing w:line="540" w:lineRule="exact"/>
        <w:ind w:firstLineChars="196" w:firstLine="627"/>
        <w:rPr>
          <w:rFonts w:ascii="黑体" w:eastAsia="黑体" w:hAnsi="黑体"/>
          <w:sz w:val="32"/>
          <w:szCs w:val="32"/>
        </w:rPr>
      </w:pPr>
      <w:r>
        <w:rPr>
          <w:rFonts w:ascii="黑体" w:eastAsia="黑体" w:hAnsi="黑体" w:hint="eastAsia"/>
          <w:sz w:val="32"/>
          <w:szCs w:val="32"/>
        </w:rPr>
        <w:t>一、收入支出决算总体情况</w:t>
      </w:r>
    </w:p>
    <w:p w14:paraId="53E7AD43" w14:textId="77777777" w:rsidR="00445AD5" w:rsidRDefault="00EA4B1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b/>
          <w:sz w:val="32"/>
          <w:szCs w:val="32"/>
        </w:rPr>
        <w:t>648.34</w:t>
      </w:r>
      <w:r>
        <w:rPr>
          <w:rFonts w:ascii="楷体_GB2312" w:eastAsia="楷体_GB2312" w:hAnsi="宋体" w:hint="eastAsia"/>
          <w:b/>
          <w:sz w:val="32"/>
          <w:szCs w:val="32"/>
        </w:rPr>
        <w:t>万元，包括：</w:t>
      </w:r>
    </w:p>
    <w:p w14:paraId="25073B34"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6</w:t>
      </w:r>
      <w:r>
        <w:rPr>
          <w:rFonts w:ascii="仿宋_GB2312" w:eastAsia="仿宋_GB2312" w:hAnsi="宋体"/>
          <w:sz w:val="32"/>
          <w:szCs w:val="32"/>
        </w:rPr>
        <w:t>32.23</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sz w:val="32"/>
          <w:szCs w:val="32"/>
        </w:rPr>
        <w:t>97.51%</w:t>
      </w:r>
      <w:r>
        <w:rPr>
          <w:rFonts w:ascii="仿宋_GB2312" w:eastAsia="仿宋_GB2312" w:hAnsi="宋体" w:hint="eastAsia"/>
          <w:sz w:val="32"/>
          <w:szCs w:val="32"/>
        </w:rPr>
        <w:t>。其中：一般公共预算财政拨款收入</w:t>
      </w:r>
      <w:r>
        <w:rPr>
          <w:rFonts w:ascii="仿宋_GB2312" w:eastAsia="仿宋_GB2312" w:hAnsi="宋体"/>
          <w:sz w:val="32"/>
          <w:szCs w:val="32"/>
        </w:rPr>
        <w:t>632.2</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14:paraId="365DD3F9"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14:paraId="143A2F85"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14:paraId="05EBB0A0"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14:paraId="1655CE92"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14:paraId="64EA2ADB"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14:paraId="1CB1AB9C"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用事业基金弥补收支差额</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14:paraId="27E767E8" w14:textId="77777777" w:rsidR="00445AD5" w:rsidRDefault="00EA4B12">
      <w:pPr>
        <w:spacing w:line="540" w:lineRule="exact"/>
        <w:ind w:firstLine="660"/>
        <w:rPr>
          <w:rFonts w:ascii="仿宋_GB2312" w:eastAsia="仿宋_GB2312" w:hAnsi="仿宋_GB2312" w:cs="仿宋_GB2312"/>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sz w:val="32"/>
          <w:szCs w:val="32"/>
        </w:rPr>
        <w:t>16.11</w:t>
      </w:r>
      <w:r>
        <w:rPr>
          <w:rFonts w:ascii="仿宋_GB2312" w:eastAsia="仿宋_GB2312" w:hAnsi="宋体" w:hint="eastAsia"/>
          <w:sz w:val="32"/>
          <w:szCs w:val="32"/>
        </w:rPr>
        <w:t>万元，占收入总计的</w:t>
      </w:r>
      <w:r>
        <w:rPr>
          <w:rFonts w:ascii="仿宋_GB2312" w:eastAsia="仿宋_GB2312" w:hAnsi="宋体"/>
          <w:sz w:val="32"/>
          <w:szCs w:val="32"/>
        </w:rPr>
        <w:t>2.5</w:t>
      </w:r>
      <w:r>
        <w:rPr>
          <w:rFonts w:ascii="仿宋_GB2312" w:eastAsia="仿宋_GB2312" w:hAnsi="宋体" w:hint="eastAsia"/>
          <w:sz w:val="32"/>
          <w:szCs w:val="32"/>
        </w:rPr>
        <w:t>%</w:t>
      </w:r>
      <w:r>
        <w:rPr>
          <w:rFonts w:ascii="仿宋_GB2312" w:eastAsia="仿宋_GB2312" w:hAnsi="宋体" w:hint="eastAsia"/>
          <w:sz w:val="32"/>
          <w:szCs w:val="32"/>
        </w:rPr>
        <w:t>。主要是</w:t>
      </w:r>
      <w:r>
        <w:rPr>
          <w:rFonts w:ascii="仿宋_GB2312" w:eastAsia="仿宋_GB2312" w:hAnsi="仿宋_GB2312" w:cs="仿宋_GB2312" w:hint="eastAsia"/>
          <w:sz w:val="32"/>
          <w:szCs w:val="32"/>
        </w:rPr>
        <w:t>本级结转单位基本支出经费等。</w:t>
      </w:r>
    </w:p>
    <w:p w14:paraId="3251FE97"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w:t>
      </w:r>
      <w:r>
        <w:rPr>
          <w:rFonts w:ascii="仿宋_GB2312" w:eastAsia="仿宋_GB2312" w:hAnsi="宋体" w:hint="eastAsia"/>
          <w:sz w:val="32"/>
          <w:szCs w:val="32"/>
        </w:rPr>
        <w:t>124.15</w:t>
      </w:r>
      <w:r>
        <w:rPr>
          <w:rFonts w:ascii="仿宋_GB2312" w:eastAsia="仿宋_GB2312" w:hAnsi="宋体" w:hint="eastAsia"/>
          <w:sz w:val="32"/>
          <w:szCs w:val="32"/>
        </w:rPr>
        <w:t>万元，减少</w:t>
      </w:r>
      <w:r>
        <w:rPr>
          <w:rFonts w:ascii="仿宋_GB2312" w:eastAsia="仿宋_GB2312" w:hAnsi="宋体" w:hint="eastAsia"/>
          <w:sz w:val="32"/>
          <w:szCs w:val="32"/>
        </w:rPr>
        <w:t>16.07%</w:t>
      </w:r>
      <w:r>
        <w:rPr>
          <w:rFonts w:ascii="仿宋_GB2312" w:eastAsia="仿宋_GB2312" w:hAnsi="宋体" w:hint="eastAsia"/>
          <w:sz w:val="32"/>
          <w:szCs w:val="32"/>
        </w:rPr>
        <w:t>，主要原因：原对外友好属于自收</w:t>
      </w:r>
      <w:r>
        <w:rPr>
          <w:rFonts w:ascii="仿宋_GB2312" w:eastAsia="仿宋_GB2312" w:hAnsi="宋体" w:hint="eastAsia"/>
          <w:sz w:val="32"/>
          <w:szCs w:val="32"/>
        </w:rPr>
        <w:t>自支单位已纳入财政预算。</w:t>
      </w:r>
    </w:p>
    <w:p w14:paraId="25D9D9C0" w14:textId="77777777" w:rsidR="00445AD5" w:rsidRDefault="00EA4B1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b/>
          <w:sz w:val="32"/>
          <w:szCs w:val="32"/>
        </w:rPr>
        <w:t>646.56</w:t>
      </w:r>
      <w:r>
        <w:rPr>
          <w:rFonts w:ascii="楷体_GB2312" w:eastAsia="楷体_GB2312" w:hAnsi="宋体" w:hint="eastAsia"/>
          <w:b/>
          <w:sz w:val="32"/>
          <w:szCs w:val="32"/>
        </w:rPr>
        <w:t>万元，包括：</w:t>
      </w:r>
    </w:p>
    <w:p w14:paraId="1F216FAF"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sz w:val="32"/>
          <w:szCs w:val="32"/>
        </w:rPr>
        <w:t>624.31</w:t>
      </w:r>
      <w:r>
        <w:rPr>
          <w:rFonts w:ascii="仿宋_GB2312" w:eastAsia="仿宋_GB2312" w:hAnsi="宋体" w:hint="eastAsia"/>
          <w:sz w:val="32"/>
          <w:szCs w:val="32"/>
        </w:rPr>
        <w:t>万元，占支出总计的</w:t>
      </w:r>
      <w:r>
        <w:rPr>
          <w:rFonts w:ascii="仿宋_GB2312" w:eastAsia="仿宋_GB2312" w:hAnsi="宋体" w:hint="eastAsia"/>
          <w:sz w:val="32"/>
          <w:szCs w:val="32"/>
        </w:rPr>
        <w:t>96.</w:t>
      </w:r>
      <w:r>
        <w:rPr>
          <w:rFonts w:ascii="仿宋_GB2312" w:eastAsia="仿宋_GB2312" w:hAnsi="宋体"/>
          <w:sz w:val="32"/>
          <w:szCs w:val="32"/>
        </w:rPr>
        <w:t>56</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sz w:val="32"/>
          <w:szCs w:val="32"/>
        </w:rPr>
        <w:t>564.32</w:t>
      </w:r>
      <w:r>
        <w:rPr>
          <w:rFonts w:ascii="仿宋_GB2312" w:eastAsia="仿宋_GB2312" w:hAnsi="宋体" w:hint="eastAsia"/>
          <w:sz w:val="32"/>
          <w:szCs w:val="32"/>
        </w:rPr>
        <w:t>万元，对个人和家庭的补助支出</w:t>
      </w:r>
      <w:r>
        <w:rPr>
          <w:rFonts w:asciiTheme="minorHAnsi" w:eastAsia="仿宋_GB2312" w:hAnsiTheme="minorHAnsi"/>
          <w:sz w:val="32"/>
          <w:szCs w:val="32"/>
        </w:rPr>
        <w:t>2</w:t>
      </w:r>
      <w:r>
        <w:rPr>
          <w:rFonts w:ascii="仿宋_GB2312" w:eastAsia="仿宋_GB2312" w:hAnsi="宋体"/>
          <w:sz w:val="32"/>
          <w:szCs w:val="32"/>
        </w:rPr>
        <w:t>.75</w:t>
      </w:r>
      <w:r>
        <w:rPr>
          <w:rFonts w:ascii="仿宋_GB2312" w:eastAsia="仿宋_GB2312" w:hAnsi="宋体" w:hint="eastAsia"/>
          <w:sz w:val="32"/>
          <w:szCs w:val="32"/>
        </w:rPr>
        <w:t>万元，商品和服务支出</w:t>
      </w:r>
      <w:r>
        <w:rPr>
          <w:rFonts w:ascii="仿宋_GB2312" w:eastAsia="仿宋_GB2312" w:hAnsi="宋体"/>
          <w:sz w:val="32"/>
          <w:szCs w:val="32"/>
        </w:rPr>
        <w:t>57.03</w:t>
      </w:r>
      <w:r>
        <w:rPr>
          <w:rFonts w:ascii="仿宋_GB2312" w:eastAsia="仿宋_GB2312" w:hAnsi="宋体" w:hint="eastAsia"/>
          <w:sz w:val="32"/>
          <w:szCs w:val="32"/>
        </w:rPr>
        <w:t>万元，资本性支出</w:t>
      </w:r>
      <w:r>
        <w:rPr>
          <w:rFonts w:ascii="仿宋_GB2312" w:eastAsia="仿宋_GB2312" w:hAnsi="宋体"/>
          <w:sz w:val="32"/>
          <w:szCs w:val="32"/>
        </w:rPr>
        <w:t>0.21</w:t>
      </w:r>
      <w:r>
        <w:rPr>
          <w:rFonts w:ascii="仿宋_GB2312" w:eastAsia="仿宋_GB2312" w:hAnsi="宋体" w:hint="eastAsia"/>
          <w:sz w:val="32"/>
          <w:szCs w:val="32"/>
        </w:rPr>
        <w:t>万元</w:t>
      </w:r>
      <w:r>
        <w:rPr>
          <w:rFonts w:ascii="仿宋_GB2312" w:eastAsia="仿宋_GB2312" w:hAnsi="宋体" w:hint="eastAsia"/>
          <w:sz w:val="32"/>
          <w:szCs w:val="32"/>
        </w:rPr>
        <w:t xml:space="preserve"> </w:t>
      </w:r>
      <w:r>
        <w:rPr>
          <w:rFonts w:ascii="仿宋_GB2312" w:eastAsia="仿宋_GB2312" w:hAnsi="宋体" w:hint="eastAsia"/>
          <w:sz w:val="32"/>
          <w:szCs w:val="32"/>
        </w:rPr>
        <w:t>。</w:t>
      </w:r>
    </w:p>
    <w:p w14:paraId="387C4F88"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sz w:val="32"/>
          <w:szCs w:val="32"/>
        </w:rPr>
        <w:t>22.25</w:t>
      </w:r>
      <w:r>
        <w:rPr>
          <w:rFonts w:ascii="仿宋_GB2312" w:eastAsia="仿宋_GB2312" w:hAnsi="宋体" w:hint="eastAsia"/>
          <w:sz w:val="32"/>
          <w:szCs w:val="32"/>
        </w:rPr>
        <w:t>万元，占支出总计的</w:t>
      </w:r>
      <w:r>
        <w:rPr>
          <w:rFonts w:ascii="仿宋_GB2312" w:eastAsia="仿宋_GB2312" w:hAnsi="宋体" w:hint="eastAsia"/>
          <w:sz w:val="32"/>
          <w:szCs w:val="32"/>
        </w:rPr>
        <w:t>3.</w:t>
      </w:r>
      <w:r>
        <w:rPr>
          <w:rFonts w:ascii="仿宋_GB2312" w:eastAsia="仿宋_GB2312" w:hAnsi="宋体"/>
          <w:sz w:val="32"/>
          <w:szCs w:val="32"/>
        </w:rPr>
        <w:t>44</w:t>
      </w:r>
      <w:r>
        <w:rPr>
          <w:rFonts w:ascii="仿宋_GB2312" w:eastAsia="仿宋_GB2312" w:hAnsi="宋体" w:hint="eastAsia"/>
          <w:sz w:val="32"/>
          <w:szCs w:val="32"/>
        </w:rPr>
        <w:t>%</w:t>
      </w:r>
      <w:r>
        <w:rPr>
          <w:rFonts w:ascii="仿宋_GB2312" w:eastAsia="仿宋_GB2312" w:hAnsi="宋体" w:hint="eastAsia"/>
          <w:sz w:val="32"/>
          <w:szCs w:val="32"/>
        </w:rPr>
        <w:t>。主要包括一带一路物流基地建设工作经费等业务支出。</w:t>
      </w:r>
    </w:p>
    <w:p w14:paraId="334A7977"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14:paraId="777472D1"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14:paraId="7F01388B"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14:paraId="6B0D5051" w14:textId="77777777" w:rsidR="00445AD5" w:rsidRDefault="00EA4B12">
      <w:pPr>
        <w:spacing w:line="540" w:lineRule="exact"/>
        <w:ind w:firstLine="660"/>
        <w:rPr>
          <w:rFonts w:ascii="仿宋" w:eastAsia="仿宋" w:hAnsi="仿宋" w:cs="仿宋"/>
          <w:sz w:val="32"/>
        </w:rPr>
      </w:pPr>
      <w:r>
        <w:rPr>
          <w:rFonts w:ascii="仿宋_GB2312" w:eastAsia="仿宋_GB2312" w:hAnsi="宋体" w:hint="eastAsia"/>
          <w:sz w:val="32"/>
          <w:szCs w:val="32"/>
        </w:rPr>
        <w:t>与上年相比，今年支出</w:t>
      </w:r>
      <w:r>
        <w:rPr>
          <w:rFonts w:asciiTheme="minorHAnsi" w:eastAsia="仿宋_GB2312" w:hAnsiTheme="minorHAnsi" w:hint="eastAsia"/>
          <w:sz w:val="32"/>
          <w:szCs w:val="32"/>
        </w:rPr>
        <w:t>减少</w:t>
      </w:r>
      <w:r>
        <w:rPr>
          <w:rFonts w:ascii="仿宋_GB2312" w:eastAsia="仿宋_GB2312" w:hAnsi="宋体" w:hint="eastAsia"/>
          <w:sz w:val="32"/>
          <w:szCs w:val="32"/>
        </w:rPr>
        <w:t>88.07</w:t>
      </w:r>
      <w:r>
        <w:rPr>
          <w:rFonts w:ascii="仿宋_GB2312" w:eastAsia="仿宋_GB2312" w:hAnsi="宋体" w:hint="eastAsia"/>
          <w:sz w:val="32"/>
          <w:szCs w:val="32"/>
        </w:rPr>
        <w:t>万元，降低</w:t>
      </w:r>
      <w:r>
        <w:rPr>
          <w:rFonts w:ascii="仿宋_GB2312" w:eastAsia="仿宋_GB2312" w:hAnsi="宋体" w:hint="eastAsia"/>
          <w:sz w:val="32"/>
          <w:szCs w:val="32"/>
        </w:rPr>
        <w:t>11.98%</w:t>
      </w:r>
      <w:r>
        <w:rPr>
          <w:rFonts w:ascii="仿宋_GB2312" w:eastAsia="仿宋_GB2312" w:hAnsi="宋体" w:hint="eastAsia"/>
          <w:sz w:val="32"/>
          <w:szCs w:val="32"/>
        </w:rPr>
        <w:t>，主要原因：</w:t>
      </w:r>
      <w:r>
        <w:rPr>
          <w:rFonts w:ascii="仿宋" w:eastAsia="仿宋" w:hAnsi="仿宋" w:cs="仿宋" w:hint="eastAsia"/>
          <w:sz w:val="32"/>
        </w:rPr>
        <w:t>对外友好人员工资及保险各项费用已纳入预算。</w:t>
      </w:r>
    </w:p>
    <w:p w14:paraId="63A91C78" w14:textId="77777777" w:rsidR="00445AD5" w:rsidRDefault="00EA4B1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1.78</w:t>
      </w:r>
      <w:r>
        <w:rPr>
          <w:rFonts w:ascii="楷体_GB2312" w:eastAsia="楷体_GB2312" w:hAnsi="宋体" w:hint="eastAsia"/>
          <w:b/>
          <w:sz w:val="32"/>
          <w:szCs w:val="32"/>
        </w:rPr>
        <w:t>万元。</w:t>
      </w:r>
    </w:p>
    <w:p w14:paraId="67A4A03B"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主要是基本支出及项目款形成的结余。与上年相比，今年结转结余减少</w:t>
      </w:r>
      <w:r>
        <w:rPr>
          <w:rFonts w:ascii="仿宋_GB2312" w:eastAsia="仿宋_GB2312" w:hAnsi="宋体" w:hint="eastAsia"/>
          <w:sz w:val="32"/>
          <w:szCs w:val="32"/>
        </w:rPr>
        <w:t>36.08</w:t>
      </w:r>
      <w:r>
        <w:rPr>
          <w:rFonts w:ascii="仿宋_GB2312" w:eastAsia="仿宋_GB2312" w:hAnsi="宋体" w:hint="eastAsia"/>
          <w:sz w:val="32"/>
          <w:szCs w:val="32"/>
        </w:rPr>
        <w:t>万元，降低</w:t>
      </w:r>
      <w:r>
        <w:rPr>
          <w:rFonts w:ascii="仿宋_GB2312" w:eastAsia="仿宋_GB2312" w:hAnsi="宋体" w:hint="eastAsia"/>
          <w:sz w:val="32"/>
          <w:szCs w:val="32"/>
        </w:rPr>
        <w:t>95.3%</w:t>
      </w:r>
      <w:r>
        <w:rPr>
          <w:rFonts w:ascii="仿宋_GB2312" w:eastAsia="仿宋_GB2312" w:hAnsi="宋体" w:hint="eastAsia"/>
          <w:sz w:val="32"/>
          <w:szCs w:val="32"/>
        </w:rPr>
        <w:t>，主要原因：项目招商出差减少。</w:t>
      </w:r>
    </w:p>
    <w:p w14:paraId="615A6B25" w14:textId="77777777" w:rsidR="00445AD5" w:rsidRDefault="00EA4B12">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w:t>
      </w:r>
    </w:p>
    <w:p w14:paraId="732B1296" w14:textId="77777777" w:rsidR="00445AD5" w:rsidRDefault="00EA4B1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14:paraId="20EDA1F4" w14:textId="77777777" w:rsidR="00445AD5" w:rsidRDefault="00EA4B12">
      <w:pPr>
        <w:spacing w:line="540" w:lineRule="exact"/>
        <w:ind w:firstLine="660"/>
        <w:rPr>
          <w:rFonts w:ascii="仿宋" w:eastAsia="仿宋" w:hAnsi="仿宋" w:cs="仿宋"/>
          <w:sz w:val="32"/>
        </w:rPr>
      </w:pPr>
      <w:r>
        <w:rPr>
          <w:rFonts w:ascii="仿宋_GB2312" w:eastAsia="仿宋_GB2312" w:hAnsi="宋体" w:hint="eastAsia"/>
          <w:sz w:val="32"/>
          <w:szCs w:val="32"/>
        </w:rPr>
        <w:t>2021</w:t>
      </w:r>
      <w:r>
        <w:rPr>
          <w:rFonts w:ascii="仿宋_GB2312" w:eastAsia="仿宋_GB2312" w:hAnsi="宋体" w:hint="eastAsia"/>
          <w:sz w:val="32"/>
          <w:szCs w:val="32"/>
        </w:rPr>
        <w:t>年度财政拨款支出</w:t>
      </w:r>
      <w:r>
        <w:rPr>
          <w:rFonts w:ascii="仿宋_GB2312" w:eastAsia="仿宋_GB2312" w:hAnsi="宋体" w:hint="eastAsia"/>
          <w:sz w:val="32"/>
          <w:szCs w:val="32"/>
        </w:rPr>
        <w:t>646.56</w:t>
      </w:r>
      <w:r>
        <w:rPr>
          <w:rFonts w:ascii="仿宋_GB2312" w:eastAsia="仿宋_GB2312" w:hAnsi="宋体" w:hint="eastAsia"/>
          <w:sz w:val="32"/>
          <w:szCs w:val="32"/>
        </w:rPr>
        <w:t>万元，其中：基本支出</w:t>
      </w:r>
      <w:r>
        <w:rPr>
          <w:rFonts w:ascii="仿宋_GB2312" w:eastAsia="仿宋_GB2312" w:hAnsi="宋体" w:hint="eastAsia"/>
          <w:sz w:val="32"/>
          <w:szCs w:val="32"/>
        </w:rPr>
        <w:t>624.31</w:t>
      </w:r>
      <w:r>
        <w:rPr>
          <w:rFonts w:ascii="仿宋_GB2312" w:eastAsia="仿宋_GB2312" w:hAnsi="宋体" w:hint="eastAsia"/>
          <w:sz w:val="32"/>
          <w:szCs w:val="32"/>
        </w:rPr>
        <w:t>万元，项目支出</w:t>
      </w:r>
      <w:r>
        <w:rPr>
          <w:rFonts w:ascii="仿宋_GB2312" w:eastAsia="仿宋_GB2312" w:hAnsi="宋体" w:hint="eastAsia"/>
          <w:sz w:val="32"/>
          <w:szCs w:val="32"/>
        </w:rPr>
        <w:t>22.25</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Pr>
          <w:rFonts w:ascii="仿宋_GB2312" w:eastAsia="仿宋_GB2312" w:hAnsi="宋体" w:hint="eastAsia"/>
          <w:sz w:val="32"/>
          <w:szCs w:val="32"/>
        </w:rPr>
        <w:t>88.07</w:t>
      </w:r>
      <w:r>
        <w:rPr>
          <w:rFonts w:ascii="仿宋_GB2312" w:eastAsia="仿宋_GB2312" w:hAnsi="宋体" w:hint="eastAsia"/>
          <w:sz w:val="32"/>
          <w:szCs w:val="32"/>
        </w:rPr>
        <w:t>万元，降低</w:t>
      </w:r>
      <w:r>
        <w:rPr>
          <w:rFonts w:ascii="仿宋_GB2312" w:eastAsia="仿宋_GB2312" w:hAnsi="宋体" w:hint="eastAsia"/>
          <w:sz w:val="32"/>
          <w:szCs w:val="32"/>
        </w:rPr>
        <w:t>11.98%</w:t>
      </w:r>
      <w:r>
        <w:rPr>
          <w:rFonts w:ascii="仿宋_GB2312" w:eastAsia="仿宋_GB2312" w:hAnsi="宋体" w:hint="eastAsia"/>
          <w:sz w:val="32"/>
          <w:szCs w:val="32"/>
        </w:rPr>
        <w:t>，主要原因</w:t>
      </w:r>
      <w:r>
        <w:rPr>
          <w:rFonts w:ascii="仿宋" w:eastAsia="仿宋" w:hAnsi="仿宋" w:cs="仿宋" w:hint="eastAsia"/>
          <w:sz w:val="32"/>
          <w:szCs w:val="32"/>
        </w:rPr>
        <w:t>：</w:t>
      </w:r>
      <w:r>
        <w:rPr>
          <w:rFonts w:ascii="仿宋" w:eastAsia="仿宋" w:hAnsi="仿宋" w:cs="仿宋" w:hint="eastAsia"/>
          <w:sz w:val="32"/>
        </w:rPr>
        <w:t>对外友好人员工资及保险各项费用已纳入预算。</w:t>
      </w:r>
    </w:p>
    <w:p w14:paraId="7099297D"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与年初预算相比，</w:t>
      </w:r>
      <w:r>
        <w:rPr>
          <w:rFonts w:ascii="仿宋_GB2312" w:eastAsia="仿宋_GB2312" w:hAnsi="宋体" w:hint="eastAsia"/>
          <w:sz w:val="32"/>
          <w:szCs w:val="32"/>
        </w:rPr>
        <w:t>2021</w:t>
      </w:r>
      <w:r>
        <w:rPr>
          <w:rFonts w:ascii="仿宋_GB2312" w:eastAsia="仿宋_GB2312" w:hAnsi="宋体" w:hint="eastAsia"/>
          <w:sz w:val="32"/>
          <w:szCs w:val="32"/>
        </w:rPr>
        <w:t>财政拨款支出完成年初预算的</w:t>
      </w:r>
      <w:r>
        <w:rPr>
          <w:rFonts w:ascii="仿宋_GB2312" w:eastAsia="仿宋_GB2312" w:hAnsi="宋体" w:hint="eastAsia"/>
          <w:sz w:val="32"/>
          <w:szCs w:val="32"/>
        </w:rPr>
        <w:t>125.34%</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121.03%</w:t>
      </w:r>
      <w:r>
        <w:rPr>
          <w:rFonts w:ascii="仿宋_GB2312" w:eastAsia="仿宋_GB2312" w:hAnsi="宋体" w:hint="eastAsia"/>
          <w:sz w:val="32"/>
          <w:szCs w:val="32"/>
        </w:rPr>
        <w:t>，项目完成年初预算的</w:t>
      </w:r>
      <w:r>
        <w:rPr>
          <w:rFonts w:ascii="仿宋_GB2312" w:eastAsia="仿宋_GB2312" w:hAnsi="宋体" w:hint="eastAsia"/>
          <w:sz w:val="32"/>
          <w:szCs w:val="32"/>
        </w:rPr>
        <w:t>4.31%</w:t>
      </w:r>
      <w:r>
        <w:rPr>
          <w:rFonts w:ascii="仿宋_GB2312" w:eastAsia="仿宋_GB2312" w:hAnsi="宋体" w:hint="eastAsia"/>
          <w:sz w:val="32"/>
          <w:szCs w:val="32"/>
        </w:rPr>
        <w:t>。</w:t>
      </w:r>
    </w:p>
    <w:p w14:paraId="671F1531" w14:textId="77777777" w:rsidR="00445AD5" w:rsidRDefault="00EA4B12">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14:paraId="0AE3697A"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年度一般公共预算财政拨款支出</w:t>
      </w:r>
      <w:r>
        <w:rPr>
          <w:rFonts w:ascii="仿宋_GB2312" w:eastAsia="仿宋_GB2312" w:hAnsi="宋体" w:hint="eastAsia"/>
          <w:sz w:val="32"/>
          <w:szCs w:val="32"/>
        </w:rPr>
        <w:t>646.56</w:t>
      </w:r>
      <w:r>
        <w:rPr>
          <w:rFonts w:ascii="仿宋_GB2312" w:eastAsia="仿宋_GB2312" w:hAnsi="宋体" w:hint="eastAsia"/>
          <w:sz w:val="32"/>
          <w:szCs w:val="32"/>
        </w:rPr>
        <w:t>万元，按支出功能分类科目分，包括：社会保障和就业支出</w:t>
      </w:r>
      <w:r>
        <w:rPr>
          <w:rFonts w:ascii="仿宋_GB2312" w:eastAsia="仿宋_GB2312" w:hAnsi="宋体"/>
          <w:sz w:val="32"/>
          <w:szCs w:val="32"/>
        </w:rPr>
        <w:t>55.81</w:t>
      </w:r>
      <w:r>
        <w:rPr>
          <w:rFonts w:ascii="仿宋_GB2312" w:eastAsia="仿宋_GB2312" w:hAnsi="宋体" w:hint="eastAsia"/>
          <w:sz w:val="32"/>
          <w:szCs w:val="32"/>
        </w:rPr>
        <w:t>万元，占</w:t>
      </w:r>
      <w:r>
        <w:rPr>
          <w:rFonts w:ascii="仿宋_GB2312" w:eastAsia="仿宋_GB2312" w:hAnsi="宋体"/>
          <w:sz w:val="32"/>
          <w:szCs w:val="32"/>
        </w:rPr>
        <w:t>8.63</w:t>
      </w:r>
      <w:r>
        <w:rPr>
          <w:rFonts w:ascii="仿宋_GB2312" w:eastAsia="仿宋_GB2312" w:hAnsi="宋体" w:hint="eastAsia"/>
          <w:sz w:val="32"/>
          <w:szCs w:val="32"/>
        </w:rPr>
        <w:t>%</w:t>
      </w:r>
      <w:r>
        <w:rPr>
          <w:rFonts w:ascii="仿宋_GB2312" w:eastAsia="仿宋_GB2312" w:hAnsi="宋体" w:hint="eastAsia"/>
          <w:sz w:val="32"/>
          <w:szCs w:val="32"/>
        </w:rPr>
        <w:t>；卫生健康支出</w:t>
      </w:r>
      <w:r>
        <w:rPr>
          <w:rFonts w:ascii="仿宋_GB2312" w:eastAsia="仿宋_GB2312" w:hAnsi="宋体"/>
          <w:sz w:val="32"/>
          <w:szCs w:val="32"/>
        </w:rPr>
        <w:t>22.57</w:t>
      </w:r>
      <w:r>
        <w:rPr>
          <w:rFonts w:ascii="仿宋_GB2312" w:eastAsia="仿宋_GB2312" w:hAnsi="宋体" w:hint="eastAsia"/>
          <w:sz w:val="32"/>
          <w:szCs w:val="32"/>
        </w:rPr>
        <w:t>万元，占</w:t>
      </w:r>
      <w:r>
        <w:rPr>
          <w:rFonts w:ascii="仿宋_GB2312" w:eastAsia="仿宋_GB2312" w:hAnsi="宋体" w:hint="eastAsia"/>
          <w:sz w:val="32"/>
          <w:szCs w:val="32"/>
        </w:rPr>
        <w:t>3.</w:t>
      </w:r>
      <w:r>
        <w:rPr>
          <w:rFonts w:ascii="仿宋_GB2312" w:eastAsia="仿宋_GB2312" w:hAnsi="宋体"/>
          <w:sz w:val="32"/>
          <w:szCs w:val="32"/>
        </w:rPr>
        <w:t>49</w:t>
      </w:r>
      <w:r>
        <w:rPr>
          <w:rFonts w:ascii="仿宋_GB2312" w:eastAsia="仿宋_GB2312" w:hAnsi="宋体" w:hint="eastAsia"/>
          <w:sz w:val="32"/>
          <w:szCs w:val="32"/>
        </w:rPr>
        <w:t>%</w:t>
      </w:r>
      <w:r>
        <w:rPr>
          <w:rFonts w:ascii="仿宋_GB2312" w:eastAsia="仿宋_GB2312" w:hAnsi="宋体" w:hint="eastAsia"/>
          <w:sz w:val="32"/>
          <w:szCs w:val="32"/>
        </w:rPr>
        <w:t>；住房保障支出</w:t>
      </w:r>
      <w:r>
        <w:rPr>
          <w:rFonts w:ascii="仿宋_GB2312" w:eastAsia="仿宋_GB2312" w:hAnsi="宋体"/>
          <w:sz w:val="32"/>
          <w:szCs w:val="32"/>
        </w:rPr>
        <w:t>36.68</w:t>
      </w:r>
      <w:r>
        <w:rPr>
          <w:rFonts w:ascii="仿宋_GB2312" w:eastAsia="仿宋_GB2312" w:hAnsi="宋体" w:hint="eastAsia"/>
          <w:sz w:val="32"/>
          <w:szCs w:val="32"/>
        </w:rPr>
        <w:t>万元，占</w:t>
      </w:r>
      <w:r>
        <w:rPr>
          <w:rFonts w:ascii="仿宋_GB2312" w:eastAsia="仿宋_GB2312" w:hAnsi="宋体" w:hint="eastAsia"/>
          <w:sz w:val="32"/>
          <w:szCs w:val="32"/>
        </w:rPr>
        <w:t>5.</w:t>
      </w:r>
      <w:r>
        <w:rPr>
          <w:rFonts w:ascii="仿宋_GB2312" w:eastAsia="仿宋_GB2312" w:hAnsi="宋体"/>
          <w:sz w:val="32"/>
          <w:szCs w:val="32"/>
        </w:rPr>
        <w:t>67</w:t>
      </w:r>
      <w:r>
        <w:rPr>
          <w:rFonts w:ascii="仿宋_GB2312" w:eastAsia="仿宋_GB2312" w:hAnsi="宋体" w:hint="eastAsia"/>
          <w:sz w:val="32"/>
          <w:szCs w:val="32"/>
        </w:rPr>
        <w:t>%</w:t>
      </w:r>
      <w:r>
        <w:rPr>
          <w:rFonts w:ascii="仿宋_GB2312" w:eastAsia="仿宋_GB2312" w:hAnsi="宋体" w:hint="eastAsia"/>
          <w:sz w:val="32"/>
          <w:szCs w:val="32"/>
        </w:rPr>
        <w:t>；商业服务业等支出</w:t>
      </w:r>
      <w:r>
        <w:rPr>
          <w:rFonts w:ascii="仿宋_GB2312" w:eastAsia="仿宋_GB2312" w:hAnsi="宋体"/>
          <w:sz w:val="32"/>
          <w:szCs w:val="32"/>
        </w:rPr>
        <w:t>530.17</w:t>
      </w:r>
      <w:r>
        <w:rPr>
          <w:rFonts w:ascii="仿宋_GB2312" w:eastAsia="仿宋_GB2312" w:hAnsi="宋体" w:hint="eastAsia"/>
          <w:sz w:val="32"/>
          <w:szCs w:val="32"/>
        </w:rPr>
        <w:t>万元，占</w:t>
      </w:r>
      <w:r>
        <w:rPr>
          <w:rFonts w:ascii="仿宋_GB2312" w:eastAsia="仿宋_GB2312" w:hAnsi="宋体"/>
          <w:sz w:val="32"/>
          <w:szCs w:val="32"/>
        </w:rPr>
        <w:t>81.99</w:t>
      </w:r>
      <w:r>
        <w:rPr>
          <w:rFonts w:ascii="仿宋_GB2312" w:eastAsia="仿宋_GB2312" w:hAnsi="宋体" w:hint="eastAsia"/>
          <w:sz w:val="32"/>
          <w:szCs w:val="32"/>
        </w:rPr>
        <w:t>%</w:t>
      </w:r>
      <w:r>
        <w:rPr>
          <w:rFonts w:ascii="仿宋_GB2312" w:eastAsia="仿宋_GB2312" w:hAnsi="宋体" w:hint="eastAsia"/>
          <w:sz w:val="32"/>
          <w:szCs w:val="32"/>
        </w:rPr>
        <w:t>。</w:t>
      </w:r>
      <w:r>
        <w:rPr>
          <w:rFonts w:asciiTheme="minorHAnsi" w:eastAsia="仿宋_GB2312" w:hAnsiTheme="minorHAnsi" w:hint="eastAsia"/>
          <w:sz w:val="32"/>
          <w:szCs w:val="32"/>
        </w:rPr>
        <w:t>其他支</w:t>
      </w:r>
      <w:r>
        <w:rPr>
          <w:rFonts w:ascii="仿宋_GB2312" w:eastAsia="仿宋_GB2312" w:hAnsi="宋体" w:hint="eastAsia"/>
          <w:sz w:val="32"/>
          <w:szCs w:val="32"/>
        </w:rPr>
        <w:t>出</w:t>
      </w:r>
      <w:r>
        <w:rPr>
          <w:rFonts w:ascii="仿宋_GB2312" w:eastAsia="仿宋_GB2312" w:hAnsi="宋体" w:hint="eastAsia"/>
          <w:sz w:val="32"/>
          <w:szCs w:val="32"/>
        </w:rPr>
        <w:t>1.32</w:t>
      </w:r>
      <w:r>
        <w:rPr>
          <w:rFonts w:ascii="仿宋_GB2312" w:eastAsia="仿宋_GB2312" w:hAnsi="宋体" w:hint="eastAsia"/>
          <w:sz w:val="32"/>
          <w:szCs w:val="32"/>
        </w:rPr>
        <w:t>万元。占</w:t>
      </w:r>
      <w:r>
        <w:rPr>
          <w:rFonts w:ascii="仿宋_GB2312" w:eastAsia="仿宋_GB2312" w:hAnsi="宋体" w:hint="eastAsia"/>
          <w:sz w:val="32"/>
          <w:szCs w:val="32"/>
        </w:rPr>
        <w:t>0.20%</w:t>
      </w:r>
      <w:r>
        <w:rPr>
          <w:rFonts w:ascii="仿宋_GB2312" w:eastAsia="仿宋_GB2312" w:hAnsi="宋体" w:hint="eastAsia"/>
          <w:sz w:val="32"/>
          <w:szCs w:val="32"/>
        </w:rPr>
        <w:t>。</w:t>
      </w:r>
    </w:p>
    <w:p w14:paraId="15B676C1" w14:textId="77777777" w:rsidR="00445AD5" w:rsidRDefault="00EA4B12">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社会保障和就业支出</w:t>
      </w:r>
      <w:r>
        <w:rPr>
          <w:rFonts w:ascii="仿宋_GB2312" w:eastAsia="仿宋_GB2312" w:hAnsi="宋体" w:hint="eastAsia"/>
          <w:sz w:val="32"/>
          <w:szCs w:val="32"/>
        </w:rPr>
        <w:t>55.81</w:t>
      </w:r>
      <w:r>
        <w:rPr>
          <w:rFonts w:ascii="仿宋_GB2312" w:eastAsia="仿宋_GB2312" w:hAnsi="宋体" w:hint="eastAsia"/>
          <w:sz w:val="32"/>
          <w:szCs w:val="32"/>
        </w:rPr>
        <w:t>万元，完成年初预算的</w:t>
      </w:r>
      <w:r>
        <w:rPr>
          <w:rFonts w:ascii="仿宋_GB2312" w:eastAsia="仿宋_GB2312" w:hAnsi="宋体" w:hint="eastAsia"/>
          <w:sz w:val="32"/>
          <w:szCs w:val="32"/>
        </w:rPr>
        <w:lastRenderedPageBreak/>
        <w:t>108.87%</w:t>
      </w:r>
      <w:r>
        <w:rPr>
          <w:rFonts w:ascii="仿宋_GB2312" w:eastAsia="仿宋_GB2312" w:hAnsi="宋体" w:hint="eastAsia"/>
          <w:sz w:val="32"/>
          <w:szCs w:val="32"/>
        </w:rPr>
        <w:t>，决算数大于年初预算数的主要原因是</w:t>
      </w:r>
      <w:r>
        <w:rPr>
          <w:rFonts w:ascii="仿宋_GB2312" w:eastAsia="仿宋_GB2312" w:hAnsi="宋体" w:hint="eastAsia"/>
          <w:sz w:val="32"/>
          <w:szCs w:val="32"/>
        </w:rPr>
        <w:t>2021</w:t>
      </w:r>
      <w:r>
        <w:rPr>
          <w:rFonts w:ascii="仿宋_GB2312" w:eastAsia="仿宋_GB2312" w:hAnsi="宋体" w:hint="eastAsia"/>
          <w:sz w:val="32"/>
          <w:szCs w:val="32"/>
        </w:rPr>
        <w:t>年度新增人员，具体包括：</w:t>
      </w:r>
    </w:p>
    <w:p w14:paraId="2BCFCEFC" w14:textId="77777777" w:rsidR="00445AD5" w:rsidRDefault="00EA4B12">
      <w:pPr>
        <w:spacing w:line="54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）社会保障和就业支出（类）行政事业单位养老支出（款）事业单位离退休（项）</w:t>
      </w:r>
      <w:r>
        <w:rPr>
          <w:rFonts w:ascii="仿宋" w:eastAsia="仿宋" w:hAnsi="仿宋" w:hint="eastAsia"/>
          <w:sz w:val="32"/>
          <w:szCs w:val="32"/>
        </w:rPr>
        <w:t>1.05</w:t>
      </w:r>
      <w:r>
        <w:rPr>
          <w:rFonts w:ascii="仿宋" w:eastAsia="仿宋" w:hAnsi="仿宋" w:hint="eastAsia"/>
          <w:sz w:val="32"/>
          <w:szCs w:val="32"/>
        </w:rPr>
        <w:t>万元，主要是退休人员取暖费等支出，完成年初预算的</w:t>
      </w:r>
      <w:r>
        <w:rPr>
          <w:rFonts w:ascii="仿宋" w:eastAsia="仿宋" w:hAnsi="仿宋"/>
          <w:sz w:val="32"/>
          <w:szCs w:val="32"/>
        </w:rPr>
        <w:t>100</w:t>
      </w:r>
      <w:r>
        <w:rPr>
          <w:rFonts w:ascii="仿宋" w:eastAsia="仿宋" w:hAnsi="仿宋" w:hint="eastAsia"/>
          <w:sz w:val="32"/>
          <w:szCs w:val="32"/>
        </w:rPr>
        <w:t>%</w:t>
      </w:r>
      <w:r>
        <w:rPr>
          <w:rFonts w:ascii="仿宋" w:eastAsia="仿宋" w:hAnsi="仿宋" w:hint="eastAsia"/>
          <w:sz w:val="32"/>
          <w:szCs w:val="32"/>
        </w:rPr>
        <w:t>。</w:t>
      </w:r>
    </w:p>
    <w:p w14:paraId="73492515"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w:t>
      </w:r>
      <w:bookmarkStart w:id="0" w:name="_Hlk83064745"/>
      <w:r>
        <w:rPr>
          <w:rFonts w:ascii="仿宋" w:eastAsia="仿宋" w:hAnsi="仿宋" w:hint="eastAsia"/>
          <w:sz w:val="32"/>
          <w:szCs w:val="32"/>
        </w:rPr>
        <w:t>社会保障和就业支出（类）行政事业单位养老支出（款）机关事业单位基本养老保险缴费支出（项）</w:t>
      </w:r>
      <w:r>
        <w:rPr>
          <w:rFonts w:ascii="仿宋" w:eastAsia="仿宋" w:hAnsi="仿宋" w:hint="eastAsia"/>
          <w:sz w:val="32"/>
          <w:szCs w:val="32"/>
        </w:rPr>
        <w:t>49.67</w:t>
      </w:r>
      <w:r>
        <w:rPr>
          <w:rFonts w:ascii="仿宋" w:eastAsia="仿宋" w:hAnsi="仿宋" w:hint="eastAsia"/>
          <w:sz w:val="32"/>
          <w:szCs w:val="32"/>
        </w:rPr>
        <w:t>万元，主要是职工养老保险缴费等支出，完成年初预算的</w:t>
      </w:r>
      <w:r>
        <w:rPr>
          <w:rFonts w:ascii="仿宋" w:eastAsia="仿宋" w:hAnsi="仿宋" w:hint="eastAsia"/>
          <w:sz w:val="32"/>
          <w:szCs w:val="32"/>
        </w:rPr>
        <w:t>99.63%</w:t>
      </w:r>
      <w:r>
        <w:rPr>
          <w:rFonts w:ascii="仿宋" w:eastAsia="仿宋" w:hAnsi="仿宋" w:hint="eastAsia"/>
          <w:sz w:val="32"/>
          <w:szCs w:val="32"/>
        </w:rPr>
        <w:t>，决算数大于年初预算数的原因主</w:t>
      </w:r>
      <w:r>
        <w:rPr>
          <w:rFonts w:ascii="仿宋" w:eastAsia="仿宋" w:hAnsi="仿宋" w:hint="eastAsia"/>
          <w:sz w:val="32"/>
          <w:szCs w:val="32"/>
        </w:rPr>
        <w:t>要是新增人员。</w:t>
      </w:r>
    </w:p>
    <w:bookmarkEnd w:id="0"/>
    <w:p w14:paraId="46C519EB"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）社会保障和就业支出（类）抚恤（款）伤残抚恤（项）</w:t>
      </w:r>
      <w:r>
        <w:rPr>
          <w:rFonts w:ascii="仿宋" w:eastAsia="仿宋" w:hAnsi="仿宋" w:hint="eastAsia"/>
          <w:sz w:val="32"/>
          <w:szCs w:val="32"/>
        </w:rPr>
        <w:t>0.96</w:t>
      </w:r>
      <w:r>
        <w:rPr>
          <w:rFonts w:ascii="仿宋" w:eastAsia="仿宋" w:hAnsi="仿宋" w:hint="eastAsia"/>
          <w:sz w:val="32"/>
          <w:szCs w:val="32"/>
        </w:rPr>
        <w:t>万元，主要是退休人员伤残抚恤金等支出，完成年初预算的</w:t>
      </w:r>
      <w:r>
        <w:rPr>
          <w:rFonts w:ascii="仿宋" w:eastAsia="仿宋" w:hAnsi="仿宋" w:hint="eastAsia"/>
          <w:sz w:val="32"/>
          <w:szCs w:val="32"/>
        </w:rPr>
        <w:t>100%</w:t>
      </w:r>
      <w:r>
        <w:rPr>
          <w:rFonts w:ascii="仿宋" w:eastAsia="仿宋" w:hAnsi="仿宋" w:hint="eastAsia"/>
          <w:sz w:val="32"/>
          <w:szCs w:val="32"/>
        </w:rPr>
        <w:t>。</w:t>
      </w:r>
    </w:p>
    <w:p w14:paraId="3ECD2C4A"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）社会保障和就业支出（类）行政事业单位养老支出（款）机关事业单位职业年金缴费支出（项）</w:t>
      </w:r>
      <w:r>
        <w:rPr>
          <w:rFonts w:ascii="仿宋" w:eastAsia="仿宋" w:hAnsi="仿宋" w:hint="eastAsia"/>
          <w:sz w:val="32"/>
          <w:szCs w:val="32"/>
        </w:rPr>
        <w:t>2.67</w:t>
      </w:r>
      <w:r>
        <w:rPr>
          <w:rFonts w:ascii="仿宋" w:eastAsia="仿宋" w:hAnsi="仿宋" w:hint="eastAsia"/>
          <w:sz w:val="32"/>
          <w:szCs w:val="32"/>
        </w:rPr>
        <w:t>万元，主要是职工职业年金缴费等支出</w:t>
      </w:r>
      <w:r>
        <w:rPr>
          <w:rFonts w:ascii="仿宋" w:eastAsia="仿宋" w:hAnsi="仿宋" w:hint="eastAsia"/>
          <w:sz w:val="32"/>
          <w:szCs w:val="32"/>
        </w:rPr>
        <w:t>.</w:t>
      </w:r>
    </w:p>
    <w:p w14:paraId="18EA9612"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）社会保障和就业支出（类）其他社会保障和就业支出（款）其他社会保障和就业支出（项）</w:t>
      </w:r>
      <w:r>
        <w:rPr>
          <w:rFonts w:ascii="仿宋" w:eastAsia="仿宋" w:hAnsi="仿宋" w:hint="eastAsia"/>
          <w:sz w:val="32"/>
          <w:szCs w:val="32"/>
        </w:rPr>
        <w:t>1.46</w:t>
      </w:r>
      <w:r>
        <w:rPr>
          <w:rFonts w:ascii="仿宋" w:eastAsia="仿宋" w:hAnsi="仿宋" w:hint="eastAsia"/>
          <w:sz w:val="32"/>
          <w:szCs w:val="32"/>
        </w:rPr>
        <w:t>万元，主要是职工失业保险缴费等支出，完成年初预算的</w:t>
      </w:r>
      <w:r>
        <w:rPr>
          <w:rFonts w:ascii="仿宋" w:eastAsia="仿宋" w:hAnsi="仿宋" w:hint="eastAsia"/>
          <w:sz w:val="32"/>
          <w:szCs w:val="32"/>
        </w:rPr>
        <w:t>103.54%</w:t>
      </w:r>
      <w:r>
        <w:rPr>
          <w:rFonts w:ascii="仿宋" w:eastAsia="仿宋" w:hAnsi="仿宋" w:hint="eastAsia"/>
          <w:sz w:val="32"/>
          <w:szCs w:val="32"/>
        </w:rPr>
        <w:t>，决算数大于年初预算数的原因主要是新增人员失业保险缴费。</w:t>
      </w:r>
    </w:p>
    <w:p w14:paraId="16EE0A51"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卫生健康支出</w:t>
      </w:r>
      <w:r>
        <w:rPr>
          <w:rFonts w:ascii="仿宋" w:eastAsia="仿宋" w:hAnsi="仿宋" w:hint="eastAsia"/>
          <w:sz w:val="32"/>
          <w:szCs w:val="32"/>
        </w:rPr>
        <w:t>2</w:t>
      </w:r>
      <w:r>
        <w:rPr>
          <w:rFonts w:ascii="仿宋" w:eastAsia="仿宋" w:hAnsi="仿宋" w:hint="eastAsia"/>
          <w:sz w:val="32"/>
          <w:szCs w:val="32"/>
        </w:rPr>
        <w:t>2.57</w:t>
      </w:r>
      <w:r>
        <w:rPr>
          <w:rFonts w:ascii="仿宋" w:eastAsia="仿宋" w:hAnsi="仿宋" w:hint="eastAsia"/>
          <w:sz w:val="32"/>
          <w:szCs w:val="32"/>
        </w:rPr>
        <w:t>万元，包括：</w:t>
      </w:r>
    </w:p>
    <w:p w14:paraId="3FA90B69" w14:textId="77777777" w:rsidR="00445AD5" w:rsidRDefault="00EA4B12">
      <w:pPr>
        <w:spacing w:line="540" w:lineRule="exact"/>
        <w:ind w:firstLine="660"/>
        <w:rPr>
          <w:rFonts w:ascii="仿宋_GB2312" w:eastAsia="仿宋_GB2312" w:hAnsi="宋体"/>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）卫生健康支出（类）行政事业单位医疗（款）事业单位医疗（项）</w:t>
      </w:r>
      <w:r>
        <w:rPr>
          <w:rFonts w:ascii="仿宋" w:eastAsia="仿宋" w:hAnsi="仿宋" w:hint="eastAsia"/>
          <w:sz w:val="32"/>
          <w:szCs w:val="32"/>
        </w:rPr>
        <w:t>21.75</w:t>
      </w:r>
      <w:r>
        <w:rPr>
          <w:rFonts w:ascii="仿宋" w:eastAsia="仿宋" w:hAnsi="仿宋" w:hint="eastAsia"/>
          <w:sz w:val="32"/>
          <w:szCs w:val="32"/>
        </w:rPr>
        <w:t>万元，主要是职工医疗保险缴费等支出，完成年初预算的</w:t>
      </w:r>
      <w:r>
        <w:rPr>
          <w:rFonts w:ascii="仿宋" w:eastAsia="仿宋" w:hAnsi="仿宋" w:hint="eastAsia"/>
          <w:sz w:val="32"/>
          <w:szCs w:val="32"/>
        </w:rPr>
        <w:t>98.14%</w:t>
      </w:r>
      <w:r>
        <w:rPr>
          <w:rFonts w:ascii="仿宋" w:eastAsia="仿宋" w:hAnsi="仿宋" w:hint="eastAsia"/>
          <w:sz w:val="32"/>
          <w:szCs w:val="32"/>
        </w:rPr>
        <w:t>，决算数大于年初预算数的原因主要</w:t>
      </w:r>
      <w:r>
        <w:rPr>
          <w:rFonts w:ascii="仿宋_GB2312" w:eastAsia="仿宋_GB2312" w:hAnsi="宋体" w:hint="eastAsia"/>
          <w:sz w:val="32"/>
          <w:szCs w:val="32"/>
        </w:rPr>
        <w:t>新增人员医疗保险。</w:t>
      </w:r>
    </w:p>
    <w:p w14:paraId="2E897BB7"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）卫生健康支出（类）行政事业单位医疗（款）其他</w:t>
      </w:r>
      <w:r>
        <w:rPr>
          <w:rFonts w:ascii="仿宋" w:eastAsia="仿宋" w:hAnsi="仿宋" w:hint="eastAsia"/>
          <w:sz w:val="32"/>
          <w:szCs w:val="32"/>
        </w:rPr>
        <w:lastRenderedPageBreak/>
        <w:t>行政事业单位医疗支出（项）</w:t>
      </w:r>
      <w:r>
        <w:rPr>
          <w:rFonts w:ascii="仿宋" w:eastAsia="仿宋" w:hAnsi="仿宋" w:hint="eastAsia"/>
          <w:sz w:val="32"/>
          <w:szCs w:val="32"/>
        </w:rPr>
        <w:t>0.82</w:t>
      </w:r>
      <w:r>
        <w:rPr>
          <w:rFonts w:ascii="仿宋" w:eastAsia="仿宋" w:hAnsi="仿宋" w:hint="eastAsia"/>
          <w:sz w:val="32"/>
          <w:szCs w:val="32"/>
        </w:rPr>
        <w:t>万元，主要是职工大额医疗保险和工伤保险缴费等支出，完成年初预算的</w:t>
      </w:r>
      <w:r>
        <w:rPr>
          <w:rFonts w:ascii="仿宋" w:eastAsia="仿宋" w:hAnsi="仿宋" w:hint="eastAsia"/>
          <w:sz w:val="32"/>
          <w:szCs w:val="32"/>
        </w:rPr>
        <w:t>68.53%</w:t>
      </w:r>
      <w:r>
        <w:rPr>
          <w:rFonts w:ascii="仿宋" w:eastAsia="仿宋" w:hAnsi="仿宋" w:hint="eastAsia"/>
          <w:sz w:val="32"/>
          <w:szCs w:val="32"/>
        </w:rPr>
        <w:t>，决算数大于年初预算数的原因主要是新增人员</w:t>
      </w:r>
    </w:p>
    <w:p w14:paraId="5E86C870"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商业服务业等支出</w:t>
      </w:r>
      <w:r>
        <w:rPr>
          <w:rFonts w:ascii="仿宋" w:eastAsia="仿宋" w:hAnsi="仿宋" w:hint="eastAsia"/>
          <w:sz w:val="32"/>
          <w:szCs w:val="32"/>
        </w:rPr>
        <w:t>530.17</w:t>
      </w:r>
      <w:r>
        <w:rPr>
          <w:rFonts w:ascii="仿宋" w:eastAsia="仿宋" w:hAnsi="仿宋" w:hint="eastAsia"/>
          <w:sz w:val="32"/>
          <w:szCs w:val="32"/>
        </w:rPr>
        <w:t>万元，完成年初预算的</w:t>
      </w:r>
      <w:r>
        <w:rPr>
          <w:rFonts w:ascii="仿宋" w:eastAsia="仿宋" w:hAnsi="仿宋" w:hint="eastAsia"/>
          <w:sz w:val="32"/>
          <w:szCs w:val="32"/>
        </w:rPr>
        <w:t>130.07%</w:t>
      </w:r>
      <w:r>
        <w:rPr>
          <w:rFonts w:ascii="仿宋" w:eastAsia="仿宋" w:hAnsi="仿宋" w:hint="eastAsia"/>
          <w:sz w:val="32"/>
          <w:szCs w:val="32"/>
        </w:rPr>
        <w:t>，决算数大于预算数的原因是新增人</w:t>
      </w:r>
      <w:r>
        <w:rPr>
          <w:rFonts w:ascii="仿宋" w:eastAsia="仿宋" w:hAnsi="仿宋" w:hint="eastAsia"/>
          <w:sz w:val="32"/>
          <w:szCs w:val="32"/>
        </w:rPr>
        <w:t>员。其中：</w:t>
      </w:r>
    </w:p>
    <w:p w14:paraId="08CB8E8D"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）商业服务业等支出（类）商业流通事务（款）事业运行（项）</w:t>
      </w:r>
      <w:r>
        <w:rPr>
          <w:rFonts w:ascii="仿宋" w:eastAsia="仿宋" w:hAnsi="仿宋" w:hint="eastAsia"/>
          <w:sz w:val="32"/>
          <w:szCs w:val="32"/>
        </w:rPr>
        <w:t>509.24</w:t>
      </w:r>
      <w:r>
        <w:rPr>
          <w:rFonts w:ascii="仿宋" w:eastAsia="仿宋" w:hAnsi="仿宋" w:hint="eastAsia"/>
          <w:sz w:val="32"/>
          <w:szCs w:val="32"/>
        </w:rPr>
        <w:t>万元，主要是单位的人员经费和公用经费。</w:t>
      </w:r>
    </w:p>
    <w:p w14:paraId="25952E15"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）商业服务业等支出（类）商业流通事务（款）其他商业流通事务支出（项）</w:t>
      </w:r>
      <w:r>
        <w:rPr>
          <w:rFonts w:ascii="仿宋" w:eastAsia="仿宋" w:hAnsi="仿宋" w:hint="eastAsia"/>
          <w:sz w:val="32"/>
          <w:szCs w:val="32"/>
        </w:rPr>
        <w:t>20.93</w:t>
      </w:r>
      <w:r>
        <w:rPr>
          <w:rFonts w:ascii="仿宋" w:eastAsia="仿宋" w:hAnsi="仿宋" w:hint="eastAsia"/>
          <w:sz w:val="32"/>
          <w:szCs w:val="32"/>
        </w:rPr>
        <w:t>万元，主要是单位的项目支出</w:t>
      </w:r>
    </w:p>
    <w:p w14:paraId="2F639B82"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住房保障支出</w:t>
      </w:r>
      <w:r>
        <w:rPr>
          <w:rFonts w:ascii="仿宋" w:eastAsia="仿宋" w:hAnsi="仿宋" w:hint="eastAsia"/>
          <w:sz w:val="32"/>
          <w:szCs w:val="32"/>
        </w:rPr>
        <w:t>36.68</w:t>
      </w:r>
      <w:r>
        <w:rPr>
          <w:rFonts w:ascii="仿宋" w:eastAsia="仿宋" w:hAnsi="仿宋" w:hint="eastAsia"/>
          <w:sz w:val="32"/>
          <w:szCs w:val="32"/>
        </w:rPr>
        <w:t>万元，具体包括：</w:t>
      </w:r>
    </w:p>
    <w:p w14:paraId="34376C8F" w14:textId="77777777" w:rsidR="00445AD5" w:rsidRDefault="00EA4B12">
      <w:pPr>
        <w:spacing w:line="540" w:lineRule="exact"/>
        <w:ind w:firstLineChars="200" w:firstLine="640"/>
        <w:rPr>
          <w:rFonts w:ascii="仿宋_GB2312" w:eastAsia="仿宋_GB2312" w:hAnsi="宋体"/>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）住房保障支出（类）住房改革支出（款）住房公积金（项）</w:t>
      </w:r>
      <w:r>
        <w:rPr>
          <w:rFonts w:ascii="仿宋" w:eastAsia="仿宋" w:hAnsi="仿宋" w:hint="eastAsia"/>
          <w:sz w:val="32"/>
          <w:szCs w:val="32"/>
        </w:rPr>
        <w:t>36.68</w:t>
      </w:r>
      <w:r>
        <w:rPr>
          <w:rFonts w:ascii="仿宋" w:eastAsia="仿宋" w:hAnsi="仿宋" w:hint="eastAsia"/>
          <w:sz w:val="32"/>
          <w:szCs w:val="32"/>
        </w:rPr>
        <w:t>万元，主要是职工住房公积金缴费等支出，完成年初预算的</w:t>
      </w:r>
      <w:r>
        <w:rPr>
          <w:rFonts w:ascii="仿宋" w:eastAsia="仿宋" w:hAnsi="仿宋" w:hint="eastAsia"/>
          <w:sz w:val="32"/>
          <w:szCs w:val="32"/>
        </w:rPr>
        <w:t>105.31%</w:t>
      </w:r>
      <w:r>
        <w:rPr>
          <w:rFonts w:ascii="仿宋" w:eastAsia="仿宋" w:hAnsi="仿宋" w:hint="eastAsia"/>
          <w:sz w:val="32"/>
          <w:szCs w:val="32"/>
        </w:rPr>
        <w:t>，</w:t>
      </w:r>
      <w:r>
        <w:rPr>
          <w:rFonts w:ascii="仿宋_GB2312" w:eastAsia="仿宋_GB2312" w:hAnsi="宋体" w:hint="eastAsia"/>
          <w:sz w:val="32"/>
          <w:szCs w:val="32"/>
        </w:rPr>
        <w:t>决算数大于年初预算数的原因主要是新增人员。</w:t>
      </w:r>
    </w:p>
    <w:p w14:paraId="7DECC5DA" w14:textId="6349B58E" w:rsidR="00445AD5" w:rsidRDefault="00EA4B12" w:rsidP="00872F9C">
      <w:pPr>
        <w:spacing w:line="54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w:t>
      </w:r>
      <w:r>
        <w:rPr>
          <w:rFonts w:ascii="仿宋_GB2312" w:eastAsia="仿宋_GB2312" w:hAnsi="宋体" w:hint="eastAsia"/>
          <w:sz w:val="32"/>
          <w:szCs w:val="32"/>
        </w:rPr>
        <w:t>其他支出</w:t>
      </w:r>
      <w:r>
        <w:rPr>
          <w:rFonts w:ascii="仿宋_GB2312" w:eastAsia="仿宋_GB2312" w:hAnsi="宋体" w:hint="eastAsia"/>
          <w:sz w:val="32"/>
          <w:szCs w:val="32"/>
        </w:rPr>
        <w:t>1.32</w:t>
      </w:r>
      <w:r>
        <w:rPr>
          <w:rFonts w:ascii="仿宋_GB2312" w:eastAsia="仿宋_GB2312" w:hAnsi="宋体" w:hint="eastAsia"/>
          <w:sz w:val="32"/>
          <w:szCs w:val="32"/>
        </w:rPr>
        <w:t>万元（涉密）</w:t>
      </w:r>
    </w:p>
    <w:p w14:paraId="3B75C189" w14:textId="77777777" w:rsidR="00445AD5" w:rsidRDefault="00EA4B12">
      <w:pPr>
        <w:spacing w:line="540" w:lineRule="exact"/>
        <w:ind w:firstLine="660"/>
        <w:rPr>
          <w:rFonts w:ascii="仿宋" w:eastAsia="仿宋" w:hAnsi="仿宋"/>
          <w:b/>
          <w:sz w:val="32"/>
          <w:szCs w:val="32"/>
        </w:rPr>
      </w:pPr>
      <w:r>
        <w:rPr>
          <w:rFonts w:ascii="仿宋" w:eastAsia="仿宋" w:hAnsi="仿宋" w:hint="eastAsia"/>
          <w:b/>
          <w:sz w:val="32"/>
          <w:szCs w:val="32"/>
        </w:rPr>
        <w:t>（三）政府性基金预</w:t>
      </w:r>
      <w:r>
        <w:rPr>
          <w:rFonts w:ascii="仿宋" w:eastAsia="仿宋" w:hAnsi="仿宋" w:hint="eastAsia"/>
          <w:b/>
          <w:sz w:val="32"/>
          <w:szCs w:val="32"/>
        </w:rPr>
        <w:t>算财政拨款支出情况。</w:t>
      </w:r>
    </w:p>
    <w:p w14:paraId="32DFBC8E"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年度政府性基金预算财政拨款支出</w:t>
      </w:r>
      <w:r>
        <w:rPr>
          <w:rFonts w:ascii="仿宋" w:eastAsia="仿宋" w:hAnsi="仿宋" w:hint="eastAsia"/>
          <w:sz w:val="32"/>
          <w:szCs w:val="32"/>
        </w:rPr>
        <w:t>0</w:t>
      </w:r>
      <w:r>
        <w:rPr>
          <w:rFonts w:ascii="仿宋" w:eastAsia="仿宋" w:hAnsi="仿宋" w:hint="eastAsia"/>
          <w:sz w:val="32"/>
          <w:szCs w:val="32"/>
        </w:rPr>
        <w:t>万元，本部门</w:t>
      </w:r>
      <w:r>
        <w:rPr>
          <w:rFonts w:ascii="仿宋" w:eastAsia="仿宋" w:hAnsi="仿宋" w:hint="eastAsia"/>
          <w:sz w:val="32"/>
          <w:szCs w:val="32"/>
        </w:rPr>
        <w:t>2021</w:t>
      </w:r>
      <w:r>
        <w:rPr>
          <w:rFonts w:ascii="仿宋" w:eastAsia="仿宋" w:hAnsi="仿宋" w:hint="eastAsia"/>
          <w:sz w:val="32"/>
          <w:szCs w:val="32"/>
        </w:rPr>
        <w:t>年度无政府性基金预算财政拨款支出，无此类资金收支余</w:t>
      </w:r>
    </w:p>
    <w:p w14:paraId="398E7818" w14:textId="77777777" w:rsidR="00445AD5" w:rsidRDefault="00EA4B12">
      <w:pPr>
        <w:spacing w:line="540" w:lineRule="exact"/>
        <w:ind w:firstLine="660"/>
        <w:rPr>
          <w:rFonts w:ascii="仿宋" w:eastAsia="仿宋" w:hAnsi="仿宋"/>
          <w:b/>
          <w:sz w:val="32"/>
          <w:szCs w:val="32"/>
        </w:rPr>
      </w:pPr>
      <w:r>
        <w:rPr>
          <w:rFonts w:ascii="仿宋" w:eastAsia="仿宋" w:hAnsi="仿宋" w:hint="eastAsia"/>
          <w:b/>
          <w:sz w:val="32"/>
          <w:szCs w:val="32"/>
        </w:rPr>
        <w:t>（四）国有资本经营预算财政拨款支出情况。</w:t>
      </w:r>
    </w:p>
    <w:p w14:paraId="155AC67D" w14:textId="77777777" w:rsidR="00445AD5" w:rsidRDefault="00EA4B12">
      <w:pPr>
        <w:spacing w:line="540" w:lineRule="exact"/>
        <w:ind w:firstLine="66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年度国有资本经营预算财政拨款支出</w:t>
      </w:r>
      <w:r>
        <w:rPr>
          <w:rFonts w:ascii="仿宋" w:eastAsia="仿宋" w:hAnsi="仿宋" w:hint="eastAsia"/>
          <w:sz w:val="32"/>
          <w:szCs w:val="32"/>
        </w:rPr>
        <w:t>0</w:t>
      </w:r>
      <w:r>
        <w:rPr>
          <w:rFonts w:ascii="仿宋" w:eastAsia="仿宋" w:hAnsi="仿宋" w:hint="eastAsia"/>
          <w:sz w:val="32"/>
          <w:szCs w:val="32"/>
        </w:rPr>
        <w:t>万元，本部门</w:t>
      </w:r>
      <w:r>
        <w:rPr>
          <w:rFonts w:ascii="仿宋" w:eastAsia="仿宋" w:hAnsi="仿宋" w:hint="eastAsia"/>
          <w:sz w:val="32"/>
          <w:szCs w:val="32"/>
        </w:rPr>
        <w:t>2021</w:t>
      </w:r>
      <w:r>
        <w:rPr>
          <w:rFonts w:ascii="仿宋" w:eastAsia="仿宋" w:hAnsi="仿宋" w:hint="eastAsia"/>
          <w:sz w:val="32"/>
          <w:szCs w:val="32"/>
        </w:rPr>
        <w:t>年度无国有资本经营预算财政拨款支出，无此类资金收支余</w:t>
      </w:r>
    </w:p>
    <w:p w14:paraId="1E27FB83" w14:textId="176E12C4" w:rsidR="00445AD5" w:rsidRDefault="00445AD5">
      <w:pPr>
        <w:spacing w:line="540" w:lineRule="exact"/>
        <w:rPr>
          <w:rFonts w:ascii="仿宋_GB2312" w:eastAsia="仿宋_GB2312" w:hAnsi="宋体"/>
          <w:b/>
          <w:bCs/>
          <w:color w:val="FF0000"/>
          <w:sz w:val="32"/>
          <w:szCs w:val="32"/>
        </w:rPr>
      </w:pPr>
    </w:p>
    <w:p w14:paraId="3642EE51" w14:textId="77777777" w:rsidR="00445AD5" w:rsidRDefault="00EA4B12">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w:t>
      </w:r>
    </w:p>
    <w:p w14:paraId="1B939DC2" w14:textId="77777777" w:rsidR="00445AD5" w:rsidRDefault="00EA4B12">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2021</w:t>
      </w:r>
      <w:r>
        <w:rPr>
          <w:rFonts w:ascii="仿宋_GB2312" w:eastAsia="仿宋_GB2312" w:hAnsi="宋体" w:hint="eastAsia"/>
          <w:sz w:val="32"/>
          <w:szCs w:val="32"/>
        </w:rPr>
        <w:t>年度一般公共预算财政拨款安排的“三公”经费支出</w:t>
      </w:r>
      <w:r>
        <w:rPr>
          <w:rFonts w:ascii="仿宋_GB2312" w:eastAsia="仿宋_GB2312" w:hAnsi="宋体" w:hint="eastAsia"/>
          <w:sz w:val="32"/>
          <w:szCs w:val="32"/>
        </w:rPr>
        <w:t>8.40</w:t>
      </w:r>
      <w:r>
        <w:rPr>
          <w:rFonts w:ascii="仿宋_GB2312" w:eastAsia="仿宋_GB2312" w:hAnsi="宋体" w:hint="eastAsia"/>
          <w:sz w:val="32"/>
          <w:szCs w:val="32"/>
        </w:rPr>
        <w:t>万元，完成年初预算的</w:t>
      </w:r>
      <w:r>
        <w:rPr>
          <w:rFonts w:ascii="仿宋_GB2312" w:eastAsia="仿宋_GB2312" w:hAnsi="宋体" w:hint="eastAsia"/>
          <w:sz w:val="32"/>
          <w:szCs w:val="32"/>
        </w:rPr>
        <w:t>100%</w:t>
      </w:r>
      <w:r>
        <w:rPr>
          <w:rFonts w:ascii="仿宋_GB2312" w:eastAsia="仿宋_GB2312" w:hAnsi="宋体" w:hint="eastAsia"/>
          <w:sz w:val="32"/>
          <w:szCs w:val="32"/>
        </w:rPr>
        <w:t>，决算数小于年初预算数的主要原因是公务车运行维护费减少。与上年相比，今年“三公”经费支出减少</w:t>
      </w:r>
      <w:r>
        <w:rPr>
          <w:rFonts w:ascii="仿宋_GB2312" w:eastAsia="仿宋_GB2312" w:hAnsi="宋体" w:hint="eastAsia"/>
          <w:sz w:val="32"/>
          <w:szCs w:val="32"/>
        </w:rPr>
        <w:t>0.64</w:t>
      </w:r>
      <w:r>
        <w:rPr>
          <w:rFonts w:ascii="仿宋_GB2312" w:eastAsia="仿宋_GB2312" w:hAnsi="宋体" w:hint="eastAsia"/>
          <w:sz w:val="32"/>
          <w:szCs w:val="32"/>
        </w:rPr>
        <w:t>万元，降低</w:t>
      </w:r>
      <w:r>
        <w:rPr>
          <w:rFonts w:ascii="仿宋_GB2312" w:eastAsia="仿宋_GB2312" w:hAnsi="宋体" w:hint="eastAsia"/>
          <w:sz w:val="32"/>
          <w:szCs w:val="32"/>
        </w:rPr>
        <w:t>7.07%</w:t>
      </w:r>
      <w:r>
        <w:rPr>
          <w:rFonts w:ascii="仿宋_GB2312" w:eastAsia="仿宋_GB2312" w:hAnsi="宋体" w:hint="eastAsia"/>
          <w:sz w:val="32"/>
          <w:szCs w:val="32"/>
        </w:rPr>
        <w:t>，主要原因：公务车运行维护费减少。</w:t>
      </w:r>
    </w:p>
    <w:p w14:paraId="7B8617C9" w14:textId="77777777" w:rsidR="00445AD5" w:rsidRDefault="00EA4B12">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其中：因公出国（境）费</w:t>
      </w:r>
      <w:r>
        <w:rPr>
          <w:rFonts w:ascii="仿宋_GB2312" w:eastAsia="仿宋_GB2312" w:hAnsi="宋体" w:hint="eastAsia"/>
          <w:sz w:val="32"/>
          <w:szCs w:val="32"/>
        </w:rPr>
        <w:t>0</w:t>
      </w:r>
      <w:r>
        <w:rPr>
          <w:rFonts w:ascii="仿宋_GB2312" w:eastAsia="仿宋_GB2312" w:hAnsi="宋体" w:hint="eastAsia"/>
          <w:sz w:val="32"/>
          <w:szCs w:val="32"/>
        </w:rPr>
        <w:t>万元，公务接待费</w:t>
      </w:r>
      <w:r>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Pr>
          <w:rFonts w:ascii="仿宋_GB2312" w:eastAsia="仿宋_GB2312" w:hAnsi="宋体" w:hint="eastAsia"/>
          <w:sz w:val="32"/>
          <w:szCs w:val="32"/>
        </w:rPr>
        <w:t>8.40</w:t>
      </w:r>
      <w:r>
        <w:rPr>
          <w:rFonts w:ascii="仿宋_GB2312" w:eastAsia="仿宋_GB2312" w:hAnsi="宋体" w:hint="eastAsia"/>
          <w:sz w:val="32"/>
          <w:szCs w:val="32"/>
        </w:rPr>
        <w:t>万元。</w:t>
      </w:r>
    </w:p>
    <w:p w14:paraId="07CBEFCD" w14:textId="77777777" w:rsidR="00445AD5" w:rsidRDefault="00EA4B12">
      <w:pPr>
        <w:spacing w:line="54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因公出国（境）费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。决算数与年初预算数相等，均为</w:t>
      </w:r>
      <w:r>
        <w:rPr>
          <w:rFonts w:ascii="仿宋" w:eastAsia="仿宋" w:hAnsi="仿宋" w:hint="eastAsia"/>
          <w:sz w:val="32"/>
          <w:szCs w:val="32"/>
        </w:rPr>
        <w:t>0</w:t>
      </w:r>
      <w:r>
        <w:rPr>
          <w:rFonts w:ascii="仿宋" w:eastAsia="仿宋" w:hAnsi="仿宋" w:hint="eastAsia"/>
          <w:sz w:val="32"/>
          <w:szCs w:val="32"/>
        </w:rPr>
        <w:t>万元，主要原因是年初未做预算，本年未发生因公出国事项。</w:t>
      </w:r>
      <w:r>
        <w:rPr>
          <w:rFonts w:ascii="仿宋" w:eastAsia="仿宋" w:hAnsi="仿宋" w:hint="eastAsia"/>
          <w:sz w:val="32"/>
          <w:szCs w:val="32"/>
        </w:rPr>
        <w:t>2021</w:t>
      </w:r>
      <w:r>
        <w:rPr>
          <w:rFonts w:ascii="仿宋" w:eastAsia="仿宋" w:hAnsi="仿宋" w:hint="eastAsia"/>
          <w:sz w:val="32"/>
          <w:szCs w:val="32"/>
        </w:rPr>
        <w:t>年参加出国（境）团组</w:t>
      </w:r>
      <w:r>
        <w:rPr>
          <w:rFonts w:ascii="仿宋" w:eastAsia="仿宋" w:hAnsi="仿宋" w:hint="eastAsia"/>
          <w:sz w:val="32"/>
          <w:szCs w:val="32"/>
        </w:rPr>
        <w:t>0</w:t>
      </w:r>
      <w:r>
        <w:rPr>
          <w:rFonts w:ascii="仿宋" w:eastAsia="仿宋" w:hAnsi="仿宋" w:hint="eastAsia"/>
          <w:sz w:val="32"/>
          <w:szCs w:val="32"/>
        </w:rPr>
        <w:t>个，累计</w:t>
      </w:r>
      <w:r>
        <w:rPr>
          <w:rFonts w:ascii="仿宋" w:eastAsia="仿宋" w:hAnsi="仿宋" w:hint="eastAsia"/>
          <w:sz w:val="32"/>
          <w:szCs w:val="32"/>
        </w:rPr>
        <w:t>0</w:t>
      </w:r>
      <w:r>
        <w:rPr>
          <w:rFonts w:ascii="仿宋" w:eastAsia="仿宋" w:hAnsi="仿宋" w:hint="eastAsia"/>
          <w:sz w:val="32"/>
          <w:szCs w:val="32"/>
        </w:rPr>
        <w:t>人次，未参加任何团组。</w:t>
      </w:r>
      <w:r>
        <w:rPr>
          <w:rFonts w:ascii="仿宋" w:eastAsia="仿宋" w:hAnsi="仿宋" w:hint="eastAsia"/>
          <w:sz w:val="32"/>
          <w:szCs w:val="32"/>
        </w:rPr>
        <w:t>2021</w:t>
      </w:r>
      <w:r>
        <w:rPr>
          <w:rFonts w:ascii="仿宋" w:eastAsia="仿宋" w:hAnsi="仿宋" w:hint="eastAsia"/>
          <w:sz w:val="32"/>
          <w:szCs w:val="32"/>
        </w:rPr>
        <w:t>年因公出国（境）费比上年增加</w:t>
      </w:r>
      <w:r>
        <w:rPr>
          <w:rFonts w:ascii="仿宋" w:eastAsia="仿宋" w:hAnsi="仿宋" w:hint="eastAsia"/>
          <w:sz w:val="32"/>
          <w:szCs w:val="32"/>
        </w:rPr>
        <w:t>0</w:t>
      </w:r>
      <w:r>
        <w:rPr>
          <w:rFonts w:ascii="仿宋" w:eastAsia="仿宋" w:hAnsi="仿宋" w:hint="eastAsia"/>
          <w:sz w:val="32"/>
          <w:szCs w:val="32"/>
        </w:rPr>
        <w:t>万元，增长</w:t>
      </w:r>
      <w:r>
        <w:rPr>
          <w:rFonts w:ascii="仿宋" w:eastAsia="仿宋" w:hAnsi="仿宋" w:hint="eastAsia"/>
          <w:sz w:val="32"/>
          <w:szCs w:val="32"/>
        </w:rPr>
        <w:t>0%</w:t>
      </w:r>
      <w:r>
        <w:rPr>
          <w:rFonts w:ascii="仿宋" w:eastAsia="仿宋" w:hAnsi="仿宋" w:hint="eastAsia"/>
          <w:sz w:val="32"/>
          <w:szCs w:val="32"/>
        </w:rPr>
        <w:t>，主要原因是</w:t>
      </w:r>
      <w:r>
        <w:rPr>
          <w:rFonts w:ascii="仿宋" w:eastAsia="仿宋" w:hAnsi="仿宋" w:hint="eastAsia"/>
          <w:sz w:val="32"/>
          <w:szCs w:val="32"/>
        </w:rPr>
        <w:t>2021</w:t>
      </w:r>
      <w:r>
        <w:rPr>
          <w:rFonts w:ascii="仿宋" w:eastAsia="仿宋" w:hAnsi="仿宋" w:hint="eastAsia"/>
          <w:sz w:val="32"/>
          <w:szCs w:val="32"/>
        </w:rPr>
        <w:t>年和</w:t>
      </w:r>
      <w:r>
        <w:rPr>
          <w:rFonts w:ascii="仿宋" w:eastAsia="仿宋" w:hAnsi="仿宋" w:hint="eastAsia"/>
          <w:sz w:val="32"/>
          <w:szCs w:val="32"/>
        </w:rPr>
        <w:t>2020</w:t>
      </w:r>
      <w:r>
        <w:rPr>
          <w:rFonts w:ascii="仿宋" w:eastAsia="仿宋" w:hAnsi="仿宋" w:hint="eastAsia"/>
          <w:sz w:val="32"/>
          <w:szCs w:val="32"/>
        </w:rPr>
        <w:t>年本单位均为发生因公出国事项，无因公出国（境）支出。</w:t>
      </w:r>
    </w:p>
    <w:p w14:paraId="73CDF48F" w14:textId="77777777" w:rsidR="00445AD5" w:rsidRDefault="00EA4B12">
      <w:pPr>
        <w:spacing w:line="54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公务接待费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。决算数与年初预算数相等，均为</w:t>
      </w:r>
      <w:r>
        <w:rPr>
          <w:rFonts w:ascii="仿宋" w:eastAsia="仿宋" w:hAnsi="仿宋" w:hint="eastAsia"/>
          <w:sz w:val="32"/>
          <w:szCs w:val="32"/>
        </w:rPr>
        <w:t>0</w:t>
      </w:r>
      <w:r>
        <w:rPr>
          <w:rFonts w:ascii="仿宋" w:eastAsia="仿宋" w:hAnsi="仿宋" w:hint="eastAsia"/>
          <w:sz w:val="32"/>
          <w:szCs w:val="32"/>
        </w:rPr>
        <w:t>万元，主要原因是年初未做预算，本年未发生公务接待事项。</w:t>
      </w:r>
      <w:r>
        <w:rPr>
          <w:rFonts w:ascii="仿宋" w:eastAsia="仿宋" w:hAnsi="仿宋" w:hint="eastAsia"/>
          <w:sz w:val="32"/>
          <w:szCs w:val="32"/>
        </w:rPr>
        <w:t>2021</w:t>
      </w:r>
      <w:r>
        <w:rPr>
          <w:rFonts w:ascii="仿宋" w:eastAsia="仿宋" w:hAnsi="仿宋" w:hint="eastAsia"/>
          <w:sz w:val="32"/>
          <w:szCs w:val="32"/>
        </w:rPr>
        <w:t>年国内公务接待累计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万元，无支出事项和用途；其中外事接待累计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万元，无支出事项和用途。主要是本年无公务接待事宜支出。</w:t>
      </w:r>
    </w:p>
    <w:p w14:paraId="3A532309" w14:textId="77777777" w:rsidR="00445AD5" w:rsidRDefault="00EA4B12">
      <w:pPr>
        <w:spacing w:line="540" w:lineRule="exact"/>
        <w:ind w:firstLine="645"/>
        <w:rPr>
          <w:rFonts w:ascii="仿宋" w:eastAsia="仿宋" w:hAnsi="仿宋"/>
          <w:sz w:val="32"/>
          <w:szCs w:val="32"/>
        </w:rPr>
      </w:pPr>
      <w:r>
        <w:rPr>
          <w:rFonts w:ascii="仿宋" w:eastAsia="仿宋" w:hAnsi="仿宋" w:hint="eastAsia"/>
          <w:sz w:val="32"/>
          <w:szCs w:val="32"/>
        </w:rPr>
        <w:t>3.</w:t>
      </w:r>
      <w:r>
        <w:rPr>
          <w:rFonts w:ascii="仿宋" w:eastAsia="仿宋" w:hAnsi="仿宋" w:hint="eastAsia"/>
        </w:rPr>
        <w:t xml:space="preserve"> </w:t>
      </w:r>
      <w:r>
        <w:rPr>
          <w:rFonts w:ascii="仿宋" w:eastAsia="仿宋" w:hAnsi="仿宋" w:hint="eastAsia"/>
          <w:sz w:val="32"/>
          <w:szCs w:val="32"/>
        </w:rPr>
        <w:t>公务用车购置及</w:t>
      </w:r>
      <w:r>
        <w:rPr>
          <w:rFonts w:ascii="仿宋" w:eastAsia="仿宋" w:hAnsi="仿宋"/>
          <w:sz w:val="32"/>
          <w:szCs w:val="32"/>
        </w:rPr>
        <w:t>运行费</w:t>
      </w:r>
      <w:r>
        <w:rPr>
          <w:rFonts w:ascii="仿宋" w:eastAsia="仿宋" w:hAnsi="仿宋" w:hint="eastAsia"/>
          <w:sz w:val="32"/>
          <w:szCs w:val="32"/>
        </w:rPr>
        <w:t>8.40</w:t>
      </w:r>
      <w:r>
        <w:rPr>
          <w:rFonts w:ascii="仿宋" w:eastAsia="仿宋" w:hAnsi="仿宋" w:hint="eastAsia"/>
          <w:sz w:val="32"/>
          <w:szCs w:val="32"/>
        </w:rPr>
        <w:t>万元，占“三公”经费支出的</w:t>
      </w:r>
      <w:r>
        <w:rPr>
          <w:rFonts w:ascii="仿宋" w:eastAsia="仿宋" w:hAnsi="仿宋" w:hint="eastAsia"/>
          <w:sz w:val="32"/>
          <w:szCs w:val="32"/>
        </w:rPr>
        <w:t>100%</w:t>
      </w:r>
      <w:r>
        <w:rPr>
          <w:rFonts w:ascii="仿宋" w:eastAsia="仿宋" w:hAnsi="仿宋" w:hint="eastAsia"/>
          <w:sz w:val="32"/>
          <w:szCs w:val="32"/>
        </w:rPr>
        <w:t>。完成年初预算的</w:t>
      </w:r>
      <w:r>
        <w:rPr>
          <w:rFonts w:ascii="仿宋" w:eastAsia="仿宋" w:hAnsi="仿宋" w:hint="eastAsia"/>
          <w:sz w:val="32"/>
          <w:szCs w:val="32"/>
        </w:rPr>
        <w:t>84.0%</w:t>
      </w:r>
      <w:r>
        <w:rPr>
          <w:rFonts w:ascii="仿宋" w:eastAsia="仿宋" w:hAnsi="仿宋" w:hint="eastAsia"/>
          <w:sz w:val="32"/>
          <w:szCs w:val="32"/>
        </w:rPr>
        <w:t>，决算数小于年初预算数的主要原因是厉行节约，严格执行公车使用规定。比上年减少</w:t>
      </w:r>
      <w:r>
        <w:rPr>
          <w:rFonts w:ascii="仿宋" w:eastAsia="仿宋" w:hAnsi="仿宋" w:hint="eastAsia"/>
          <w:sz w:val="32"/>
          <w:szCs w:val="32"/>
        </w:rPr>
        <w:t>0.64</w:t>
      </w:r>
      <w:r>
        <w:rPr>
          <w:rFonts w:ascii="仿宋" w:eastAsia="仿宋" w:hAnsi="仿宋" w:hint="eastAsia"/>
          <w:sz w:val="32"/>
          <w:szCs w:val="32"/>
        </w:rPr>
        <w:t>万元，下降</w:t>
      </w:r>
      <w:r>
        <w:rPr>
          <w:rFonts w:ascii="仿宋" w:eastAsia="仿宋" w:hAnsi="仿宋" w:hint="eastAsia"/>
          <w:sz w:val="32"/>
          <w:szCs w:val="32"/>
        </w:rPr>
        <w:t>7.07%</w:t>
      </w:r>
      <w:r>
        <w:rPr>
          <w:rFonts w:ascii="仿宋" w:eastAsia="仿宋" w:hAnsi="仿宋" w:hint="eastAsia"/>
          <w:sz w:val="32"/>
          <w:szCs w:val="32"/>
        </w:rPr>
        <w:t>，主要是本年公务用车核算减少。</w:t>
      </w:r>
    </w:p>
    <w:p w14:paraId="353F54C4" w14:textId="77777777" w:rsidR="00445AD5" w:rsidRDefault="00EA4B12">
      <w:pPr>
        <w:spacing w:line="540" w:lineRule="exact"/>
        <w:ind w:firstLine="645"/>
        <w:rPr>
          <w:rFonts w:ascii="仿宋" w:eastAsia="仿宋" w:hAnsi="仿宋"/>
          <w:sz w:val="32"/>
          <w:szCs w:val="32"/>
        </w:rPr>
      </w:pPr>
      <w:r>
        <w:rPr>
          <w:rFonts w:ascii="仿宋" w:eastAsia="仿宋" w:hAnsi="仿宋" w:hint="eastAsia"/>
          <w:sz w:val="32"/>
          <w:szCs w:val="32"/>
        </w:rPr>
        <w:t>其中：公务用车购置费</w:t>
      </w:r>
      <w:r>
        <w:rPr>
          <w:rFonts w:ascii="仿宋" w:eastAsia="仿宋" w:hAnsi="仿宋" w:hint="eastAsia"/>
          <w:sz w:val="32"/>
          <w:szCs w:val="32"/>
        </w:rPr>
        <w:t>0</w:t>
      </w:r>
      <w:r>
        <w:rPr>
          <w:rFonts w:ascii="仿宋" w:eastAsia="仿宋" w:hAnsi="仿宋" w:hint="eastAsia"/>
          <w:sz w:val="32"/>
          <w:szCs w:val="32"/>
        </w:rPr>
        <w:t>万元，本年未发生公务用车购置事项</w:t>
      </w:r>
      <w:r>
        <w:rPr>
          <w:rFonts w:ascii="仿宋" w:eastAsia="仿宋" w:hAnsi="仿宋" w:hint="eastAsia"/>
          <w:sz w:val="32"/>
          <w:szCs w:val="32"/>
        </w:rPr>
        <w:t>,</w:t>
      </w:r>
      <w:r>
        <w:rPr>
          <w:rFonts w:ascii="仿宋" w:eastAsia="仿宋" w:hAnsi="仿宋" w:hint="eastAsia"/>
          <w:sz w:val="32"/>
          <w:szCs w:val="32"/>
        </w:rPr>
        <w:t>当年购置公务用车</w:t>
      </w:r>
      <w:r>
        <w:rPr>
          <w:rFonts w:ascii="仿宋" w:eastAsia="仿宋" w:hAnsi="仿宋" w:hint="eastAsia"/>
          <w:sz w:val="32"/>
          <w:szCs w:val="32"/>
        </w:rPr>
        <w:t>0</w:t>
      </w:r>
      <w:r>
        <w:rPr>
          <w:rFonts w:ascii="仿宋" w:eastAsia="仿宋" w:hAnsi="仿宋" w:hint="eastAsia"/>
          <w:sz w:val="32"/>
          <w:szCs w:val="32"/>
        </w:rPr>
        <w:t>辆。公务用车运行维护</w:t>
      </w:r>
      <w:r>
        <w:rPr>
          <w:rFonts w:ascii="仿宋" w:eastAsia="仿宋" w:hAnsi="仿宋" w:hint="eastAsia"/>
          <w:sz w:val="32"/>
          <w:szCs w:val="32"/>
        </w:rPr>
        <w:t>8.40</w:t>
      </w:r>
      <w:r>
        <w:rPr>
          <w:rFonts w:ascii="仿宋" w:eastAsia="仿宋" w:hAnsi="仿宋" w:hint="eastAsia"/>
          <w:sz w:val="32"/>
          <w:szCs w:val="32"/>
        </w:rPr>
        <w:t>万元，</w:t>
      </w:r>
      <w:r>
        <w:rPr>
          <w:rFonts w:ascii="仿宋" w:eastAsia="仿宋" w:hAnsi="仿宋" w:hint="eastAsia"/>
          <w:sz w:val="32"/>
          <w:szCs w:val="32"/>
        </w:rPr>
        <w:lastRenderedPageBreak/>
        <w:t>主要用于公务用车车燃费等各项支出，截至年末使用</w:t>
      </w:r>
      <w:r>
        <w:rPr>
          <w:rFonts w:ascii="仿宋" w:eastAsia="仿宋" w:hAnsi="仿宋"/>
          <w:sz w:val="32"/>
          <w:szCs w:val="32"/>
        </w:rPr>
        <w:t>一般公共预算财政</w:t>
      </w:r>
      <w:r>
        <w:rPr>
          <w:rFonts w:ascii="仿宋" w:eastAsia="仿宋" w:hAnsi="仿宋"/>
          <w:sz w:val="32"/>
          <w:szCs w:val="32"/>
        </w:rPr>
        <w:t>拨款开支</w:t>
      </w:r>
      <w:r>
        <w:rPr>
          <w:rFonts w:ascii="仿宋" w:eastAsia="仿宋" w:hAnsi="仿宋" w:hint="eastAsia"/>
          <w:sz w:val="32"/>
          <w:szCs w:val="32"/>
        </w:rPr>
        <w:t>运行维护费</w:t>
      </w:r>
      <w:r>
        <w:rPr>
          <w:rFonts w:ascii="仿宋" w:eastAsia="仿宋" w:hAnsi="仿宋"/>
          <w:sz w:val="32"/>
          <w:szCs w:val="32"/>
        </w:rPr>
        <w:t>的</w:t>
      </w:r>
      <w:r>
        <w:rPr>
          <w:rFonts w:ascii="仿宋" w:eastAsia="仿宋" w:hAnsi="仿宋" w:hint="eastAsia"/>
          <w:sz w:val="32"/>
          <w:szCs w:val="32"/>
        </w:rPr>
        <w:t>公务用车保有量</w:t>
      </w:r>
      <w:r>
        <w:rPr>
          <w:rFonts w:ascii="仿宋" w:eastAsia="仿宋" w:hAnsi="仿宋" w:hint="eastAsia"/>
          <w:sz w:val="32"/>
          <w:szCs w:val="32"/>
        </w:rPr>
        <w:t>2</w:t>
      </w:r>
      <w:r>
        <w:rPr>
          <w:rFonts w:ascii="仿宋" w:eastAsia="仿宋" w:hAnsi="仿宋" w:hint="eastAsia"/>
          <w:sz w:val="32"/>
          <w:szCs w:val="32"/>
        </w:rPr>
        <w:t>辆。</w:t>
      </w:r>
    </w:p>
    <w:p w14:paraId="37340858" w14:textId="77777777" w:rsidR="00445AD5" w:rsidRDefault="00EA4B12">
      <w:pPr>
        <w:spacing w:line="540" w:lineRule="exact"/>
        <w:ind w:firstLineChars="200" w:firstLine="640"/>
        <w:rPr>
          <w:rFonts w:ascii="黑体" w:eastAsia="黑体" w:hAnsi="黑体"/>
          <w:sz w:val="32"/>
          <w:szCs w:val="32"/>
        </w:rPr>
      </w:pPr>
      <w:r>
        <w:rPr>
          <w:rFonts w:ascii="黑体" w:eastAsia="黑体" w:hAnsi="黑体" w:hint="eastAsia"/>
          <w:sz w:val="32"/>
          <w:szCs w:val="32"/>
        </w:rPr>
        <w:t>四、一般公共预算财政拨款基本支出决算情况说明</w:t>
      </w:r>
    </w:p>
    <w:p w14:paraId="43C5810C" w14:textId="77777777" w:rsidR="00445AD5" w:rsidRDefault="00EA4B12">
      <w:pPr>
        <w:spacing w:line="54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年度一般公共预算财政拨款基本支出</w:t>
      </w:r>
      <w:r>
        <w:rPr>
          <w:rFonts w:ascii="仿宋" w:eastAsia="仿宋" w:hAnsi="仿宋" w:hint="eastAsia"/>
          <w:sz w:val="32"/>
          <w:szCs w:val="32"/>
        </w:rPr>
        <w:t>624.31</w:t>
      </w:r>
      <w:r>
        <w:rPr>
          <w:rFonts w:ascii="仿宋" w:eastAsia="仿宋" w:hAnsi="仿宋" w:hint="eastAsia"/>
          <w:sz w:val="32"/>
          <w:szCs w:val="32"/>
        </w:rPr>
        <w:t>万元，其中：人员经费</w:t>
      </w:r>
      <w:r>
        <w:rPr>
          <w:rFonts w:ascii="仿宋" w:eastAsia="仿宋" w:hAnsi="仿宋" w:hint="eastAsia"/>
          <w:sz w:val="32"/>
          <w:szCs w:val="32"/>
        </w:rPr>
        <w:t>567.07</w:t>
      </w:r>
      <w:r>
        <w:rPr>
          <w:rFonts w:ascii="仿宋" w:eastAsia="仿宋" w:hAnsi="仿宋" w:hint="eastAsia"/>
          <w:sz w:val="32"/>
          <w:szCs w:val="32"/>
        </w:rPr>
        <w:t>万元，主要包括基本工资</w:t>
      </w:r>
      <w:r>
        <w:rPr>
          <w:rFonts w:ascii="仿宋" w:eastAsia="仿宋" w:hAnsi="仿宋" w:hint="eastAsia"/>
          <w:sz w:val="32"/>
          <w:szCs w:val="32"/>
        </w:rPr>
        <w:t>185.01</w:t>
      </w:r>
      <w:r>
        <w:rPr>
          <w:rFonts w:ascii="仿宋" w:eastAsia="仿宋" w:hAnsi="仿宋" w:hint="eastAsia"/>
          <w:sz w:val="32"/>
          <w:szCs w:val="32"/>
        </w:rPr>
        <w:t>万元、津贴补贴</w:t>
      </w:r>
      <w:r>
        <w:rPr>
          <w:rFonts w:ascii="仿宋" w:eastAsia="仿宋" w:hAnsi="仿宋" w:hint="eastAsia"/>
          <w:sz w:val="32"/>
          <w:szCs w:val="32"/>
        </w:rPr>
        <w:t>125.02</w:t>
      </w:r>
      <w:r>
        <w:rPr>
          <w:rFonts w:ascii="仿宋" w:eastAsia="仿宋" w:hAnsi="仿宋" w:hint="eastAsia"/>
          <w:sz w:val="32"/>
          <w:szCs w:val="32"/>
        </w:rPr>
        <w:t>万元、奖金</w:t>
      </w:r>
      <w:r>
        <w:rPr>
          <w:rFonts w:ascii="仿宋" w:eastAsia="仿宋" w:hAnsi="仿宋" w:hint="eastAsia"/>
          <w:sz w:val="32"/>
          <w:szCs w:val="32"/>
        </w:rPr>
        <w:t>137.33</w:t>
      </w:r>
      <w:r>
        <w:rPr>
          <w:rFonts w:ascii="仿宋" w:eastAsia="仿宋" w:hAnsi="仿宋" w:hint="eastAsia"/>
          <w:sz w:val="32"/>
          <w:szCs w:val="32"/>
        </w:rPr>
        <w:t>万元、机关事业单位基本养老保险缴费</w:t>
      </w:r>
      <w:r>
        <w:rPr>
          <w:rFonts w:ascii="仿宋" w:eastAsia="仿宋" w:hAnsi="仿宋" w:hint="eastAsia"/>
          <w:sz w:val="32"/>
          <w:szCs w:val="32"/>
        </w:rPr>
        <w:t>49.67</w:t>
      </w:r>
      <w:r>
        <w:rPr>
          <w:rFonts w:ascii="仿宋" w:eastAsia="仿宋" w:hAnsi="仿宋" w:hint="eastAsia"/>
          <w:sz w:val="32"/>
          <w:szCs w:val="32"/>
        </w:rPr>
        <w:t>万元、职工医疗保险缴费</w:t>
      </w:r>
      <w:r>
        <w:rPr>
          <w:rFonts w:ascii="仿宋" w:eastAsia="仿宋" w:hAnsi="仿宋" w:hint="eastAsia"/>
          <w:sz w:val="32"/>
          <w:szCs w:val="32"/>
        </w:rPr>
        <w:t>21.75</w:t>
      </w:r>
      <w:r>
        <w:rPr>
          <w:rFonts w:ascii="仿宋" w:eastAsia="仿宋" w:hAnsi="仿宋" w:hint="eastAsia"/>
          <w:sz w:val="32"/>
          <w:szCs w:val="32"/>
        </w:rPr>
        <w:t>万元、职业年金缴费</w:t>
      </w:r>
      <w:r>
        <w:rPr>
          <w:rFonts w:ascii="仿宋" w:eastAsia="仿宋" w:hAnsi="仿宋" w:hint="eastAsia"/>
          <w:sz w:val="32"/>
          <w:szCs w:val="32"/>
        </w:rPr>
        <w:t>2.67</w:t>
      </w:r>
      <w:r>
        <w:rPr>
          <w:rFonts w:ascii="仿宋" w:eastAsia="仿宋" w:hAnsi="仿宋" w:hint="eastAsia"/>
          <w:sz w:val="32"/>
          <w:szCs w:val="32"/>
        </w:rPr>
        <w:t>万元、其他社会保障缴费</w:t>
      </w:r>
      <w:r>
        <w:rPr>
          <w:rFonts w:ascii="仿宋" w:eastAsia="仿宋" w:hAnsi="仿宋" w:hint="eastAsia"/>
          <w:sz w:val="32"/>
          <w:szCs w:val="32"/>
        </w:rPr>
        <w:t>2.28</w:t>
      </w:r>
      <w:r>
        <w:rPr>
          <w:rFonts w:ascii="仿宋" w:eastAsia="仿宋" w:hAnsi="仿宋" w:hint="eastAsia"/>
          <w:sz w:val="32"/>
          <w:szCs w:val="32"/>
        </w:rPr>
        <w:t>万元、住房公积金</w:t>
      </w:r>
      <w:r>
        <w:rPr>
          <w:rFonts w:ascii="仿宋" w:eastAsia="仿宋" w:hAnsi="仿宋" w:hint="eastAsia"/>
          <w:sz w:val="32"/>
          <w:szCs w:val="32"/>
        </w:rPr>
        <w:t>36.68</w:t>
      </w:r>
      <w:r>
        <w:rPr>
          <w:rFonts w:ascii="仿宋" w:eastAsia="仿宋" w:hAnsi="仿宋" w:hint="eastAsia"/>
          <w:sz w:val="32"/>
          <w:szCs w:val="32"/>
        </w:rPr>
        <w:t>万元、其他工资福利支出</w:t>
      </w:r>
      <w:r>
        <w:rPr>
          <w:rFonts w:ascii="仿宋" w:eastAsia="仿宋" w:hAnsi="仿宋" w:hint="eastAsia"/>
          <w:sz w:val="32"/>
          <w:szCs w:val="32"/>
        </w:rPr>
        <w:t>3.91</w:t>
      </w:r>
      <w:r>
        <w:rPr>
          <w:rFonts w:ascii="仿宋" w:eastAsia="仿宋" w:hAnsi="仿宋" w:hint="eastAsia"/>
          <w:sz w:val="32"/>
          <w:szCs w:val="32"/>
        </w:rPr>
        <w:t>万元；对个人和家庭的补助</w:t>
      </w:r>
      <w:r>
        <w:rPr>
          <w:rFonts w:ascii="仿宋" w:eastAsia="仿宋" w:hAnsi="仿宋" w:hint="eastAsia"/>
          <w:sz w:val="32"/>
          <w:szCs w:val="32"/>
        </w:rPr>
        <w:t>2.75</w:t>
      </w:r>
      <w:r>
        <w:rPr>
          <w:rFonts w:ascii="仿宋" w:eastAsia="仿宋" w:hAnsi="仿宋" w:hint="eastAsia"/>
          <w:sz w:val="32"/>
          <w:szCs w:val="32"/>
        </w:rPr>
        <w:t>万元，主要包括退休费</w:t>
      </w:r>
      <w:r>
        <w:rPr>
          <w:rFonts w:ascii="仿宋" w:eastAsia="仿宋" w:hAnsi="仿宋" w:hint="eastAsia"/>
          <w:sz w:val="32"/>
          <w:szCs w:val="32"/>
        </w:rPr>
        <w:t>1.01</w:t>
      </w:r>
      <w:r>
        <w:rPr>
          <w:rFonts w:ascii="仿宋" w:eastAsia="仿宋" w:hAnsi="仿宋" w:hint="eastAsia"/>
          <w:sz w:val="32"/>
          <w:szCs w:val="32"/>
        </w:rPr>
        <w:t>万元、其他</w:t>
      </w:r>
      <w:r>
        <w:rPr>
          <w:rFonts w:ascii="仿宋" w:eastAsia="仿宋" w:hAnsi="仿宋" w:hint="eastAsia"/>
          <w:sz w:val="32"/>
          <w:szCs w:val="32"/>
        </w:rPr>
        <w:t>对个人和家庭补助</w:t>
      </w:r>
      <w:r>
        <w:rPr>
          <w:rFonts w:ascii="仿宋" w:eastAsia="仿宋" w:hAnsi="仿宋" w:hint="eastAsia"/>
          <w:sz w:val="32"/>
          <w:szCs w:val="32"/>
        </w:rPr>
        <w:t>0.78</w:t>
      </w:r>
      <w:r>
        <w:rPr>
          <w:rFonts w:ascii="仿宋" w:eastAsia="仿宋" w:hAnsi="仿宋" w:hint="eastAsia"/>
          <w:sz w:val="32"/>
          <w:szCs w:val="32"/>
        </w:rPr>
        <w:t>万元；抚血金</w:t>
      </w:r>
      <w:r>
        <w:rPr>
          <w:rFonts w:ascii="仿宋" w:eastAsia="仿宋" w:hAnsi="仿宋" w:hint="eastAsia"/>
          <w:sz w:val="32"/>
          <w:szCs w:val="32"/>
        </w:rPr>
        <w:t>0.96</w:t>
      </w:r>
      <w:r>
        <w:rPr>
          <w:rFonts w:ascii="仿宋" w:eastAsia="仿宋" w:hAnsi="仿宋" w:hint="eastAsia"/>
          <w:sz w:val="32"/>
          <w:szCs w:val="32"/>
        </w:rPr>
        <w:t>万元。日常公用经费</w:t>
      </w:r>
      <w:r>
        <w:rPr>
          <w:rFonts w:ascii="仿宋" w:eastAsia="仿宋" w:hAnsi="仿宋" w:hint="eastAsia"/>
          <w:sz w:val="32"/>
          <w:szCs w:val="32"/>
        </w:rPr>
        <w:t>57.24</w:t>
      </w:r>
      <w:r>
        <w:rPr>
          <w:rFonts w:ascii="仿宋" w:eastAsia="仿宋" w:hAnsi="仿宋" w:hint="eastAsia"/>
          <w:sz w:val="32"/>
          <w:szCs w:val="32"/>
        </w:rPr>
        <w:t>万元，主要包括办公费</w:t>
      </w:r>
      <w:r>
        <w:rPr>
          <w:rFonts w:ascii="仿宋" w:eastAsia="仿宋" w:hAnsi="仿宋" w:hint="eastAsia"/>
          <w:sz w:val="32"/>
          <w:szCs w:val="32"/>
        </w:rPr>
        <w:t>9.58</w:t>
      </w:r>
      <w:r>
        <w:rPr>
          <w:rFonts w:ascii="仿宋" w:eastAsia="仿宋" w:hAnsi="仿宋" w:hint="eastAsia"/>
          <w:sz w:val="32"/>
          <w:szCs w:val="32"/>
        </w:rPr>
        <w:t>万元、邮电费</w:t>
      </w:r>
      <w:r>
        <w:rPr>
          <w:rFonts w:ascii="仿宋" w:eastAsia="仿宋" w:hAnsi="仿宋" w:hint="eastAsia"/>
          <w:sz w:val="32"/>
          <w:szCs w:val="32"/>
        </w:rPr>
        <w:t>2.63</w:t>
      </w:r>
      <w:r>
        <w:rPr>
          <w:rFonts w:ascii="仿宋" w:eastAsia="仿宋" w:hAnsi="仿宋" w:hint="eastAsia"/>
          <w:sz w:val="32"/>
          <w:szCs w:val="32"/>
        </w:rPr>
        <w:t>万元、差旅费</w:t>
      </w:r>
      <w:r>
        <w:rPr>
          <w:rFonts w:ascii="仿宋" w:eastAsia="仿宋" w:hAnsi="仿宋" w:hint="eastAsia"/>
          <w:sz w:val="32"/>
          <w:szCs w:val="32"/>
        </w:rPr>
        <w:t>4.42</w:t>
      </w:r>
      <w:r>
        <w:rPr>
          <w:rFonts w:ascii="仿宋" w:eastAsia="仿宋" w:hAnsi="仿宋" w:hint="eastAsia"/>
          <w:sz w:val="32"/>
          <w:szCs w:val="32"/>
        </w:rPr>
        <w:t>万元、维护费</w:t>
      </w:r>
      <w:r>
        <w:rPr>
          <w:rFonts w:ascii="仿宋" w:eastAsia="仿宋" w:hAnsi="仿宋" w:hint="eastAsia"/>
          <w:sz w:val="32"/>
          <w:szCs w:val="32"/>
        </w:rPr>
        <w:t>4.27</w:t>
      </w:r>
      <w:r>
        <w:rPr>
          <w:rFonts w:ascii="仿宋" w:eastAsia="仿宋" w:hAnsi="仿宋" w:hint="eastAsia"/>
          <w:sz w:val="32"/>
          <w:szCs w:val="32"/>
        </w:rPr>
        <w:t>万元、工会经费</w:t>
      </w:r>
      <w:r>
        <w:rPr>
          <w:rFonts w:ascii="仿宋" w:eastAsia="仿宋" w:hAnsi="仿宋" w:hint="eastAsia"/>
          <w:sz w:val="32"/>
          <w:szCs w:val="32"/>
        </w:rPr>
        <w:t>6.01</w:t>
      </w:r>
      <w:r>
        <w:rPr>
          <w:rFonts w:ascii="仿宋" w:eastAsia="仿宋" w:hAnsi="仿宋" w:hint="eastAsia"/>
          <w:sz w:val="32"/>
          <w:szCs w:val="32"/>
        </w:rPr>
        <w:t>万元、印刷费</w:t>
      </w:r>
      <w:r>
        <w:rPr>
          <w:rFonts w:ascii="仿宋" w:eastAsia="仿宋" w:hAnsi="仿宋" w:hint="eastAsia"/>
          <w:sz w:val="32"/>
          <w:szCs w:val="32"/>
        </w:rPr>
        <w:t>0.55</w:t>
      </w:r>
      <w:r>
        <w:rPr>
          <w:rFonts w:ascii="仿宋" w:eastAsia="仿宋" w:hAnsi="仿宋" w:hint="eastAsia"/>
          <w:sz w:val="32"/>
          <w:szCs w:val="32"/>
        </w:rPr>
        <w:t>万元、手续费</w:t>
      </w:r>
      <w:r>
        <w:rPr>
          <w:rFonts w:ascii="仿宋" w:eastAsia="仿宋" w:hAnsi="仿宋" w:hint="eastAsia"/>
          <w:sz w:val="32"/>
          <w:szCs w:val="32"/>
        </w:rPr>
        <w:t>0.01</w:t>
      </w:r>
      <w:r>
        <w:rPr>
          <w:rFonts w:ascii="仿宋" w:eastAsia="仿宋" w:hAnsi="仿宋" w:hint="eastAsia"/>
          <w:sz w:val="32"/>
          <w:szCs w:val="32"/>
        </w:rPr>
        <w:t>万元、电费</w:t>
      </w:r>
      <w:r>
        <w:rPr>
          <w:rFonts w:ascii="仿宋" w:eastAsia="仿宋" w:hAnsi="仿宋" w:hint="eastAsia"/>
          <w:sz w:val="32"/>
          <w:szCs w:val="32"/>
        </w:rPr>
        <w:t>1.17</w:t>
      </w:r>
      <w:r>
        <w:rPr>
          <w:rFonts w:ascii="仿宋" w:eastAsia="仿宋" w:hAnsi="仿宋" w:hint="eastAsia"/>
          <w:sz w:val="32"/>
          <w:szCs w:val="32"/>
        </w:rPr>
        <w:t>万元、劳务费</w:t>
      </w:r>
      <w:r>
        <w:rPr>
          <w:rFonts w:ascii="仿宋" w:eastAsia="仿宋" w:hAnsi="仿宋" w:hint="eastAsia"/>
          <w:sz w:val="32"/>
          <w:szCs w:val="32"/>
        </w:rPr>
        <w:t>12.92</w:t>
      </w:r>
      <w:r>
        <w:rPr>
          <w:rFonts w:ascii="仿宋" w:eastAsia="仿宋" w:hAnsi="仿宋" w:hint="eastAsia"/>
          <w:sz w:val="32"/>
          <w:szCs w:val="32"/>
        </w:rPr>
        <w:t>万元、会议费</w:t>
      </w:r>
      <w:r>
        <w:rPr>
          <w:rFonts w:ascii="仿宋" w:eastAsia="仿宋" w:hAnsi="仿宋" w:hint="eastAsia"/>
          <w:sz w:val="32"/>
          <w:szCs w:val="32"/>
        </w:rPr>
        <w:t>0.42</w:t>
      </w:r>
      <w:r>
        <w:rPr>
          <w:rFonts w:ascii="仿宋" w:eastAsia="仿宋" w:hAnsi="仿宋" w:hint="eastAsia"/>
          <w:sz w:val="32"/>
          <w:szCs w:val="32"/>
        </w:rPr>
        <w:t>万元、其他交通费用</w:t>
      </w:r>
      <w:r>
        <w:rPr>
          <w:rFonts w:ascii="仿宋" w:eastAsia="仿宋" w:hAnsi="仿宋" w:hint="eastAsia"/>
          <w:sz w:val="32"/>
          <w:szCs w:val="32"/>
        </w:rPr>
        <w:t>3.63</w:t>
      </w:r>
      <w:r>
        <w:rPr>
          <w:rFonts w:ascii="仿宋" w:eastAsia="仿宋" w:hAnsi="仿宋" w:hint="eastAsia"/>
          <w:sz w:val="32"/>
          <w:szCs w:val="32"/>
        </w:rPr>
        <w:t>万元、公务用车维护费</w:t>
      </w:r>
      <w:r>
        <w:rPr>
          <w:rFonts w:ascii="仿宋" w:eastAsia="仿宋" w:hAnsi="仿宋" w:hint="eastAsia"/>
          <w:sz w:val="32"/>
          <w:szCs w:val="32"/>
        </w:rPr>
        <w:t>8.4</w:t>
      </w:r>
      <w:r>
        <w:rPr>
          <w:rFonts w:ascii="仿宋" w:eastAsia="仿宋" w:hAnsi="仿宋" w:hint="eastAsia"/>
          <w:sz w:val="32"/>
          <w:szCs w:val="32"/>
        </w:rPr>
        <w:t>万元、其他商品和服务支出</w:t>
      </w:r>
      <w:r>
        <w:rPr>
          <w:rFonts w:ascii="仿宋" w:eastAsia="仿宋" w:hAnsi="仿宋" w:hint="eastAsia"/>
          <w:sz w:val="32"/>
          <w:szCs w:val="32"/>
        </w:rPr>
        <w:t>3.02</w:t>
      </w:r>
      <w:r>
        <w:rPr>
          <w:rFonts w:ascii="仿宋" w:eastAsia="仿宋" w:hAnsi="仿宋" w:hint="eastAsia"/>
          <w:sz w:val="32"/>
          <w:szCs w:val="32"/>
        </w:rPr>
        <w:t>万元，资本性支出</w:t>
      </w:r>
      <w:r>
        <w:rPr>
          <w:rFonts w:ascii="仿宋" w:eastAsia="仿宋" w:hAnsi="仿宋" w:hint="eastAsia"/>
          <w:sz w:val="32"/>
          <w:szCs w:val="32"/>
        </w:rPr>
        <w:t>0.21</w:t>
      </w:r>
      <w:r>
        <w:rPr>
          <w:rFonts w:ascii="仿宋" w:eastAsia="仿宋" w:hAnsi="仿宋" w:hint="eastAsia"/>
          <w:sz w:val="32"/>
          <w:szCs w:val="32"/>
        </w:rPr>
        <w:t>万元，主要包括办公设备购置</w:t>
      </w:r>
      <w:r>
        <w:rPr>
          <w:rFonts w:ascii="仿宋" w:eastAsia="仿宋" w:hAnsi="仿宋" w:hint="eastAsia"/>
          <w:sz w:val="32"/>
          <w:szCs w:val="32"/>
        </w:rPr>
        <w:t>0.21</w:t>
      </w:r>
      <w:r>
        <w:rPr>
          <w:rFonts w:ascii="仿宋" w:eastAsia="仿宋" w:hAnsi="仿宋" w:hint="eastAsia"/>
          <w:sz w:val="32"/>
          <w:szCs w:val="32"/>
        </w:rPr>
        <w:t>万元。</w:t>
      </w:r>
    </w:p>
    <w:p w14:paraId="7429C2E2" w14:textId="77777777" w:rsidR="00445AD5" w:rsidRDefault="00EA4B12">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14:paraId="010822A5" w14:textId="77777777" w:rsidR="00445AD5" w:rsidRDefault="00EA4B12">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盘锦市商贸物流基地建设服务中心是事业单位，根据机关</w:t>
      </w:r>
      <w:r>
        <w:rPr>
          <w:rFonts w:ascii="仿宋_GB2312" w:eastAsia="仿宋_GB2312" w:hAnsi="黑体" w:hint="eastAsia"/>
          <w:sz w:val="32"/>
          <w:szCs w:val="32"/>
        </w:rPr>
        <w:t>运行经费的概念，本部门</w:t>
      </w:r>
      <w:r>
        <w:rPr>
          <w:rFonts w:ascii="仿宋_GB2312" w:eastAsia="仿宋_GB2312" w:hAnsi="黑体" w:hint="eastAsia"/>
          <w:sz w:val="32"/>
          <w:szCs w:val="32"/>
        </w:rPr>
        <w:t>2020</w:t>
      </w:r>
      <w:r>
        <w:rPr>
          <w:rFonts w:ascii="仿宋_GB2312" w:eastAsia="仿宋_GB2312" w:hAnsi="黑体" w:hint="eastAsia"/>
          <w:sz w:val="32"/>
          <w:szCs w:val="32"/>
        </w:rPr>
        <w:t>、</w:t>
      </w:r>
      <w:r>
        <w:rPr>
          <w:rFonts w:ascii="仿宋_GB2312" w:eastAsia="仿宋_GB2312" w:hAnsi="黑体" w:hint="eastAsia"/>
          <w:sz w:val="32"/>
          <w:szCs w:val="32"/>
        </w:rPr>
        <w:t>2021</w:t>
      </w:r>
      <w:r>
        <w:rPr>
          <w:rFonts w:ascii="仿宋_GB2312" w:eastAsia="仿宋_GB2312" w:hAnsi="黑体" w:hint="eastAsia"/>
          <w:sz w:val="32"/>
          <w:szCs w:val="32"/>
        </w:rPr>
        <w:t>年度无机关运行经费支出。</w:t>
      </w:r>
    </w:p>
    <w:p w14:paraId="25AE04A9" w14:textId="77777777" w:rsidR="00445AD5" w:rsidRDefault="00EA4B12">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14:paraId="675FEB0C" w14:textId="77777777" w:rsidR="00445AD5" w:rsidRDefault="00EA4B12">
      <w:pPr>
        <w:spacing w:line="540" w:lineRule="exact"/>
        <w:ind w:firstLineChars="200" w:firstLine="640"/>
        <w:rPr>
          <w:rFonts w:ascii="仿宋_GB2312" w:eastAsia="仿宋_GB2312"/>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年政府采购支出总额</w:t>
      </w:r>
      <w:r>
        <w:rPr>
          <w:rFonts w:ascii="仿宋_GB2312" w:eastAsia="仿宋_GB2312" w:hAnsi="黑体" w:hint="eastAsia"/>
          <w:sz w:val="32"/>
          <w:szCs w:val="32"/>
        </w:rPr>
        <w:t>0</w:t>
      </w:r>
      <w:r>
        <w:rPr>
          <w:rFonts w:ascii="仿宋_GB2312" w:eastAsia="仿宋_GB2312" w:hAnsi="黑体" w:hint="eastAsia"/>
          <w:sz w:val="32"/>
          <w:szCs w:val="32"/>
        </w:rPr>
        <w:t>万元，其中：政府采购货物支出</w:t>
      </w:r>
      <w:r>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Pr>
          <w:rFonts w:ascii="仿宋_GB2312" w:eastAsia="仿宋_GB2312" w:hAnsi="黑体" w:hint="eastAsia"/>
          <w:sz w:val="32"/>
          <w:szCs w:val="32"/>
        </w:rPr>
        <w:t>0</w:t>
      </w:r>
      <w:r>
        <w:rPr>
          <w:rFonts w:ascii="仿宋_GB2312" w:eastAsia="仿宋_GB2312" w:hAnsi="黑体" w:hint="eastAsia"/>
          <w:sz w:val="32"/>
          <w:szCs w:val="32"/>
        </w:rPr>
        <w:lastRenderedPageBreak/>
        <w:t>万元。</w:t>
      </w:r>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，其中：授予小微企业合同金额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；货物采购授予中小企业合同金额占货物支出金额的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；工程采购授予中小企业合同金额占货物支出金额的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；服务采购授予中小企业合同金额占货物支出金额的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w:t>
      </w:r>
    </w:p>
    <w:p w14:paraId="5F5F00D3" w14:textId="77777777" w:rsidR="00445AD5" w:rsidRDefault="00EA4B12">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14:paraId="0F1182CE" w14:textId="77777777" w:rsidR="00445AD5" w:rsidRDefault="00EA4B12">
      <w:pPr>
        <w:spacing w:line="54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日，部门房屋面积</w:t>
      </w:r>
      <w:r>
        <w:rPr>
          <w:rFonts w:ascii="仿宋" w:eastAsia="仿宋" w:hAnsi="仿宋" w:hint="eastAsia"/>
          <w:sz w:val="32"/>
          <w:szCs w:val="32"/>
        </w:rPr>
        <w:t>541.44</w:t>
      </w:r>
      <w:r>
        <w:rPr>
          <w:rFonts w:ascii="仿宋" w:eastAsia="仿宋" w:hAnsi="仿宋" w:hint="eastAsia"/>
          <w:sz w:val="32"/>
          <w:szCs w:val="32"/>
        </w:rPr>
        <w:t>平方米，价值</w:t>
      </w:r>
      <w:r>
        <w:rPr>
          <w:rFonts w:ascii="仿宋" w:eastAsia="仿宋" w:hAnsi="仿宋" w:hint="eastAsia"/>
          <w:sz w:val="32"/>
          <w:szCs w:val="32"/>
        </w:rPr>
        <w:t>80.96</w:t>
      </w:r>
      <w:r>
        <w:rPr>
          <w:rFonts w:ascii="仿宋" w:eastAsia="仿宋" w:hAnsi="仿宋" w:hint="eastAsia"/>
          <w:sz w:val="32"/>
          <w:szCs w:val="32"/>
        </w:rPr>
        <w:t>万元，其中：办公用房面积</w:t>
      </w:r>
      <w:r>
        <w:rPr>
          <w:rFonts w:ascii="仿宋" w:eastAsia="仿宋" w:hAnsi="仿宋" w:hint="eastAsia"/>
          <w:sz w:val="32"/>
          <w:szCs w:val="32"/>
        </w:rPr>
        <w:t>404.44</w:t>
      </w:r>
      <w:r>
        <w:rPr>
          <w:rFonts w:ascii="仿宋" w:eastAsia="仿宋" w:hAnsi="仿宋" w:hint="eastAsia"/>
          <w:sz w:val="32"/>
          <w:szCs w:val="32"/>
        </w:rPr>
        <w:t>平方米，价值</w:t>
      </w:r>
      <w:r>
        <w:rPr>
          <w:rFonts w:ascii="仿宋" w:eastAsia="仿宋" w:hAnsi="仿宋" w:hint="eastAsia"/>
          <w:sz w:val="32"/>
          <w:szCs w:val="32"/>
        </w:rPr>
        <w:t>60</w:t>
      </w:r>
      <w:r>
        <w:rPr>
          <w:rFonts w:ascii="仿宋" w:eastAsia="仿宋" w:hAnsi="仿宋" w:hint="eastAsia"/>
          <w:sz w:val="32"/>
          <w:szCs w:val="32"/>
        </w:rPr>
        <w:t>万元；业务用房面积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万元；其他（不含构筑物）面积</w:t>
      </w:r>
      <w:r>
        <w:rPr>
          <w:rFonts w:ascii="仿宋" w:eastAsia="仿宋" w:hAnsi="仿宋" w:hint="eastAsia"/>
          <w:sz w:val="32"/>
          <w:szCs w:val="32"/>
        </w:rPr>
        <w:t>137</w:t>
      </w:r>
      <w:r>
        <w:rPr>
          <w:rFonts w:ascii="仿宋" w:eastAsia="仿宋" w:hAnsi="仿宋" w:hint="eastAsia"/>
          <w:sz w:val="32"/>
          <w:szCs w:val="32"/>
        </w:rPr>
        <w:t>平方米，价值</w:t>
      </w:r>
      <w:r>
        <w:rPr>
          <w:rFonts w:ascii="仿宋" w:eastAsia="仿宋" w:hAnsi="仿宋" w:hint="eastAsia"/>
          <w:sz w:val="32"/>
          <w:szCs w:val="32"/>
        </w:rPr>
        <w:t>20.96</w:t>
      </w:r>
      <w:r>
        <w:rPr>
          <w:rFonts w:ascii="仿宋" w:eastAsia="仿宋" w:hAnsi="仿宋" w:hint="eastAsia"/>
          <w:sz w:val="32"/>
          <w:szCs w:val="32"/>
        </w:rPr>
        <w:t>万元。</w:t>
      </w:r>
    </w:p>
    <w:p w14:paraId="4DA4EBFA" w14:textId="77777777" w:rsidR="00445AD5" w:rsidRDefault="00EA4B12">
      <w:pPr>
        <w:spacing w:line="540" w:lineRule="exact"/>
        <w:ind w:firstLineChars="200" w:firstLine="640"/>
        <w:rPr>
          <w:rFonts w:ascii="仿宋" w:eastAsia="仿宋" w:hAnsi="仿宋"/>
          <w:sz w:val="32"/>
          <w:szCs w:val="32"/>
        </w:rPr>
      </w:pPr>
      <w:r>
        <w:rPr>
          <w:rFonts w:ascii="仿宋" w:eastAsia="仿宋" w:hAnsi="仿宋" w:hint="eastAsia"/>
          <w:sz w:val="32"/>
          <w:szCs w:val="32"/>
        </w:rPr>
        <w:t>共有车辆</w:t>
      </w:r>
      <w:r>
        <w:rPr>
          <w:rFonts w:ascii="仿宋" w:eastAsia="仿宋" w:hAnsi="仿宋" w:hint="eastAsia"/>
          <w:sz w:val="32"/>
          <w:szCs w:val="32"/>
        </w:rPr>
        <w:t>2</w:t>
      </w:r>
      <w:r>
        <w:rPr>
          <w:rFonts w:ascii="仿宋" w:eastAsia="仿宋" w:hAnsi="仿宋" w:hint="eastAsia"/>
          <w:sz w:val="32"/>
          <w:szCs w:val="32"/>
        </w:rPr>
        <w:t>辆，价值</w:t>
      </w:r>
      <w:r>
        <w:rPr>
          <w:rFonts w:ascii="仿宋" w:eastAsia="仿宋" w:hAnsi="仿宋" w:hint="eastAsia"/>
          <w:sz w:val="32"/>
          <w:szCs w:val="32"/>
        </w:rPr>
        <w:t>51.28</w:t>
      </w:r>
      <w:r>
        <w:rPr>
          <w:rFonts w:ascii="仿宋" w:eastAsia="仿宋" w:hAnsi="仿宋" w:hint="eastAsia"/>
          <w:sz w:val="32"/>
          <w:szCs w:val="32"/>
        </w:rPr>
        <w:t>万元，其中：副省级以上领导干部用车</w:t>
      </w:r>
      <w:r>
        <w:rPr>
          <w:rFonts w:ascii="仿宋" w:eastAsia="仿宋" w:hAnsi="仿宋" w:hint="eastAsia"/>
          <w:sz w:val="32"/>
          <w:szCs w:val="32"/>
        </w:rPr>
        <w:t>0</w:t>
      </w:r>
      <w:r>
        <w:rPr>
          <w:rFonts w:ascii="仿宋" w:eastAsia="仿宋" w:hAnsi="仿宋" w:hint="eastAsia"/>
          <w:sz w:val="32"/>
          <w:szCs w:val="32"/>
        </w:rPr>
        <w:t>辆，主要</w:t>
      </w:r>
      <w:r>
        <w:rPr>
          <w:rFonts w:ascii="仿宋" w:eastAsia="仿宋" w:hAnsi="仿宋"/>
          <w:sz w:val="32"/>
          <w:szCs w:val="32"/>
        </w:rPr>
        <w:t>领导干部</w:t>
      </w:r>
      <w:r>
        <w:rPr>
          <w:rFonts w:ascii="仿宋" w:eastAsia="仿宋" w:hAnsi="仿宋" w:hint="eastAsia"/>
          <w:sz w:val="32"/>
          <w:szCs w:val="32"/>
        </w:rPr>
        <w:t>用车</w:t>
      </w:r>
      <w:r>
        <w:rPr>
          <w:rFonts w:ascii="仿宋" w:eastAsia="仿宋" w:hAnsi="仿宋" w:hint="eastAsia"/>
          <w:sz w:val="32"/>
          <w:szCs w:val="32"/>
        </w:rPr>
        <w:t>0</w:t>
      </w:r>
      <w:r>
        <w:rPr>
          <w:rFonts w:ascii="仿宋" w:eastAsia="仿宋" w:hAnsi="仿宋" w:hint="eastAsia"/>
          <w:sz w:val="32"/>
          <w:szCs w:val="32"/>
        </w:rPr>
        <w:t>辆，机要通讯用车</w:t>
      </w:r>
      <w:r>
        <w:rPr>
          <w:rFonts w:ascii="仿宋" w:eastAsia="仿宋" w:hAnsi="仿宋" w:hint="eastAsia"/>
          <w:sz w:val="32"/>
          <w:szCs w:val="32"/>
        </w:rPr>
        <w:t>0</w:t>
      </w:r>
      <w:r>
        <w:rPr>
          <w:rFonts w:ascii="仿宋" w:eastAsia="仿宋" w:hAnsi="仿宋" w:hint="eastAsia"/>
          <w:sz w:val="32"/>
          <w:szCs w:val="32"/>
        </w:rPr>
        <w:t>辆，应急</w:t>
      </w:r>
      <w:r>
        <w:rPr>
          <w:rFonts w:ascii="仿宋" w:eastAsia="仿宋" w:hAnsi="仿宋"/>
          <w:sz w:val="32"/>
          <w:szCs w:val="32"/>
        </w:rPr>
        <w:t>保障用车</w:t>
      </w:r>
      <w:r>
        <w:rPr>
          <w:rFonts w:ascii="仿宋" w:eastAsia="仿宋" w:hAnsi="仿宋" w:hint="eastAsia"/>
          <w:sz w:val="32"/>
          <w:szCs w:val="32"/>
        </w:rPr>
        <w:t>0</w:t>
      </w:r>
      <w:r>
        <w:rPr>
          <w:rFonts w:ascii="仿宋" w:eastAsia="仿宋" w:hAnsi="仿宋"/>
          <w:sz w:val="32"/>
          <w:szCs w:val="32"/>
        </w:rPr>
        <w:t>辆，</w:t>
      </w:r>
      <w:r>
        <w:rPr>
          <w:rFonts w:ascii="仿宋" w:eastAsia="仿宋" w:hAnsi="仿宋" w:hint="eastAsia"/>
          <w:sz w:val="32"/>
          <w:szCs w:val="32"/>
        </w:rPr>
        <w:t>执法执勤</w:t>
      </w:r>
      <w:r>
        <w:rPr>
          <w:rFonts w:ascii="仿宋" w:eastAsia="仿宋" w:hAnsi="仿宋"/>
          <w:sz w:val="32"/>
          <w:szCs w:val="32"/>
        </w:rPr>
        <w:t>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特种专业技术用车</w:t>
      </w:r>
      <w:r>
        <w:rPr>
          <w:rFonts w:ascii="仿宋" w:eastAsia="仿宋" w:hAnsi="仿宋" w:hint="eastAsia"/>
          <w:sz w:val="32"/>
          <w:szCs w:val="32"/>
        </w:rPr>
        <w:t>0</w:t>
      </w:r>
      <w:r>
        <w:rPr>
          <w:rFonts w:ascii="仿宋" w:eastAsia="仿宋" w:hAnsi="仿宋" w:hint="eastAsia"/>
          <w:sz w:val="32"/>
          <w:szCs w:val="32"/>
        </w:rPr>
        <w:t>辆，离退休</w:t>
      </w:r>
      <w:r>
        <w:rPr>
          <w:rFonts w:ascii="仿宋" w:eastAsia="仿宋" w:hAnsi="仿宋"/>
          <w:sz w:val="32"/>
          <w:szCs w:val="32"/>
        </w:rPr>
        <w:t>干部用车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其他用车</w:t>
      </w:r>
      <w:r>
        <w:rPr>
          <w:rFonts w:ascii="仿宋" w:eastAsia="仿宋" w:hAnsi="仿宋" w:hint="eastAsia"/>
          <w:sz w:val="32"/>
          <w:szCs w:val="32"/>
        </w:rPr>
        <w:t>2</w:t>
      </w:r>
      <w:r>
        <w:rPr>
          <w:rFonts w:ascii="仿宋" w:eastAsia="仿宋" w:hAnsi="仿宋" w:hint="eastAsia"/>
          <w:sz w:val="32"/>
          <w:szCs w:val="32"/>
        </w:rPr>
        <w:t>辆；单位价值</w:t>
      </w:r>
      <w:r>
        <w:rPr>
          <w:rFonts w:ascii="仿宋" w:eastAsia="仿宋" w:hAnsi="仿宋" w:hint="eastAsia"/>
          <w:sz w:val="32"/>
          <w:szCs w:val="32"/>
        </w:rPr>
        <w:t>50</w:t>
      </w:r>
      <w:r>
        <w:rPr>
          <w:rFonts w:ascii="仿宋" w:eastAsia="仿宋" w:hAnsi="仿宋" w:hint="eastAsia"/>
          <w:sz w:val="32"/>
          <w:szCs w:val="32"/>
        </w:rPr>
        <w:t>万元以上通用设备</w:t>
      </w:r>
      <w:r>
        <w:rPr>
          <w:rFonts w:ascii="仿宋" w:eastAsia="仿宋" w:hAnsi="仿宋" w:hint="eastAsia"/>
          <w:sz w:val="32"/>
          <w:szCs w:val="32"/>
        </w:rPr>
        <w:t>0</w:t>
      </w:r>
      <w:r>
        <w:rPr>
          <w:rFonts w:ascii="仿宋" w:eastAsia="仿宋" w:hAnsi="仿宋" w:hint="eastAsia"/>
          <w:sz w:val="32"/>
          <w:szCs w:val="32"/>
        </w:rPr>
        <w:t>台（套），单价</w:t>
      </w:r>
      <w:r>
        <w:rPr>
          <w:rFonts w:ascii="仿宋" w:eastAsia="仿宋" w:hAnsi="仿宋" w:hint="eastAsia"/>
          <w:sz w:val="32"/>
          <w:szCs w:val="32"/>
        </w:rPr>
        <w:t>100</w:t>
      </w:r>
      <w:r>
        <w:rPr>
          <w:rFonts w:ascii="仿宋" w:eastAsia="仿宋" w:hAnsi="仿宋" w:hint="eastAsia"/>
          <w:sz w:val="32"/>
          <w:szCs w:val="32"/>
        </w:rPr>
        <w:t>万元以上专用设备</w:t>
      </w:r>
      <w:r>
        <w:rPr>
          <w:rFonts w:ascii="仿宋" w:eastAsia="仿宋" w:hAnsi="仿宋" w:hint="eastAsia"/>
          <w:sz w:val="32"/>
          <w:szCs w:val="32"/>
        </w:rPr>
        <w:t>0</w:t>
      </w:r>
      <w:r>
        <w:rPr>
          <w:rFonts w:ascii="仿宋" w:eastAsia="仿宋" w:hAnsi="仿宋" w:hint="eastAsia"/>
          <w:sz w:val="32"/>
          <w:szCs w:val="32"/>
        </w:rPr>
        <w:t>台（套）。</w:t>
      </w:r>
    </w:p>
    <w:p w14:paraId="18604F7F" w14:textId="77777777" w:rsidR="00445AD5" w:rsidRDefault="00EA4B12">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（四）预</w:t>
      </w:r>
      <w:r>
        <w:rPr>
          <w:rFonts w:ascii="楷体_GB2312" w:eastAsia="楷体_GB2312" w:hAnsi="宋体" w:hint="eastAsia"/>
          <w:b/>
          <w:sz w:val="32"/>
          <w:szCs w:val="32"/>
        </w:rPr>
        <w:t>算绩效情况</w:t>
      </w:r>
    </w:p>
    <w:p w14:paraId="69835AB3" w14:textId="77777777" w:rsidR="00445AD5" w:rsidRDefault="00EA4B12">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1</w:t>
      </w:r>
      <w:r>
        <w:rPr>
          <w:rFonts w:ascii="楷体_GB2312" w:eastAsia="楷体_GB2312" w:hAnsi="宋体" w:hint="eastAsia"/>
          <w:b/>
          <w:sz w:val="32"/>
          <w:szCs w:val="32"/>
        </w:rPr>
        <w:t>预算绩效管理工作开展情况。</w:t>
      </w:r>
    </w:p>
    <w:p w14:paraId="1FD39969" w14:textId="77777777" w:rsidR="00445AD5" w:rsidRDefault="00EA4B12">
      <w:pPr>
        <w:widowControl/>
        <w:spacing w:line="540" w:lineRule="exact"/>
        <w:ind w:firstLineChars="200" w:firstLine="643"/>
        <w:jc w:val="left"/>
        <w:rPr>
          <w:rFonts w:ascii="仿宋" w:eastAsia="仿宋" w:hAnsi="仿宋" w:cs="仿宋_GB2312"/>
          <w:sz w:val="32"/>
          <w:szCs w:val="32"/>
        </w:rPr>
      </w:pPr>
      <w:r>
        <w:rPr>
          <w:rFonts w:ascii="仿宋" w:eastAsia="仿宋" w:hAnsi="仿宋" w:cs="仿宋_GB2312" w:hint="eastAsia"/>
          <w:b/>
          <w:bCs/>
          <w:sz w:val="32"/>
          <w:szCs w:val="32"/>
        </w:rPr>
        <w:t>（</w:t>
      </w:r>
      <w:r>
        <w:rPr>
          <w:rFonts w:ascii="仿宋" w:eastAsia="仿宋" w:hAnsi="仿宋" w:cs="仿宋_GB2312" w:hint="eastAsia"/>
          <w:b/>
          <w:bCs/>
          <w:sz w:val="32"/>
          <w:szCs w:val="32"/>
        </w:rPr>
        <w:t>1</w:t>
      </w:r>
      <w:r>
        <w:rPr>
          <w:rFonts w:ascii="仿宋" w:eastAsia="仿宋" w:hAnsi="仿宋" w:cs="仿宋_GB2312" w:hint="eastAsia"/>
          <w:b/>
          <w:bCs/>
          <w:sz w:val="32"/>
          <w:szCs w:val="32"/>
        </w:rPr>
        <w:t>）绩效自评情况。</w:t>
      </w:r>
      <w:r>
        <w:rPr>
          <w:rFonts w:ascii="仿宋" w:eastAsia="仿宋" w:hAnsi="仿宋" w:cs="仿宋_GB2312"/>
          <w:sz w:val="32"/>
          <w:szCs w:val="32"/>
        </w:rPr>
        <w:t>根据预算</w:t>
      </w:r>
      <w:r>
        <w:rPr>
          <w:rFonts w:ascii="仿宋" w:eastAsia="仿宋" w:hAnsi="仿宋" w:cs="仿宋_GB2312" w:hint="eastAsia"/>
          <w:sz w:val="32"/>
          <w:szCs w:val="32"/>
        </w:rPr>
        <w:t>绩效</w:t>
      </w:r>
      <w:r>
        <w:rPr>
          <w:rFonts w:ascii="仿宋" w:eastAsia="仿宋" w:hAnsi="仿宋" w:cs="仿宋_GB2312"/>
          <w:sz w:val="32"/>
          <w:szCs w:val="32"/>
        </w:rPr>
        <w:t>管理要求，我</w:t>
      </w:r>
      <w:r>
        <w:rPr>
          <w:rFonts w:ascii="仿宋" w:eastAsia="仿宋" w:hAnsi="仿宋" w:cs="仿宋_GB2312" w:hint="eastAsia"/>
          <w:sz w:val="32"/>
          <w:szCs w:val="32"/>
        </w:rPr>
        <w:t>部门</w:t>
      </w:r>
      <w:r>
        <w:rPr>
          <w:rFonts w:ascii="仿宋" w:eastAsia="仿宋" w:hAnsi="仿宋" w:cs="仿宋_GB2312"/>
          <w:sz w:val="32"/>
          <w:szCs w:val="32"/>
        </w:rPr>
        <w:t>组织对</w:t>
      </w:r>
      <w:r>
        <w:rPr>
          <w:rFonts w:ascii="仿宋" w:eastAsia="仿宋" w:hAnsi="仿宋" w:cs="宋体" w:hint="eastAsia"/>
          <w:sz w:val="32"/>
          <w:szCs w:val="32"/>
        </w:rPr>
        <w:t>2021</w:t>
      </w:r>
      <w:r>
        <w:rPr>
          <w:rFonts w:ascii="仿宋" w:eastAsia="仿宋" w:hAnsi="仿宋" w:cs="仿宋_GB2312" w:hint="eastAsia"/>
          <w:sz w:val="32"/>
          <w:szCs w:val="32"/>
        </w:rPr>
        <w:t>年度预算项目支出全面开展整体绩效自评，涉及资金</w:t>
      </w:r>
      <w:r>
        <w:rPr>
          <w:rFonts w:ascii="仿宋" w:eastAsia="仿宋" w:hAnsi="仿宋" w:cs="仿宋_GB2312" w:hint="eastAsia"/>
          <w:sz w:val="32"/>
          <w:szCs w:val="32"/>
        </w:rPr>
        <w:t>22.25</w:t>
      </w:r>
      <w:r>
        <w:rPr>
          <w:rFonts w:ascii="仿宋" w:eastAsia="仿宋" w:hAnsi="仿宋" w:cs="仿宋_GB2312" w:hint="eastAsia"/>
          <w:sz w:val="32"/>
          <w:szCs w:val="32"/>
        </w:rPr>
        <w:t>万元，自评平均分</w:t>
      </w:r>
      <w:r>
        <w:rPr>
          <w:rFonts w:ascii="仿宋" w:eastAsia="仿宋" w:hAnsi="仿宋" w:cs="仿宋_GB2312"/>
          <w:sz w:val="32"/>
          <w:szCs w:val="32"/>
        </w:rPr>
        <w:t>9</w:t>
      </w:r>
      <w:r>
        <w:rPr>
          <w:rFonts w:ascii="仿宋" w:eastAsia="仿宋" w:hAnsi="仿宋" w:cs="仿宋_GB2312" w:hint="eastAsia"/>
          <w:sz w:val="32"/>
          <w:szCs w:val="32"/>
        </w:rPr>
        <w:t>4</w:t>
      </w:r>
      <w:r>
        <w:rPr>
          <w:rFonts w:ascii="仿宋" w:eastAsia="仿宋" w:hAnsi="仿宋" w:cs="仿宋_GB2312" w:hint="eastAsia"/>
          <w:sz w:val="32"/>
          <w:szCs w:val="32"/>
        </w:rPr>
        <w:t>分；我部门无特定目标类项目。</w:t>
      </w:r>
    </w:p>
    <w:p w14:paraId="7276E560" w14:textId="77777777" w:rsidR="00445AD5" w:rsidRDefault="00EA4B12">
      <w:pPr>
        <w:widowControl/>
        <w:spacing w:line="540" w:lineRule="exact"/>
        <w:ind w:firstLineChars="200" w:firstLine="643"/>
        <w:jc w:val="left"/>
        <w:rPr>
          <w:rFonts w:ascii="仿宋" w:eastAsia="仿宋" w:hAnsi="仿宋" w:cs="仿宋_GB2312"/>
          <w:sz w:val="32"/>
          <w:szCs w:val="32"/>
        </w:rPr>
      </w:pPr>
      <w:r>
        <w:rPr>
          <w:rFonts w:ascii="仿宋" w:eastAsia="仿宋" w:hAnsi="仿宋" w:cs="仿宋_GB2312" w:hint="eastAsia"/>
          <w:b/>
          <w:sz w:val="32"/>
          <w:szCs w:val="32"/>
        </w:rPr>
        <w:t>（</w:t>
      </w:r>
      <w:r>
        <w:rPr>
          <w:rFonts w:ascii="仿宋" w:eastAsia="仿宋" w:hAnsi="仿宋" w:cs="仿宋_GB2312" w:hint="eastAsia"/>
          <w:b/>
          <w:sz w:val="32"/>
          <w:szCs w:val="32"/>
        </w:rPr>
        <w:t>2</w:t>
      </w:r>
      <w:r>
        <w:rPr>
          <w:rFonts w:ascii="仿宋" w:eastAsia="仿宋" w:hAnsi="仿宋" w:cs="仿宋_GB2312" w:hint="eastAsia"/>
          <w:b/>
          <w:sz w:val="32"/>
          <w:szCs w:val="32"/>
        </w:rPr>
        <w:t>）重点项目评价情况。</w:t>
      </w:r>
      <w:r>
        <w:rPr>
          <w:rFonts w:ascii="仿宋" w:eastAsia="仿宋" w:hAnsi="仿宋" w:cs="仿宋_GB2312" w:hint="eastAsia"/>
          <w:sz w:val="32"/>
          <w:szCs w:val="32"/>
        </w:rPr>
        <w:t>我部门组织对</w:t>
      </w:r>
      <w:r>
        <w:rPr>
          <w:rFonts w:ascii="仿宋" w:eastAsia="仿宋" w:hAnsi="仿宋" w:cs="仿宋_GB2312" w:hint="eastAsia"/>
          <w:sz w:val="32"/>
          <w:szCs w:val="32"/>
        </w:rPr>
        <w:t>9</w:t>
      </w:r>
      <w:r>
        <w:rPr>
          <w:rFonts w:ascii="仿宋" w:eastAsia="仿宋" w:hAnsi="仿宋" w:cs="仿宋_GB2312" w:hint="eastAsia"/>
          <w:sz w:val="32"/>
          <w:szCs w:val="32"/>
        </w:rPr>
        <w:t>个项目开展了重点绩效评价，涉及资金</w:t>
      </w:r>
      <w:r>
        <w:rPr>
          <w:rFonts w:ascii="仿宋" w:eastAsia="仿宋" w:hAnsi="仿宋" w:cs="仿宋_GB2312" w:hint="eastAsia"/>
          <w:sz w:val="32"/>
          <w:szCs w:val="32"/>
        </w:rPr>
        <w:t>37</w:t>
      </w:r>
      <w:r>
        <w:rPr>
          <w:rFonts w:ascii="仿宋" w:eastAsia="仿宋" w:hAnsi="仿宋" w:cs="仿宋_GB2312" w:hint="eastAsia"/>
          <w:sz w:val="32"/>
          <w:szCs w:val="32"/>
        </w:rPr>
        <w:t>万元。通过绩效自评发现主要存在以下问题：</w:t>
      </w:r>
      <w:r>
        <w:rPr>
          <w:rFonts w:ascii="仿宋" w:eastAsia="仿宋" w:hAnsi="仿宋" w:cs="黑体"/>
          <w:sz w:val="32"/>
          <w:szCs w:val="32"/>
        </w:rPr>
        <w:t>一是</w:t>
      </w:r>
      <w:r>
        <w:rPr>
          <w:rFonts w:ascii="仿宋_GB2312" w:eastAsia="仿宋_GB2312" w:hint="eastAsia"/>
          <w:color w:val="000000"/>
          <w:sz w:val="32"/>
          <w:szCs w:val="32"/>
        </w:rPr>
        <w:t>预算项目支出绩效管理工作的主动性和积</w:t>
      </w:r>
      <w:r>
        <w:rPr>
          <w:rFonts w:ascii="仿宋_GB2312" w:eastAsia="仿宋_GB2312" w:hint="eastAsia"/>
          <w:color w:val="000000"/>
          <w:sz w:val="32"/>
          <w:szCs w:val="32"/>
        </w:rPr>
        <w:lastRenderedPageBreak/>
        <w:t>极性需进一步提高</w:t>
      </w:r>
      <w:r>
        <w:rPr>
          <w:rFonts w:ascii="仿宋" w:eastAsia="仿宋" w:hAnsi="仿宋" w:cs="宋体" w:hint="eastAsia"/>
          <w:sz w:val="32"/>
          <w:szCs w:val="32"/>
        </w:rPr>
        <w:t>;</w:t>
      </w:r>
      <w:r>
        <w:rPr>
          <w:rFonts w:ascii="仿宋" w:eastAsia="仿宋" w:hAnsi="仿宋" w:cs="黑体" w:hint="eastAsia"/>
          <w:sz w:val="32"/>
          <w:szCs w:val="32"/>
        </w:rPr>
        <w:t>二是</w:t>
      </w:r>
      <w:r>
        <w:rPr>
          <w:rFonts w:ascii="仿宋_GB2312" w:eastAsia="仿宋_GB2312" w:hint="eastAsia"/>
          <w:color w:val="000000"/>
          <w:sz w:val="32"/>
          <w:szCs w:val="32"/>
        </w:rPr>
        <w:t>预算项目支出绩效管理制度还不够完善，操作性不强。</w:t>
      </w:r>
      <w:r>
        <w:rPr>
          <w:rFonts w:ascii="仿宋" w:eastAsia="仿宋" w:hAnsi="仿宋" w:cs="仿宋_GB2312" w:hint="eastAsia"/>
          <w:sz w:val="32"/>
          <w:szCs w:val="32"/>
        </w:rPr>
        <w:t>下一步将采取以下措施加以改进：</w:t>
      </w:r>
      <w:r>
        <w:rPr>
          <w:rFonts w:ascii="仿宋" w:eastAsia="仿宋" w:hAnsi="仿宋" w:cs="黑体" w:hint="eastAsia"/>
          <w:sz w:val="32"/>
          <w:szCs w:val="32"/>
        </w:rPr>
        <w:t>一是</w:t>
      </w:r>
      <w:r>
        <w:rPr>
          <w:rFonts w:ascii="仿宋_GB2312" w:eastAsia="仿宋_GB2312" w:hint="eastAsia"/>
          <w:color w:val="000000"/>
          <w:sz w:val="32"/>
          <w:szCs w:val="32"/>
        </w:rPr>
        <w:t>一是强化预算支出责任意识，增强绩效管理理念</w:t>
      </w:r>
      <w:r>
        <w:rPr>
          <w:rFonts w:ascii="仿宋" w:eastAsia="仿宋" w:hAnsi="仿宋" w:cs="宋体" w:hint="eastAsia"/>
          <w:sz w:val="32"/>
          <w:szCs w:val="32"/>
        </w:rPr>
        <w:t>;</w:t>
      </w:r>
      <w:r>
        <w:rPr>
          <w:rFonts w:ascii="仿宋" w:eastAsia="仿宋" w:hAnsi="仿宋" w:cs="黑体" w:hint="eastAsia"/>
          <w:sz w:val="32"/>
          <w:szCs w:val="32"/>
        </w:rPr>
        <w:t>二是</w:t>
      </w:r>
      <w:r>
        <w:rPr>
          <w:rFonts w:ascii="仿宋_GB2312" w:eastAsia="仿宋_GB2312" w:hint="eastAsia"/>
          <w:color w:val="000000"/>
          <w:sz w:val="32"/>
          <w:szCs w:val="32"/>
        </w:rPr>
        <w:t>进一步完善绩效管理工作制度和办法</w:t>
      </w:r>
      <w:r>
        <w:rPr>
          <w:rFonts w:ascii="仿宋" w:eastAsia="仿宋" w:hAnsi="仿宋" w:cs="仿宋_GB2312" w:hint="eastAsia"/>
          <w:sz w:val="32"/>
          <w:szCs w:val="32"/>
        </w:rPr>
        <w:t>。</w:t>
      </w:r>
    </w:p>
    <w:p w14:paraId="7061513A" w14:textId="77777777" w:rsidR="00445AD5" w:rsidRDefault="00EA4B12">
      <w:pPr>
        <w:widowControl/>
        <w:spacing w:line="540" w:lineRule="exact"/>
        <w:ind w:firstLineChars="200" w:firstLine="643"/>
        <w:jc w:val="left"/>
        <w:rPr>
          <w:rFonts w:ascii="仿宋" w:eastAsia="仿宋" w:hAnsi="仿宋" w:cs="仿宋_GB2312"/>
          <w:b/>
          <w:bCs/>
          <w:sz w:val="32"/>
          <w:szCs w:val="32"/>
        </w:rPr>
      </w:pPr>
      <w:r>
        <w:rPr>
          <w:rFonts w:ascii="仿宋" w:eastAsia="仿宋" w:hAnsi="仿宋" w:cs="仿宋_GB2312" w:hint="eastAsia"/>
          <w:b/>
          <w:bCs/>
          <w:sz w:val="32"/>
          <w:szCs w:val="32"/>
        </w:rPr>
        <w:t>2.</w:t>
      </w:r>
      <w:r>
        <w:rPr>
          <w:rFonts w:ascii="仿宋" w:eastAsia="仿宋" w:hAnsi="仿宋" w:cs="仿宋_GB2312" w:hint="eastAsia"/>
          <w:b/>
          <w:bCs/>
          <w:sz w:val="32"/>
          <w:szCs w:val="32"/>
        </w:rPr>
        <w:t>部门决算中特定目标类项目绩效自评结果。</w:t>
      </w:r>
    </w:p>
    <w:p w14:paraId="7E119C4E" w14:textId="77777777" w:rsidR="00445AD5" w:rsidRDefault="00EA4B12">
      <w:pPr>
        <w:widowControl/>
        <w:spacing w:line="540" w:lineRule="exact"/>
        <w:ind w:firstLineChars="200" w:firstLine="420"/>
        <w:jc w:val="left"/>
        <w:rPr>
          <w:rFonts w:ascii="仿宋" w:eastAsia="仿宋" w:hAnsi="仿宋"/>
          <w:sz w:val="32"/>
          <w:szCs w:val="32"/>
        </w:rPr>
      </w:pPr>
      <w:r>
        <w:rPr>
          <w:rFonts w:ascii="仿宋" w:eastAsia="仿宋" w:hAnsi="仿宋" w:hint="eastAsia"/>
        </w:rPr>
        <w:t xml:space="preserve">  </w:t>
      </w:r>
      <w:r>
        <w:rPr>
          <w:rFonts w:ascii="仿宋" w:eastAsia="仿宋" w:hAnsi="仿宋" w:hint="eastAsia"/>
          <w:sz w:val="32"/>
          <w:szCs w:val="32"/>
        </w:rPr>
        <w:t xml:space="preserve"> </w:t>
      </w:r>
      <w:r>
        <w:rPr>
          <w:rFonts w:ascii="仿宋" w:eastAsia="仿宋" w:hAnsi="仿宋" w:hint="eastAsia"/>
          <w:sz w:val="32"/>
          <w:szCs w:val="32"/>
        </w:rPr>
        <w:t>我部门</w:t>
      </w:r>
      <w:r>
        <w:rPr>
          <w:rFonts w:ascii="仿宋" w:eastAsia="仿宋" w:hAnsi="仿宋" w:hint="eastAsia"/>
          <w:sz w:val="32"/>
          <w:szCs w:val="32"/>
        </w:rPr>
        <w:t>2021</w:t>
      </w:r>
      <w:r>
        <w:rPr>
          <w:rFonts w:ascii="仿宋" w:eastAsia="仿宋" w:hAnsi="仿宋" w:hint="eastAsia"/>
          <w:sz w:val="32"/>
          <w:szCs w:val="32"/>
        </w:rPr>
        <w:t>年度决算中无特定目标类项目。</w:t>
      </w:r>
    </w:p>
    <w:p w14:paraId="50CAA9E2" w14:textId="77777777" w:rsidR="00445AD5" w:rsidRDefault="00445AD5" w:rsidP="00872F9C">
      <w:pPr>
        <w:widowControl/>
        <w:spacing w:line="540" w:lineRule="exact"/>
        <w:jc w:val="left"/>
        <w:rPr>
          <w:rFonts w:ascii="仿宋" w:eastAsia="仿宋" w:hAnsi="仿宋" w:hint="eastAsia"/>
          <w:sz w:val="32"/>
          <w:szCs w:val="32"/>
        </w:rPr>
        <w:sectPr w:rsidR="00445AD5">
          <w:footerReference w:type="even" r:id="rId8"/>
          <w:footerReference w:type="default" r:id="rId9"/>
          <w:pgSz w:w="11906" w:h="16838"/>
          <w:pgMar w:top="1418" w:right="1701" w:bottom="1418" w:left="1701" w:header="851" w:footer="992" w:gutter="0"/>
          <w:cols w:space="720"/>
          <w:docGrid w:type="lines" w:linePitch="312"/>
        </w:sectPr>
      </w:pPr>
    </w:p>
    <w:p w14:paraId="3B37E6B0" w14:textId="5FD74557" w:rsidR="00445AD5" w:rsidRDefault="00445AD5" w:rsidP="00872F9C">
      <w:pPr>
        <w:spacing w:line="540" w:lineRule="exact"/>
        <w:rPr>
          <w:rFonts w:ascii="仿宋_GB2312" w:eastAsia="仿宋_GB2312" w:hAnsi="宋体" w:cs="宋体" w:hint="eastAsia"/>
          <w:sz w:val="32"/>
          <w:szCs w:val="32"/>
        </w:rPr>
      </w:pPr>
    </w:p>
    <w:tbl>
      <w:tblPr>
        <w:tblW w:w="5000" w:type="pct"/>
        <w:tblLook w:val="04A0" w:firstRow="1" w:lastRow="0" w:firstColumn="1" w:lastColumn="0" w:noHBand="0" w:noVBand="1"/>
      </w:tblPr>
      <w:tblGrid>
        <w:gridCol w:w="417"/>
        <w:gridCol w:w="417"/>
        <w:gridCol w:w="417"/>
        <w:gridCol w:w="616"/>
        <w:gridCol w:w="417"/>
        <w:gridCol w:w="516"/>
        <w:gridCol w:w="175"/>
        <w:gridCol w:w="242"/>
        <w:gridCol w:w="967"/>
        <w:gridCol w:w="417"/>
        <w:gridCol w:w="516"/>
        <w:gridCol w:w="469"/>
        <w:gridCol w:w="51"/>
        <w:gridCol w:w="696"/>
        <w:gridCol w:w="417"/>
        <w:gridCol w:w="417"/>
        <w:gridCol w:w="312"/>
        <w:gridCol w:w="105"/>
        <w:gridCol w:w="816"/>
        <w:gridCol w:w="516"/>
        <w:gridCol w:w="516"/>
        <w:gridCol w:w="66"/>
        <w:gridCol w:w="644"/>
        <w:gridCol w:w="267"/>
        <w:gridCol w:w="1016"/>
        <w:gridCol w:w="1211"/>
        <w:gridCol w:w="1366"/>
      </w:tblGrid>
      <w:tr w:rsidR="00445AD5" w14:paraId="4CA50B07" w14:textId="77777777">
        <w:trPr>
          <w:trHeight w:val="642"/>
        </w:trPr>
        <w:tc>
          <w:tcPr>
            <w:tcW w:w="5000" w:type="pct"/>
            <w:gridSpan w:val="27"/>
            <w:tcBorders>
              <w:top w:val="nil"/>
              <w:left w:val="nil"/>
              <w:bottom w:val="nil"/>
              <w:right w:val="nil"/>
            </w:tcBorders>
            <w:shd w:val="clear" w:color="000000" w:fill="FFFFFF"/>
            <w:noWrap/>
            <w:vAlign w:val="center"/>
          </w:tcPr>
          <w:p w14:paraId="4BDCC88C" w14:textId="77777777" w:rsidR="00445AD5" w:rsidRDefault="00EA4B12">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部门（单位）整体绩效目标表</w:t>
            </w:r>
          </w:p>
        </w:tc>
      </w:tr>
      <w:tr w:rsidR="00445AD5" w14:paraId="004210DF" w14:textId="77777777">
        <w:trPr>
          <w:trHeight w:val="642"/>
        </w:trPr>
        <w:tc>
          <w:tcPr>
            <w:tcW w:w="5000" w:type="pct"/>
            <w:gridSpan w:val="27"/>
            <w:tcBorders>
              <w:top w:val="nil"/>
              <w:left w:val="nil"/>
              <w:bottom w:val="nil"/>
              <w:right w:val="nil"/>
            </w:tcBorders>
            <w:shd w:val="clear" w:color="000000" w:fill="FFFFFF"/>
            <w:noWrap/>
            <w:vAlign w:val="center"/>
          </w:tcPr>
          <w:p w14:paraId="3164D3E2"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445AD5" w14:paraId="2930A9DE" w14:textId="77777777">
        <w:trPr>
          <w:trHeight w:val="642"/>
        </w:trPr>
        <w:tc>
          <w:tcPr>
            <w:tcW w:w="1045" w:type="pct"/>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14:paraId="1268D39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部门（单位）名称</w:t>
            </w:r>
          </w:p>
        </w:tc>
        <w:tc>
          <w:tcPr>
            <w:tcW w:w="3954" w:type="pct"/>
            <w:gridSpan w:val="20"/>
            <w:tcBorders>
              <w:top w:val="single" w:sz="4" w:space="0" w:color="auto"/>
              <w:left w:val="nil"/>
              <w:bottom w:val="single" w:sz="4" w:space="0" w:color="auto"/>
              <w:right w:val="single" w:sz="4" w:space="0" w:color="000000"/>
            </w:tcBorders>
            <w:shd w:val="clear" w:color="000000" w:fill="FFFFFF"/>
            <w:vAlign w:val="center"/>
          </w:tcPr>
          <w:p w14:paraId="6823C5E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161012</w:t>
            </w:r>
            <w:r>
              <w:rPr>
                <w:rFonts w:ascii="宋体" w:hAnsi="宋体" w:cs="宋体" w:hint="eastAsia"/>
                <w:color w:val="000000"/>
                <w:kern w:val="0"/>
                <w:sz w:val="20"/>
                <w:szCs w:val="20"/>
              </w:rPr>
              <w:t>盘锦市商贸物流基地建设服务中心</w:t>
            </w:r>
            <w:r>
              <w:rPr>
                <w:rFonts w:ascii="宋体" w:hAnsi="宋体" w:cs="宋体" w:hint="eastAsia"/>
                <w:color w:val="000000"/>
                <w:kern w:val="0"/>
                <w:sz w:val="20"/>
                <w:szCs w:val="20"/>
              </w:rPr>
              <w:t>-211100000</w:t>
            </w:r>
          </w:p>
        </w:tc>
      </w:tr>
      <w:tr w:rsidR="00445AD5" w14:paraId="4D86BBF6" w14:textId="77777777">
        <w:trPr>
          <w:trHeight w:val="642"/>
        </w:trPr>
        <w:tc>
          <w:tcPr>
            <w:tcW w:w="1045" w:type="pct"/>
            <w:gridSpan w:val="7"/>
            <w:tcBorders>
              <w:top w:val="nil"/>
              <w:left w:val="single" w:sz="4" w:space="0" w:color="auto"/>
              <w:bottom w:val="nil"/>
              <w:right w:val="single" w:sz="4" w:space="0" w:color="auto"/>
            </w:tcBorders>
            <w:shd w:val="clear" w:color="000000" w:fill="FFFFFF"/>
            <w:noWrap/>
            <w:vAlign w:val="center"/>
          </w:tcPr>
          <w:p w14:paraId="30D3BE66"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年度预算收入</w:t>
            </w:r>
          </w:p>
        </w:tc>
        <w:tc>
          <w:tcPr>
            <w:tcW w:w="3954" w:type="pct"/>
            <w:gridSpan w:val="20"/>
            <w:tcBorders>
              <w:top w:val="single" w:sz="4" w:space="0" w:color="auto"/>
              <w:left w:val="nil"/>
              <w:bottom w:val="single" w:sz="4" w:space="0" w:color="auto"/>
              <w:right w:val="single" w:sz="4" w:space="0" w:color="000000"/>
            </w:tcBorders>
            <w:shd w:val="clear" w:color="000000" w:fill="FFFFFF"/>
            <w:vAlign w:val="center"/>
          </w:tcPr>
          <w:p w14:paraId="51CBB0C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515.83</w:t>
            </w:r>
          </w:p>
        </w:tc>
      </w:tr>
      <w:tr w:rsidR="00445AD5" w14:paraId="116A4984" w14:textId="77777777">
        <w:trPr>
          <w:trHeight w:val="642"/>
        </w:trPr>
        <w:tc>
          <w:tcPr>
            <w:tcW w:w="1045" w:type="pct"/>
            <w:gridSpan w:val="7"/>
            <w:vMerge w:val="restart"/>
            <w:tcBorders>
              <w:top w:val="single" w:sz="4" w:space="0" w:color="auto"/>
              <w:left w:val="single" w:sz="4" w:space="0" w:color="auto"/>
              <w:bottom w:val="nil"/>
              <w:right w:val="single" w:sz="4" w:space="0" w:color="auto"/>
            </w:tcBorders>
            <w:shd w:val="clear" w:color="000000" w:fill="FFFFFF"/>
            <w:vAlign w:val="center"/>
          </w:tcPr>
          <w:p w14:paraId="282D0F9E"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年度预算支出</w:t>
            </w:r>
          </w:p>
        </w:tc>
        <w:tc>
          <w:tcPr>
            <w:tcW w:w="1600" w:type="pct"/>
            <w:gridSpan w:val="10"/>
            <w:tcBorders>
              <w:top w:val="single" w:sz="4" w:space="0" w:color="auto"/>
              <w:left w:val="nil"/>
              <w:bottom w:val="single" w:sz="4" w:space="0" w:color="auto"/>
              <w:right w:val="single" w:sz="4" w:space="0" w:color="auto"/>
            </w:tcBorders>
            <w:shd w:val="clear" w:color="000000" w:fill="FFFFFF"/>
            <w:vAlign w:val="center"/>
          </w:tcPr>
          <w:p w14:paraId="0B18780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年度部门预算支出</w:t>
            </w:r>
          </w:p>
        </w:tc>
        <w:tc>
          <w:tcPr>
            <w:tcW w:w="2354" w:type="pct"/>
            <w:gridSpan w:val="10"/>
            <w:tcBorders>
              <w:top w:val="single" w:sz="4" w:space="0" w:color="auto"/>
              <w:left w:val="nil"/>
              <w:bottom w:val="single" w:sz="4" w:space="0" w:color="auto"/>
              <w:right w:val="single" w:sz="4" w:space="0" w:color="000000"/>
            </w:tcBorders>
            <w:shd w:val="clear" w:color="000000" w:fill="FFFFFF"/>
            <w:vAlign w:val="center"/>
          </w:tcPr>
          <w:p w14:paraId="40D25C8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515.83</w:t>
            </w:r>
          </w:p>
        </w:tc>
      </w:tr>
      <w:tr w:rsidR="00445AD5" w14:paraId="4FC31E00" w14:textId="77777777">
        <w:trPr>
          <w:trHeight w:val="642"/>
        </w:trPr>
        <w:tc>
          <w:tcPr>
            <w:tcW w:w="1045" w:type="pct"/>
            <w:gridSpan w:val="7"/>
            <w:vMerge/>
            <w:tcBorders>
              <w:top w:val="single" w:sz="4" w:space="0" w:color="auto"/>
              <w:left w:val="single" w:sz="4" w:space="0" w:color="auto"/>
              <w:bottom w:val="nil"/>
              <w:right w:val="single" w:sz="4" w:space="0" w:color="auto"/>
            </w:tcBorders>
            <w:vAlign w:val="center"/>
          </w:tcPr>
          <w:p w14:paraId="605088FE" w14:textId="77777777" w:rsidR="00445AD5" w:rsidRDefault="00445AD5">
            <w:pPr>
              <w:widowControl/>
              <w:jc w:val="left"/>
              <w:rPr>
                <w:rFonts w:ascii="宋体" w:hAnsi="宋体" w:cs="宋体"/>
                <w:b/>
                <w:bCs/>
                <w:color w:val="000000"/>
                <w:kern w:val="0"/>
                <w:sz w:val="20"/>
                <w:szCs w:val="20"/>
              </w:rPr>
            </w:pPr>
          </w:p>
        </w:tc>
        <w:tc>
          <w:tcPr>
            <w:tcW w:w="1600" w:type="pct"/>
            <w:gridSpan w:val="10"/>
            <w:tcBorders>
              <w:top w:val="single" w:sz="4" w:space="0" w:color="auto"/>
              <w:left w:val="nil"/>
              <w:bottom w:val="single" w:sz="4" w:space="0" w:color="auto"/>
              <w:right w:val="single" w:sz="4" w:space="0" w:color="auto"/>
            </w:tcBorders>
            <w:shd w:val="clear" w:color="000000" w:fill="FFFFFF"/>
            <w:vAlign w:val="center"/>
          </w:tcPr>
          <w:p w14:paraId="691AD34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人员类项目</w:t>
            </w:r>
          </w:p>
        </w:tc>
        <w:tc>
          <w:tcPr>
            <w:tcW w:w="717" w:type="pct"/>
            <w:gridSpan w:val="5"/>
            <w:tcBorders>
              <w:top w:val="nil"/>
              <w:left w:val="nil"/>
              <w:bottom w:val="single" w:sz="4" w:space="0" w:color="auto"/>
              <w:right w:val="single" w:sz="4" w:space="0" w:color="auto"/>
            </w:tcBorders>
            <w:shd w:val="clear" w:color="000000" w:fill="FFFFFF"/>
            <w:vAlign w:val="center"/>
          </w:tcPr>
          <w:p w14:paraId="2AB99D1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425.45</w:t>
            </w:r>
          </w:p>
        </w:tc>
        <w:tc>
          <w:tcPr>
            <w:tcW w:w="711" w:type="pct"/>
            <w:gridSpan w:val="3"/>
            <w:tcBorders>
              <w:top w:val="single" w:sz="4" w:space="0" w:color="auto"/>
              <w:left w:val="nil"/>
              <w:bottom w:val="single" w:sz="4" w:space="0" w:color="auto"/>
              <w:right w:val="single" w:sz="4" w:space="0" w:color="auto"/>
            </w:tcBorders>
            <w:shd w:val="clear" w:color="000000" w:fill="FFFFFF"/>
            <w:noWrap/>
            <w:vAlign w:val="center"/>
          </w:tcPr>
          <w:p w14:paraId="769F9F0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其他运转类项目</w:t>
            </w:r>
          </w:p>
        </w:tc>
        <w:tc>
          <w:tcPr>
            <w:tcW w:w="925" w:type="pct"/>
            <w:gridSpan w:val="2"/>
            <w:tcBorders>
              <w:top w:val="single" w:sz="4" w:space="0" w:color="auto"/>
              <w:left w:val="nil"/>
              <w:bottom w:val="single" w:sz="4" w:space="0" w:color="auto"/>
              <w:right w:val="single" w:sz="4" w:space="0" w:color="auto"/>
            </w:tcBorders>
            <w:shd w:val="clear" w:color="000000" w:fill="FFFFFF"/>
            <w:noWrap/>
            <w:vAlign w:val="center"/>
          </w:tcPr>
          <w:p w14:paraId="0021B14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r>
      <w:tr w:rsidR="00445AD5" w14:paraId="72773C2B" w14:textId="77777777">
        <w:trPr>
          <w:trHeight w:val="642"/>
        </w:trPr>
        <w:tc>
          <w:tcPr>
            <w:tcW w:w="1045" w:type="pct"/>
            <w:gridSpan w:val="7"/>
            <w:vMerge/>
            <w:tcBorders>
              <w:top w:val="single" w:sz="4" w:space="0" w:color="auto"/>
              <w:left w:val="single" w:sz="4" w:space="0" w:color="auto"/>
              <w:bottom w:val="nil"/>
              <w:right w:val="single" w:sz="4" w:space="0" w:color="auto"/>
            </w:tcBorders>
            <w:vAlign w:val="center"/>
          </w:tcPr>
          <w:p w14:paraId="7CD16788" w14:textId="77777777" w:rsidR="00445AD5" w:rsidRDefault="00445AD5">
            <w:pPr>
              <w:widowControl/>
              <w:jc w:val="left"/>
              <w:rPr>
                <w:rFonts w:ascii="宋体" w:hAnsi="宋体" w:cs="宋体"/>
                <w:b/>
                <w:bCs/>
                <w:color w:val="000000"/>
                <w:kern w:val="0"/>
                <w:sz w:val="20"/>
                <w:szCs w:val="20"/>
              </w:rPr>
            </w:pPr>
          </w:p>
        </w:tc>
        <w:tc>
          <w:tcPr>
            <w:tcW w:w="1600" w:type="pct"/>
            <w:gridSpan w:val="10"/>
            <w:tcBorders>
              <w:top w:val="single" w:sz="4" w:space="0" w:color="auto"/>
              <w:left w:val="nil"/>
              <w:bottom w:val="single" w:sz="4" w:space="0" w:color="auto"/>
              <w:right w:val="single" w:sz="4" w:space="0" w:color="auto"/>
            </w:tcBorders>
            <w:shd w:val="clear" w:color="000000" w:fill="FFFFFF"/>
            <w:vAlign w:val="center"/>
          </w:tcPr>
          <w:p w14:paraId="31F00AE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公用经费类项目</w:t>
            </w:r>
          </w:p>
        </w:tc>
        <w:tc>
          <w:tcPr>
            <w:tcW w:w="717" w:type="pct"/>
            <w:gridSpan w:val="5"/>
            <w:tcBorders>
              <w:top w:val="nil"/>
              <w:left w:val="nil"/>
              <w:bottom w:val="single" w:sz="4" w:space="0" w:color="auto"/>
              <w:right w:val="single" w:sz="4" w:space="0" w:color="auto"/>
            </w:tcBorders>
            <w:shd w:val="clear" w:color="000000" w:fill="FFFFFF"/>
            <w:vAlign w:val="center"/>
          </w:tcPr>
          <w:p w14:paraId="0DAF246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53.38</w:t>
            </w:r>
          </w:p>
        </w:tc>
        <w:tc>
          <w:tcPr>
            <w:tcW w:w="711" w:type="pct"/>
            <w:gridSpan w:val="3"/>
            <w:tcBorders>
              <w:top w:val="single" w:sz="4" w:space="0" w:color="auto"/>
              <w:left w:val="nil"/>
              <w:bottom w:val="single" w:sz="4" w:space="0" w:color="auto"/>
              <w:right w:val="single" w:sz="4" w:space="0" w:color="auto"/>
            </w:tcBorders>
            <w:shd w:val="clear" w:color="000000" w:fill="FFFFFF"/>
            <w:noWrap/>
            <w:vAlign w:val="center"/>
          </w:tcPr>
          <w:p w14:paraId="10A5BE1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特定目标类项目</w:t>
            </w:r>
          </w:p>
        </w:tc>
        <w:tc>
          <w:tcPr>
            <w:tcW w:w="925" w:type="pct"/>
            <w:gridSpan w:val="2"/>
            <w:tcBorders>
              <w:top w:val="single" w:sz="4" w:space="0" w:color="auto"/>
              <w:left w:val="nil"/>
              <w:bottom w:val="single" w:sz="4" w:space="0" w:color="auto"/>
              <w:right w:val="single" w:sz="4" w:space="0" w:color="auto"/>
            </w:tcBorders>
            <w:shd w:val="clear" w:color="000000" w:fill="FFFFFF"/>
            <w:noWrap/>
            <w:vAlign w:val="center"/>
          </w:tcPr>
          <w:p w14:paraId="6FAA981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r>
      <w:tr w:rsidR="00445AD5" w14:paraId="30A808CE" w14:textId="77777777">
        <w:trPr>
          <w:trHeight w:val="642"/>
        </w:trPr>
        <w:tc>
          <w:tcPr>
            <w:tcW w:w="1045" w:type="pct"/>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C294A73"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年度主要任务</w:t>
            </w: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62B1AECD"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对应项目</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612811FB"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预算资金情况（万元）</w:t>
            </w:r>
          </w:p>
        </w:tc>
      </w:tr>
      <w:tr w:rsidR="00445AD5" w14:paraId="2390AB73" w14:textId="77777777">
        <w:trPr>
          <w:trHeight w:val="642"/>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4BF7CACD"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7E142B2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现代物流产业链项目建设专项经费</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46D5B84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445AD5" w14:paraId="77A9A9F1"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1F851B7E"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46919FA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一带一路物流基地建设工作经费</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7EB6B2E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r>
      <w:tr w:rsidR="00445AD5" w14:paraId="3F52DA38"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716F2FC7"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7F43547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发展农产品及冷链物流产业，助力乡村振兴专项经费</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6D54526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r>
      <w:tr w:rsidR="00445AD5" w14:paraId="694BBE05"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4B8FEE2D"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0DC6EC4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推动再生资源行业高质量创新发展专项经费</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19FD736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r>
      <w:tr w:rsidR="00445AD5" w14:paraId="4AD727C1"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3DCC8F51"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36CA043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全市现代商贸物流产业培训和举办产业相关技能活动专项经费</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0CC0EA9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r>
      <w:tr w:rsidR="00445AD5" w14:paraId="3CA5D305"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2667545F"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50CB684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发展石化物流工作经费</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16B9B5A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445AD5" w14:paraId="7CD45CBE"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30AC18D9"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2BAD8C3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宣传及推介经费</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366270C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r>
      <w:tr w:rsidR="00445AD5" w14:paraId="77D86A52"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3FDA4C58"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0DB3CAF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发展粮食物流工作经费</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27C4416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445AD5" w14:paraId="40003151"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466F86DD"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2EE7F40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推进楼宇工作经济专项经费</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7934F3F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r>
      <w:tr w:rsidR="00445AD5" w14:paraId="6B04343F"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3C841C0C"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79BBD25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人员类项目</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7B9A545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425.45</w:t>
            </w:r>
          </w:p>
        </w:tc>
      </w:tr>
      <w:tr w:rsidR="00445AD5" w14:paraId="090B3A76" w14:textId="77777777">
        <w:trPr>
          <w:trHeight w:val="773"/>
        </w:trPr>
        <w:tc>
          <w:tcPr>
            <w:tcW w:w="1045" w:type="pct"/>
            <w:gridSpan w:val="7"/>
            <w:vMerge/>
            <w:tcBorders>
              <w:top w:val="single" w:sz="4" w:space="0" w:color="auto"/>
              <w:left w:val="single" w:sz="4" w:space="0" w:color="auto"/>
              <w:bottom w:val="single" w:sz="4" w:space="0" w:color="auto"/>
              <w:right w:val="single" w:sz="4" w:space="0" w:color="auto"/>
            </w:tcBorders>
            <w:vAlign w:val="center"/>
          </w:tcPr>
          <w:p w14:paraId="3C908AB3" w14:textId="77777777" w:rsidR="00445AD5" w:rsidRDefault="00445AD5">
            <w:pPr>
              <w:widowControl/>
              <w:jc w:val="left"/>
              <w:rPr>
                <w:rFonts w:ascii="宋体" w:hAnsi="宋体" w:cs="宋体"/>
                <w:b/>
                <w:bCs/>
                <w:color w:val="000000"/>
                <w:kern w:val="0"/>
                <w:sz w:val="20"/>
                <w:szCs w:val="20"/>
              </w:rPr>
            </w:pPr>
          </w:p>
        </w:tc>
        <w:tc>
          <w:tcPr>
            <w:tcW w:w="2671" w:type="pct"/>
            <w:gridSpan w:val="17"/>
            <w:tcBorders>
              <w:top w:val="single" w:sz="4" w:space="0" w:color="auto"/>
              <w:left w:val="nil"/>
              <w:bottom w:val="single" w:sz="4" w:space="0" w:color="auto"/>
              <w:right w:val="single" w:sz="4" w:space="0" w:color="000000"/>
            </w:tcBorders>
            <w:shd w:val="clear" w:color="000000" w:fill="FFFFFF"/>
            <w:vAlign w:val="center"/>
          </w:tcPr>
          <w:p w14:paraId="6E96FFF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公用经费项目</w:t>
            </w:r>
          </w:p>
        </w:tc>
        <w:tc>
          <w:tcPr>
            <w:tcW w:w="1283" w:type="pct"/>
            <w:gridSpan w:val="3"/>
            <w:tcBorders>
              <w:top w:val="single" w:sz="4" w:space="0" w:color="auto"/>
              <w:left w:val="nil"/>
              <w:bottom w:val="single" w:sz="4" w:space="0" w:color="auto"/>
              <w:right w:val="single" w:sz="4" w:space="0" w:color="000000"/>
            </w:tcBorders>
            <w:shd w:val="clear" w:color="000000" w:fill="FFFFFF"/>
            <w:vAlign w:val="center"/>
          </w:tcPr>
          <w:p w14:paraId="0044BFF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53.38</w:t>
            </w:r>
          </w:p>
        </w:tc>
      </w:tr>
      <w:tr w:rsidR="00445AD5" w14:paraId="197CF4AC" w14:textId="77777777">
        <w:trPr>
          <w:trHeight w:val="773"/>
        </w:trPr>
        <w:tc>
          <w:tcPr>
            <w:tcW w:w="1045" w:type="pct"/>
            <w:gridSpan w:val="7"/>
            <w:tcBorders>
              <w:top w:val="nil"/>
              <w:left w:val="single" w:sz="4" w:space="0" w:color="auto"/>
              <w:bottom w:val="single" w:sz="4" w:space="0" w:color="auto"/>
              <w:right w:val="single" w:sz="4" w:space="0" w:color="auto"/>
            </w:tcBorders>
            <w:shd w:val="clear" w:color="000000" w:fill="FFFFFF"/>
            <w:vAlign w:val="center"/>
          </w:tcPr>
          <w:p w14:paraId="16DB81D3"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年度绩效目标</w:t>
            </w:r>
          </w:p>
        </w:tc>
        <w:tc>
          <w:tcPr>
            <w:tcW w:w="3954" w:type="pct"/>
            <w:gridSpan w:val="20"/>
            <w:tcBorders>
              <w:top w:val="single" w:sz="4" w:space="0" w:color="auto"/>
              <w:left w:val="nil"/>
              <w:bottom w:val="single" w:sz="4" w:space="0" w:color="auto"/>
              <w:right w:val="single" w:sz="4" w:space="0" w:color="auto"/>
            </w:tcBorders>
            <w:shd w:val="clear" w:color="000000" w:fill="FFFFFF"/>
            <w:vAlign w:val="center"/>
          </w:tcPr>
          <w:p w14:paraId="07EB064B"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认真完成商贸物流基地建设服务中心的建设及维护各项工作任务</w:t>
            </w:r>
            <w:r>
              <w:rPr>
                <w:rFonts w:ascii="宋体" w:hAnsi="宋体" w:cs="宋体" w:hint="eastAsia"/>
                <w:color w:val="000000"/>
                <w:kern w:val="0"/>
                <w:sz w:val="20"/>
                <w:szCs w:val="20"/>
              </w:rPr>
              <w:br/>
            </w:r>
            <w:r>
              <w:rPr>
                <w:rFonts w:ascii="宋体" w:hAnsi="宋体" w:cs="宋体" w:hint="eastAsia"/>
                <w:color w:val="000000"/>
                <w:kern w:val="0"/>
                <w:sz w:val="20"/>
                <w:szCs w:val="20"/>
              </w:rPr>
              <w:t>宣传省和市关于商贸物流现代产业链项目发展有关措施遇到问题向有关部门反映企业诉求</w:t>
            </w:r>
            <w:r>
              <w:rPr>
                <w:rFonts w:ascii="宋体" w:hAnsi="宋体" w:cs="宋体" w:hint="eastAsia"/>
                <w:color w:val="000000"/>
                <w:kern w:val="0"/>
                <w:sz w:val="20"/>
                <w:szCs w:val="20"/>
              </w:rPr>
              <w:br/>
            </w:r>
            <w:r>
              <w:rPr>
                <w:rFonts w:ascii="宋体" w:hAnsi="宋体" w:cs="宋体" w:hint="eastAsia"/>
                <w:color w:val="000000"/>
                <w:kern w:val="0"/>
                <w:sz w:val="20"/>
                <w:szCs w:val="20"/>
              </w:rPr>
              <w:t>参与一带一路等物流大通道建设积极构建营销和物流网络承担物流产业园服务工作</w:t>
            </w:r>
            <w:r>
              <w:rPr>
                <w:rFonts w:ascii="宋体" w:hAnsi="宋体" w:cs="宋体" w:hint="eastAsia"/>
                <w:color w:val="000000"/>
                <w:kern w:val="0"/>
                <w:sz w:val="20"/>
                <w:szCs w:val="20"/>
              </w:rPr>
              <w:br/>
            </w:r>
            <w:r>
              <w:rPr>
                <w:rFonts w:ascii="宋体" w:hAnsi="宋体" w:cs="宋体" w:hint="eastAsia"/>
                <w:color w:val="000000"/>
                <w:kern w:val="0"/>
                <w:sz w:val="20"/>
                <w:szCs w:val="20"/>
              </w:rPr>
              <w:t>推动再生资源行业绿业化高值化专业化发展负责再生资源企业的服务工作。</w:t>
            </w:r>
            <w:r>
              <w:rPr>
                <w:rFonts w:ascii="宋体" w:hAnsi="宋体" w:cs="宋体" w:hint="eastAsia"/>
                <w:color w:val="000000"/>
                <w:kern w:val="0"/>
                <w:sz w:val="20"/>
                <w:szCs w:val="20"/>
              </w:rPr>
              <w:br/>
            </w:r>
            <w:r>
              <w:rPr>
                <w:rFonts w:ascii="宋体" w:hAnsi="宋体" w:cs="宋体" w:hint="eastAsia"/>
                <w:color w:val="000000"/>
                <w:kern w:val="0"/>
                <w:sz w:val="20"/>
                <w:szCs w:val="20"/>
              </w:rPr>
              <w:t>负责宣传及推介商贸物流基地建设服务中心的工作</w:t>
            </w:r>
            <w:r>
              <w:rPr>
                <w:rFonts w:ascii="宋体" w:hAnsi="宋体" w:cs="宋体" w:hint="eastAsia"/>
                <w:color w:val="000000"/>
                <w:kern w:val="0"/>
                <w:sz w:val="20"/>
                <w:szCs w:val="20"/>
              </w:rPr>
              <w:br/>
            </w:r>
            <w:r>
              <w:rPr>
                <w:rFonts w:ascii="宋体" w:hAnsi="宋体" w:cs="宋体" w:hint="eastAsia"/>
                <w:color w:val="000000"/>
                <w:kern w:val="0"/>
                <w:sz w:val="20"/>
                <w:szCs w:val="20"/>
              </w:rPr>
              <w:t>学习国内发达地区及龙头企业石化物流发展经验对联行业龙头企业与域内企业对接</w:t>
            </w:r>
            <w:r>
              <w:rPr>
                <w:rFonts w:ascii="宋体" w:hAnsi="宋体" w:cs="宋体" w:hint="eastAsia"/>
                <w:color w:val="000000"/>
                <w:kern w:val="0"/>
                <w:sz w:val="20"/>
                <w:szCs w:val="20"/>
              </w:rPr>
              <w:br/>
            </w:r>
            <w:r>
              <w:rPr>
                <w:rFonts w:ascii="宋体" w:hAnsi="宋体" w:cs="宋体" w:hint="eastAsia"/>
                <w:color w:val="000000"/>
                <w:kern w:val="0"/>
                <w:sz w:val="20"/>
                <w:szCs w:val="20"/>
              </w:rPr>
              <w:t>加快推进重点粮食物流项目建设完成产业链条工作</w:t>
            </w:r>
            <w:r>
              <w:rPr>
                <w:rFonts w:ascii="宋体" w:hAnsi="宋体" w:cs="宋体" w:hint="eastAsia"/>
                <w:color w:val="000000"/>
                <w:kern w:val="0"/>
                <w:sz w:val="20"/>
                <w:szCs w:val="20"/>
              </w:rPr>
              <w:br/>
            </w:r>
            <w:r>
              <w:rPr>
                <w:rFonts w:ascii="宋体" w:hAnsi="宋体" w:cs="宋体" w:hint="eastAsia"/>
                <w:color w:val="000000"/>
                <w:kern w:val="0"/>
                <w:sz w:val="20"/>
                <w:szCs w:val="20"/>
              </w:rPr>
              <w:lastRenderedPageBreak/>
              <w:t>开展为商贸物流基地重点园区重点企业</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提供政策咨询推进楼宇工作经济</w:t>
            </w:r>
            <w:r>
              <w:rPr>
                <w:rFonts w:ascii="宋体" w:hAnsi="宋体" w:cs="宋体" w:hint="eastAsia"/>
                <w:color w:val="000000"/>
                <w:kern w:val="0"/>
                <w:sz w:val="20"/>
                <w:szCs w:val="20"/>
              </w:rPr>
              <w:br/>
            </w:r>
            <w:r>
              <w:rPr>
                <w:rFonts w:ascii="宋体" w:hAnsi="宋体" w:cs="宋体" w:hint="eastAsia"/>
                <w:color w:val="000000"/>
                <w:kern w:val="0"/>
                <w:sz w:val="20"/>
                <w:szCs w:val="20"/>
              </w:rPr>
              <w:t>全市现代商贸物流产业培训和行业调查信息咨询并举办产业相关技能活动</w:t>
            </w:r>
            <w:r>
              <w:rPr>
                <w:rFonts w:ascii="宋体" w:hAnsi="宋体" w:cs="宋体" w:hint="eastAsia"/>
                <w:color w:val="000000"/>
                <w:kern w:val="0"/>
                <w:sz w:val="20"/>
                <w:szCs w:val="20"/>
              </w:rPr>
              <w:br/>
            </w:r>
            <w:r>
              <w:rPr>
                <w:rFonts w:ascii="宋体" w:hAnsi="宋体" w:cs="宋体" w:hint="eastAsia"/>
                <w:color w:val="000000"/>
                <w:kern w:val="0"/>
                <w:sz w:val="20"/>
                <w:szCs w:val="20"/>
              </w:rPr>
              <w:t>发展农产品及冷链物流产业助力乡村振兴重点园区重点项目全程服务</w:t>
            </w:r>
            <w:r>
              <w:rPr>
                <w:rFonts w:ascii="宋体" w:hAnsi="宋体" w:cs="宋体" w:hint="eastAsia"/>
                <w:color w:val="000000"/>
                <w:kern w:val="0"/>
                <w:sz w:val="20"/>
                <w:szCs w:val="20"/>
              </w:rPr>
              <w:br/>
            </w:r>
            <w:r>
              <w:rPr>
                <w:rFonts w:ascii="宋体" w:hAnsi="宋体" w:cs="宋体" w:hint="eastAsia"/>
                <w:color w:val="000000"/>
                <w:kern w:val="0"/>
                <w:sz w:val="20"/>
                <w:szCs w:val="20"/>
              </w:rPr>
              <w:t>认真完成商贸物流中心重点工作完成好各项工作任务</w:t>
            </w:r>
          </w:p>
        </w:tc>
      </w:tr>
      <w:tr w:rsidR="00445AD5" w14:paraId="3B80CC75" w14:textId="77777777">
        <w:trPr>
          <w:trHeight w:val="773"/>
        </w:trPr>
        <w:tc>
          <w:tcPr>
            <w:tcW w:w="1045" w:type="pct"/>
            <w:gridSpan w:val="7"/>
            <w:vMerge w:val="restart"/>
            <w:tcBorders>
              <w:top w:val="nil"/>
              <w:left w:val="single" w:sz="4" w:space="0" w:color="auto"/>
              <w:bottom w:val="single" w:sz="4" w:space="0" w:color="auto"/>
              <w:right w:val="single" w:sz="4" w:space="0" w:color="auto"/>
            </w:tcBorders>
            <w:shd w:val="clear" w:color="000000" w:fill="FFFFFF"/>
            <w:vAlign w:val="center"/>
          </w:tcPr>
          <w:p w14:paraId="18CD1607"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年度绩效指标</w:t>
            </w:r>
          </w:p>
        </w:tc>
        <w:tc>
          <w:tcPr>
            <w:tcW w:w="936" w:type="pct"/>
            <w:gridSpan w:val="5"/>
            <w:tcBorders>
              <w:top w:val="nil"/>
              <w:left w:val="nil"/>
              <w:bottom w:val="single" w:sz="4" w:space="0" w:color="auto"/>
              <w:right w:val="single" w:sz="4" w:space="0" w:color="auto"/>
            </w:tcBorders>
            <w:shd w:val="clear" w:color="000000" w:fill="FFFFFF"/>
            <w:noWrap/>
            <w:vAlign w:val="center"/>
          </w:tcPr>
          <w:p w14:paraId="0F25F41B"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664" w:type="pct"/>
            <w:gridSpan w:val="5"/>
            <w:tcBorders>
              <w:top w:val="nil"/>
              <w:left w:val="nil"/>
              <w:bottom w:val="single" w:sz="4" w:space="0" w:color="auto"/>
              <w:right w:val="single" w:sz="4" w:space="0" w:color="auto"/>
            </w:tcBorders>
            <w:shd w:val="clear" w:color="000000" w:fill="FFFFFF"/>
            <w:noWrap/>
            <w:vAlign w:val="center"/>
          </w:tcPr>
          <w:p w14:paraId="355B6A1E"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717" w:type="pct"/>
            <w:gridSpan w:val="5"/>
            <w:tcBorders>
              <w:top w:val="nil"/>
              <w:left w:val="nil"/>
              <w:bottom w:val="single" w:sz="4" w:space="0" w:color="auto"/>
              <w:right w:val="single" w:sz="4" w:space="0" w:color="auto"/>
            </w:tcBorders>
            <w:shd w:val="clear" w:color="000000" w:fill="FFFFFF"/>
            <w:noWrap/>
            <w:vAlign w:val="center"/>
          </w:tcPr>
          <w:p w14:paraId="784829CB"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353" w:type="pct"/>
            <w:gridSpan w:val="2"/>
            <w:tcBorders>
              <w:top w:val="nil"/>
              <w:left w:val="nil"/>
              <w:bottom w:val="single" w:sz="4" w:space="0" w:color="auto"/>
              <w:right w:val="single" w:sz="4" w:space="0" w:color="auto"/>
            </w:tcBorders>
            <w:shd w:val="clear" w:color="000000" w:fill="FFFFFF"/>
            <w:vAlign w:val="center"/>
          </w:tcPr>
          <w:p w14:paraId="2B121568"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运算符号</w:t>
            </w:r>
          </w:p>
        </w:tc>
        <w:tc>
          <w:tcPr>
            <w:tcW w:w="357" w:type="pct"/>
            <w:tcBorders>
              <w:top w:val="nil"/>
              <w:left w:val="nil"/>
              <w:bottom w:val="single" w:sz="4" w:space="0" w:color="auto"/>
              <w:right w:val="single" w:sz="4" w:space="0" w:color="auto"/>
            </w:tcBorders>
            <w:shd w:val="clear" w:color="000000" w:fill="FFFFFF"/>
            <w:noWrap/>
            <w:vAlign w:val="center"/>
          </w:tcPr>
          <w:p w14:paraId="623E448C"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指标值</w:t>
            </w:r>
          </w:p>
        </w:tc>
        <w:tc>
          <w:tcPr>
            <w:tcW w:w="444" w:type="pct"/>
            <w:tcBorders>
              <w:top w:val="nil"/>
              <w:left w:val="nil"/>
              <w:bottom w:val="single" w:sz="4" w:space="0" w:color="auto"/>
              <w:right w:val="single" w:sz="4" w:space="0" w:color="auto"/>
            </w:tcBorders>
            <w:shd w:val="clear" w:color="000000" w:fill="FFFFFF"/>
            <w:vAlign w:val="center"/>
          </w:tcPr>
          <w:p w14:paraId="48BA7B12"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度量单位</w:t>
            </w:r>
          </w:p>
        </w:tc>
        <w:tc>
          <w:tcPr>
            <w:tcW w:w="480" w:type="pct"/>
            <w:tcBorders>
              <w:top w:val="nil"/>
              <w:left w:val="nil"/>
              <w:bottom w:val="single" w:sz="4" w:space="0" w:color="auto"/>
              <w:right w:val="single" w:sz="4" w:space="0" w:color="auto"/>
            </w:tcBorders>
            <w:shd w:val="clear" w:color="000000" w:fill="FFFFFF"/>
            <w:noWrap/>
            <w:vAlign w:val="center"/>
          </w:tcPr>
          <w:p w14:paraId="1BED4126"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完成时限</w:t>
            </w:r>
          </w:p>
        </w:tc>
      </w:tr>
      <w:tr w:rsidR="00445AD5" w14:paraId="274BDFD0"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2341A84F" w14:textId="77777777" w:rsidR="00445AD5" w:rsidRDefault="00445AD5">
            <w:pPr>
              <w:widowControl/>
              <w:jc w:val="left"/>
              <w:rPr>
                <w:rFonts w:ascii="宋体" w:hAnsi="宋体" w:cs="宋体"/>
                <w:b/>
                <w:bCs/>
                <w:color w:val="000000"/>
                <w:kern w:val="0"/>
                <w:sz w:val="20"/>
                <w:szCs w:val="20"/>
              </w:rPr>
            </w:pPr>
          </w:p>
        </w:tc>
        <w:tc>
          <w:tcPr>
            <w:tcW w:w="936" w:type="pct"/>
            <w:gridSpan w:val="5"/>
            <w:vMerge w:val="restart"/>
            <w:tcBorders>
              <w:top w:val="nil"/>
              <w:left w:val="single" w:sz="4" w:space="0" w:color="auto"/>
              <w:bottom w:val="single" w:sz="4" w:space="0" w:color="auto"/>
              <w:right w:val="single" w:sz="4" w:space="0" w:color="auto"/>
            </w:tcBorders>
            <w:shd w:val="clear" w:color="000000" w:fill="FFFFFF"/>
            <w:vAlign w:val="center"/>
          </w:tcPr>
          <w:p w14:paraId="4E2C000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履职效能</w:t>
            </w:r>
          </w:p>
        </w:tc>
        <w:tc>
          <w:tcPr>
            <w:tcW w:w="664" w:type="pct"/>
            <w:gridSpan w:val="5"/>
            <w:tcBorders>
              <w:top w:val="nil"/>
              <w:left w:val="nil"/>
              <w:bottom w:val="single" w:sz="4" w:space="0" w:color="auto"/>
              <w:right w:val="single" w:sz="4" w:space="0" w:color="auto"/>
            </w:tcBorders>
            <w:shd w:val="clear" w:color="000000" w:fill="FFFFFF"/>
            <w:vAlign w:val="center"/>
          </w:tcPr>
          <w:p w14:paraId="4E639C4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重点工作履行情况</w:t>
            </w:r>
          </w:p>
        </w:tc>
        <w:tc>
          <w:tcPr>
            <w:tcW w:w="717" w:type="pct"/>
            <w:gridSpan w:val="5"/>
            <w:tcBorders>
              <w:top w:val="nil"/>
              <w:left w:val="nil"/>
              <w:bottom w:val="single" w:sz="4" w:space="0" w:color="auto"/>
              <w:right w:val="single" w:sz="4" w:space="0" w:color="auto"/>
            </w:tcBorders>
            <w:shd w:val="clear" w:color="000000" w:fill="FFFFFF"/>
            <w:vAlign w:val="center"/>
          </w:tcPr>
          <w:p w14:paraId="1E51AA97"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重点工作办结率</w:t>
            </w:r>
          </w:p>
        </w:tc>
        <w:tc>
          <w:tcPr>
            <w:tcW w:w="353" w:type="pct"/>
            <w:gridSpan w:val="2"/>
            <w:tcBorders>
              <w:top w:val="nil"/>
              <w:left w:val="nil"/>
              <w:bottom w:val="single" w:sz="4" w:space="0" w:color="auto"/>
              <w:right w:val="single" w:sz="4" w:space="0" w:color="auto"/>
            </w:tcBorders>
            <w:shd w:val="clear" w:color="000000" w:fill="FFFFFF"/>
            <w:vAlign w:val="center"/>
          </w:tcPr>
          <w:p w14:paraId="3C8A13D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noWrap/>
            <w:vAlign w:val="center"/>
          </w:tcPr>
          <w:p w14:paraId="32D39C80"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444" w:type="pct"/>
            <w:tcBorders>
              <w:top w:val="nil"/>
              <w:left w:val="nil"/>
              <w:bottom w:val="single" w:sz="4" w:space="0" w:color="auto"/>
              <w:right w:val="single" w:sz="4" w:space="0" w:color="auto"/>
            </w:tcBorders>
            <w:shd w:val="clear" w:color="000000" w:fill="FFFFFF"/>
            <w:vAlign w:val="center"/>
          </w:tcPr>
          <w:p w14:paraId="22D856C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2C37026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5C6B6FDE"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54F7E9A6"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7A1A41D1" w14:textId="77777777" w:rsidR="00445AD5" w:rsidRDefault="00445AD5">
            <w:pPr>
              <w:widowControl/>
              <w:jc w:val="left"/>
              <w:rPr>
                <w:rFonts w:ascii="宋体" w:hAnsi="宋体" w:cs="宋体"/>
                <w:color w:val="000000"/>
                <w:kern w:val="0"/>
                <w:sz w:val="20"/>
                <w:szCs w:val="20"/>
              </w:rPr>
            </w:pPr>
          </w:p>
        </w:tc>
        <w:tc>
          <w:tcPr>
            <w:tcW w:w="664" w:type="pct"/>
            <w:gridSpan w:val="5"/>
            <w:vMerge w:val="restart"/>
            <w:tcBorders>
              <w:top w:val="nil"/>
              <w:left w:val="single" w:sz="4" w:space="0" w:color="auto"/>
              <w:bottom w:val="single" w:sz="4" w:space="0" w:color="auto"/>
              <w:right w:val="single" w:sz="4" w:space="0" w:color="auto"/>
            </w:tcBorders>
            <w:shd w:val="clear" w:color="000000" w:fill="FFFFFF"/>
            <w:vAlign w:val="center"/>
          </w:tcPr>
          <w:p w14:paraId="25AD0CF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整体工作完成情况</w:t>
            </w:r>
          </w:p>
        </w:tc>
        <w:tc>
          <w:tcPr>
            <w:tcW w:w="717" w:type="pct"/>
            <w:gridSpan w:val="5"/>
            <w:tcBorders>
              <w:top w:val="nil"/>
              <w:left w:val="nil"/>
              <w:bottom w:val="single" w:sz="4" w:space="0" w:color="auto"/>
              <w:right w:val="single" w:sz="4" w:space="0" w:color="auto"/>
            </w:tcBorders>
            <w:shd w:val="clear" w:color="000000" w:fill="FFFFFF"/>
            <w:vAlign w:val="center"/>
          </w:tcPr>
          <w:p w14:paraId="6DECD174"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总体工作完成率</w:t>
            </w:r>
          </w:p>
        </w:tc>
        <w:tc>
          <w:tcPr>
            <w:tcW w:w="353" w:type="pct"/>
            <w:gridSpan w:val="2"/>
            <w:tcBorders>
              <w:top w:val="nil"/>
              <w:left w:val="nil"/>
              <w:bottom w:val="single" w:sz="4" w:space="0" w:color="auto"/>
              <w:right w:val="single" w:sz="4" w:space="0" w:color="auto"/>
            </w:tcBorders>
            <w:shd w:val="clear" w:color="000000" w:fill="FFFFFF"/>
            <w:vAlign w:val="center"/>
          </w:tcPr>
          <w:p w14:paraId="713AF0E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noWrap/>
            <w:vAlign w:val="center"/>
          </w:tcPr>
          <w:p w14:paraId="1FEE73CA"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444" w:type="pct"/>
            <w:tcBorders>
              <w:top w:val="nil"/>
              <w:left w:val="nil"/>
              <w:bottom w:val="single" w:sz="4" w:space="0" w:color="auto"/>
              <w:right w:val="single" w:sz="4" w:space="0" w:color="auto"/>
            </w:tcBorders>
            <w:shd w:val="clear" w:color="000000" w:fill="FFFFFF"/>
            <w:vAlign w:val="center"/>
          </w:tcPr>
          <w:p w14:paraId="2853216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4E1AE40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3253D7C4"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3DFCBCCD"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6CD79551" w14:textId="77777777" w:rsidR="00445AD5" w:rsidRDefault="00445AD5">
            <w:pPr>
              <w:widowControl/>
              <w:jc w:val="left"/>
              <w:rPr>
                <w:rFonts w:ascii="宋体" w:hAnsi="宋体" w:cs="宋体"/>
                <w:color w:val="000000"/>
                <w:kern w:val="0"/>
                <w:sz w:val="20"/>
                <w:szCs w:val="20"/>
              </w:rPr>
            </w:pPr>
          </w:p>
        </w:tc>
        <w:tc>
          <w:tcPr>
            <w:tcW w:w="664" w:type="pct"/>
            <w:gridSpan w:val="5"/>
            <w:vMerge/>
            <w:tcBorders>
              <w:top w:val="nil"/>
              <w:left w:val="single" w:sz="4" w:space="0" w:color="auto"/>
              <w:bottom w:val="single" w:sz="4" w:space="0" w:color="auto"/>
              <w:right w:val="single" w:sz="4" w:space="0" w:color="auto"/>
            </w:tcBorders>
            <w:vAlign w:val="center"/>
          </w:tcPr>
          <w:p w14:paraId="12B5EB9C" w14:textId="77777777" w:rsidR="00445AD5" w:rsidRDefault="00445AD5">
            <w:pPr>
              <w:widowControl/>
              <w:jc w:val="left"/>
              <w:rPr>
                <w:rFonts w:ascii="宋体" w:hAnsi="宋体" w:cs="宋体"/>
                <w:color w:val="000000"/>
                <w:kern w:val="0"/>
                <w:sz w:val="20"/>
                <w:szCs w:val="20"/>
              </w:rPr>
            </w:pPr>
          </w:p>
        </w:tc>
        <w:tc>
          <w:tcPr>
            <w:tcW w:w="717" w:type="pct"/>
            <w:gridSpan w:val="5"/>
            <w:tcBorders>
              <w:top w:val="nil"/>
              <w:left w:val="nil"/>
              <w:bottom w:val="single" w:sz="4" w:space="0" w:color="auto"/>
              <w:right w:val="single" w:sz="4" w:space="0" w:color="auto"/>
            </w:tcBorders>
            <w:shd w:val="clear" w:color="000000" w:fill="FFFFFF"/>
            <w:vAlign w:val="center"/>
          </w:tcPr>
          <w:p w14:paraId="1908AA82"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工作完成及时率</w:t>
            </w:r>
          </w:p>
        </w:tc>
        <w:tc>
          <w:tcPr>
            <w:tcW w:w="353" w:type="pct"/>
            <w:gridSpan w:val="2"/>
            <w:tcBorders>
              <w:top w:val="nil"/>
              <w:left w:val="nil"/>
              <w:bottom w:val="single" w:sz="4" w:space="0" w:color="auto"/>
              <w:right w:val="single" w:sz="4" w:space="0" w:color="auto"/>
            </w:tcBorders>
            <w:shd w:val="clear" w:color="000000" w:fill="FFFFFF"/>
            <w:vAlign w:val="center"/>
          </w:tcPr>
          <w:p w14:paraId="77A24B8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noWrap/>
            <w:vAlign w:val="center"/>
          </w:tcPr>
          <w:p w14:paraId="24A3C759"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444" w:type="pct"/>
            <w:tcBorders>
              <w:top w:val="nil"/>
              <w:left w:val="nil"/>
              <w:bottom w:val="single" w:sz="4" w:space="0" w:color="auto"/>
              <w:right w:val="single" w:sz="4" w:space="0" w:color="auto"/>
            </w:tcBorders>
            <w:shd w:val="clear" w:color="000000" w:fill="FFFFFF"/>
            <w:vAlign w:val="center"/>
          </w:tcPr>
          <w:p w14:paraId="704008A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796B66B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032891BB"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4794BFDF"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57EBB055" w14:textId="77777777" w:rsidR="00445AD5" w:rsidRDefault="00445AD5">
            <w:pPr>
              <w:widowControl/>
              <w:jc w:val="left"/>
              <w:rPr>
                <w:rFonts w:ascii="宋体" w:hAnsi="宋体" w:cs="宋体"/>
                <w:color w:val="000000"/>
                <w:kern w:val="0"/>
                <w:sz w:val="20"/>
                <w:szCs w:val="20"/>
              </w:rPr>
            </w:pPr>
          </w:p>
        </w:tc>
        <w:tc>
          <w:tcPr>
            <w:tcW w:w="664" w:type="pct"/>
            <w:gridSpan w:val="5"/>
            <w:vMerge/>
            <w:tcBorders>
              <w:top w:val="nil"/>
              <w:left w:val="single" w:sz="4" w:space="0" w:color="auto"/>
              <w:bottom w:val="single" w:sz="4" w:space="0" w:color="auto"/>
              <w:right w:val="single" w:sz="4" w:space="0" w:color="auto"/>
            </w:tcBorders>
            <w:vAlign w:val="center"/>
          </w:tcPr>
          <w:p w14:paraId="5EB41A20" w14:textId="77777777" w:rsidR="00445AD5" w:rsidRDefault="00445AD5">
            <w:pPr>
              <w:widowControl/>
              <w:jc w:val="left"/>
              <w:rPr>
                <w:rFonts w:ascii="宋体" w:hAnsi="宋体" w:cs="宋体"/>
                <w:color w:val="000000"/>
                <w:kern w:val="0"/>
                <w:sz w:val="20"/>
                <w:szCs w:val="20"/>
              </w:rPr>
            </w:pPr>
          </w:p>
        </w:tc>
        <w:tc>
          <w:tcPr>
            <w:tcW w:w="717" w:type="pct"/>
            <w:gridSpan w:val="5"/>
            <w:tcBorders>
              <w:top w:val="nil"/>
              <w:left w:val="nil"/>
              <w:bottom w:val="single" w:sz="4" w:space="0" w:color="auto"/>
              <w:right w:val="single" w:sz="4" w:space="0" w:color="auto"/>
            </w:tcBorders>
            <w:shd w:val="clear" w:color="000000" w:fill="FFFFFF"/>
            <w:vAlign w:val="center"/>
          </w:tcPr>
          <w:p w14:paraId="3D33D329"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工作质量达标率</w:t>
            </w:r>
          </w:p>
        </w:tc>
        <w:tc>
          <w:tcPr>
            <w:tcW w:w="353" w:type="pct"/>
            <w:gridSpan w:val="2"/>
            <w:tcBorders>
              <w:top w:val="nil"/>
              <w:left w:val="nil"/>
              <w:bottom w:val="single" w:sz="4" w:space="0" w:color="auto"/>
              <w:right w:val="single" w:sz="4" w:space="0" w:color="auto"/>
            </w:tcBorders>
            <w:shd w:val="clear" w:color="000000" w:fill="FFFFFF"/>
            <w:vAlign w:val="center"/>
          </w:tcPr>
          <w:p w14:paraId="285E4B5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noWrap/>
            <w:vAlign w:val="center"/>
          </w:tcPr>
          <w:p w14:paraId="4477DDB3"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444" w:type="pct"/>
            <w:tcBorders>
              <w:top w:val="nil"/>
              <w:left w:val="nil"/>
              <w:bottom w:val="single" w:sz="4" w:space="0" w:color="auto"/>
              <w:right w:val="single" w:sz="4" w:space="0" w:color="auto"/>
            </w:tcBorders>
            <w:shd w:val="clear" w:color="000000" w:fill="FFFFFF"/>
            <w:vAlign w:val="center"/>
          </w:tcPr>
          <w:p w14:paraId="6A0F53B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4BFA94B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6C3BCB9A"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6B465EEF"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25FD7A7B" w14:textId="77777777" w:rsidR="00445AD5" w:rsidRDefault="00445AD5">
            <w:pPr>
              <w:widowControl/>
              <w:jc w:val="left"/>
              <w:rPr>
                <w:rFonts w:ascii="宋体" w:hAnsi="宋体" w:cs="宋体"/>
                <w:color w:val="000000"/>
                <w:kern w:val="0"/>
                <w:sz w:val="20"/>
                <w:szCs w:val="20"/>
              </w:rPr>
            </w:pPr>
          </w:p>
        </w:tc>
        <w:tc>
          <w:tcPr>
            <w:tcW w:w="664" w:type="pct"/>
            <w:gridSpan w:val="5"/>
            <w:vMerge w:val="restart"/>
            <w:tcBorders>
              <w:top w:val="nil"/>
              <w:left w:val="single" w:sz="4" w:space="0" w:color="auto"/>
              <w:bottom w:val="single" w:sz="4" w:space="0" w:color="auto"/>
              <w:right w:val="single" w:sz="4" w:space="0" w:color="auto"/>
            </w:tcBorders>
            <w:shd w:val="clear" w:color="000000" w:fill="FFFFFF"/>
            <w:vAlign w:val="center"/>
          </w:tcPr>
          <w:p w14:paraId="215EB4A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基础管理</w:t>
            </w:r>
          </w:p>
        </w:tc>
        <w:tc>
          <w:tcPr>
            <w:tcW w:w="717" w:type="pct"/>
            <w:gridSpan w:val="5"/>
            <w:tcBorders>
              <w:top w:val="nil"/>
              <w:left w:val="nil"/>
              <w:bottom w:val="single" w:sz="4" w:space="0" w:color="auto"/>
              <w:right w:val="single" w:sz="4" w:space="0" w:color="auto"/>
            </w:tcBorders>
            <w:shd w:val="clear" w:color="000000" w:fill="FFFFFF"/>
            <w:vAlign w:val="center"/>
          </w:tcPr>
          <w:p w14:paraId="46639AD6"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依法行政能力</w:t>
            </w:r>
          </w:p>
        </w:tc>
        <w:tc>
          <w:tcPr>
            <w:tcW w:w="353" w:type="pct"/>
            <w:gridSpan w:val="2"/>
            <w:tcBorders>
              <w:top w:val="nil"/>
              <w:left w:val="nil"/>
              <w:bottom w:val="single" w:sz="4" w:space="0" w:color="auto"/>
              <w:right w:val="single" w:sz="4" w:space="0" w:color="auto"/>
            </w:tcBorders>
            <w:shd w:val="clear" w:color="000000" w:fill="FFFFFF"/>
            <w:vAlign w:val="center"/>
          </w:tcPr>
          <w:p w14:paraId="02FF0B6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noWrap/>
            <w:vAlign w:val="center"/>
          </w:tcPr>
          <w:p w14:paraId="64FDCF8A"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444" w:type="pct"/>
            <w:tcBorders>
              <w:top w:val="nil"/>
              <w:left w:val="nil"/>
              <w:bottom w:val="single" w:sz="4" w:space="0" w:color="auto"/>
              <w:right w:val="single" w:sz="4" w:space="0" w:color="auto"/>
            </w:tcBorders>
            <w:shd w:val="clear" w:color="000000" w:fill="FFFFFF"/>
            <w:vAlign w:val="center"/>
          </w:tcPr>
          <w:p w14:paraId="589FD20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pct"/>
            <w:tcBorders>
              <w:top w:val="nil"/>
              <w:left w:val="nil"/>
              <w:bottom w:val="single" w:sz="4" w:space="0" w:color="auto"/>
              <w:right w:val="single" w:sz="4" w:space="0" w:color="auto"/>
            </w:tcBorders>
            <w:shd w:val="clear" w:color="000000" w:fill="FFFFFF"/>
            <w:noWrap/>
            <w:vAlign w:val="center"/>
          </w:tcPr>
          <w:p w14:paraId="7E6827E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51FAF63F"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734E90A4"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435C2D55" w14:textId="77777777" w:rsidR="00445AD5" w:rsidRDefault="00445AD5">
            <w:pPr>
              <w:widowControl/>
              <w:jc w:val="left"/>
              <w:rPr>
                <w:rFonts w:ascii="宋体" w:hAnsi="宋体" w:cs="宋体"/>
                <w:color w:val="000000"/>
                <w:kern w:val="0"/>
                <w:sz w:val="20"/>
                <w:szCs w:val="20"/>
              </w:rPr>
            </w:pPr>
          </w:p>
        </w:tc>
        <w:tc>
          <w:tcPr>
            <w:tcW w:w="664" w:type="pct"/>
            <w:gridSpan w:val="5"/>
            <w:vMerge/>
            <w:tcBorders>
              <w:top w:val="nil"/>
              <w:left w:val="single" w:sz="4" w:space="0" w:color="auto"/>
              <w:bottom w:val="single" w:sz="4" w:space="0" w:color="auto"/>
              <w:right w:val="single" w:sz="4" w:space="0" w:color="auto"/>
            </w:tcBorders>
            <w:vAlign w:val="center"/>
          </w:tcPr>
          <w:p w14:paraId="00463C93" w14:textId="77777777" w:rsidR="00445AD5" w:rsidRDefault="00445AD5">
            <w:pPr>
              <w:widowControl/>
              <w:jc w:val="left"/>
              <w:rPr>
                <w:rFonts w:ascii="宋体" w:hAnsi="宋体" w:cs="宋体"/>
                <w:color w:val="000000"/>
                <w:kern w:val="0"/>
                <w:sz w:val="20"/>
                <w:szCs w:val="20"/>
              </w:rPr>
            </w:pPr>
          </w:p>
        </w:tc>
        <w:tc>
          <w:tcPr>
            <w:tcW w:w="717" w:type="pct"/>
            <w:gridSpan w:val="5"/>
            <w:tcBorders>
              <w:top w:val="nil"/>
              <w:left w:val="nil"/>
              <w:bottom w:val="single" w:sz="4" w:space="0" w:color="auto"/>
              <w:right w:val="single" w:sz="4" w:space="0" w:color="auto"/>
            </w:tcBorders>
            <w:shd w:val="clear" w:color="000000" w:fill="FFFFFF"/>
            <w:vAlign w:val="center"/>
          </w:tcPr>
          <w:p w14:paraId="12176DD4"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综合管理水平</w:t>
            </w:r>
          </w:p>
        </w:tc>
        <w:tc>
          <w:tcPr>
            <w:tcW w:w="353" w:type="pct"/>
            <w:gridSpan w:val="2"/>
            <w:tcBorders>
              <w:top w:val="nil"/>
              <w:left w:val="nil"/>
              <w:bottom w:val="single" w:sz="4" w:space="0" w:color="auto"/>
              <w:right w:val="single" w:sz="4" w:space="0" w:color="auto"/>
            </w:tcBorders>
            <w:shd w:val="clear" w:color="000000" w:fill="FFFFFF"/>
            <w:vAlign w:val="center"/>
          </w:tcPr>
          <w:p w14:paraId="54E347B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noWrap/>
            <w:vAlign w:val="center"/>
          </w:tcPr>
          <w:p w14:paraId="19E4D017"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444" w:type="pct"/>
            <w:tcBorders>
              <w:top w:val="nil"/>
              <w:left w:val="nil"/>
              <w:bottom w:val="single" w:sz="4" w:space="0" w:color="auto"/>
              <w:right w:val="single" w:sz="4" w:space="0" w:color="auto"/>
            </w:tcBorders>
            <w:shd w:val="clear" w:color="000000" w:fill="FFFFFF"/>
            <w:vAlign w:val="center"/>
          </w:tcPr>
          <w:p w14:paraId="42981B0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pct"/>
            <w:tcBorders>
              <w:top w:val="nil"/>
              <w:left w:val="nil"/>
              <w:bottom w:val="single" w:sz="4" w:space="0" w:color="auto"/>
              <w:right w:val="single" w:sz="4" w:space="0" w:color="auto"/>
            </w:tcBorders>
            <w:shd w:val="clear" w:color="000000" w:fill="FFFFFF"/>
            <w:noWrap/>
            <w:vAlign w:val="center"/>
          </w:tcPr>
          <w:p w14:paraId="735C412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0660F048"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619742FA" w14:textId="77777777" w:rsidR="00445AD5" w:rsidRDefault="00445AD5">
            <w:pPr>
              <w:widowControl/>
              <w:jc w:val="left"/>
              <w:rPr>
                <w:rFonts w:ascii="宋体" w:hAnsi="宋体" w:cs="宋体"/>
                <w:b/>
                <w:bCs/>
                <w:color w:val="000000"/>
                <w:kern w:val="0"/>
                <w:sz w:val="20"/>
                <w:szCs w:val="20"/>
              </w:rPr>
            </w:pPr>
          </w:p>
        </w:tc>
        <w:tc>
          <w:tcPr>
            <w:tcW w:w="936" w:type="pct"/>
            <w:gridSpan w:val="5"/>
            <w:vMerge w:val="restart"/>
            <w:tcBorders>
              <w:top w:val="nil"/>
              <w:left w:val="single" w:sz="4" w:space="0" w:color="auto"/>
              <w:bottom w:val="single" w:sz="4" w:space="0" w:color="auto"/>
              <w:right w:val="single" w:sz="4" w:space="0" w:color="auto"/>
            </w:tcBorders>
            <w:shd w:val="clear" w:color="000000" w:fill="FFFFFF"/>
            <w:vAlign w:val="center"/>
          </w:tcPr>
          <w:p w14:paraId="496B843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w:t>
            </w:r>
          </w:p>
        </w:tc>
        <w:tc>
          <w:tcPr>
            <w:tcW w:w="664" w:type="pct"/>
            <w:gridSpan w:val="5"/>
            <w:vMerge w:val="restart"/>
            <w:tcBorders>
              <w:top w:val="nil"/>
              <w:left w:val="single" w:sz="4" w:space="0" w:color="auto"/>
              <w:bottom w:val="single" w:sz="4" w:space="0" w:color="auto"/>
              <w:right w:val="single" w:sz="4" w:space="0" w:color="auto"/>
            </w:tcBorders>
            <w:shd w:val="clear" w:color="000000" w:fill="FFFFFF"/>
            <w:vAlign w:val="center"/>
          </w:tcPr>
          <w:p w14:paraId="2B9B187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预算执行效率</w:t>
            </w:r>
          </w:p>
        </w:tc>
        <w:tc>
          <w:tcPr>
            <w:tcW w:w="717" w:type="pct"/>
            <w:gridSpan w:val="5"/>
            <w:tcBorders>
              <w:top w:val="nil"/>
              <w:left w:val="nil"/>
              <w:bottom w:val="single" w:sz="4" w:space="0" w:color="auto"/>
              <w:right w:val="single" w:sz="4" w:space="0" w:color="auto"/>
            </w:tcBorders>
            <w:shd w:val="clear" w:color="000000" w:fill="FFFFFF"/>
            <w:vAlign w:val="center"/>
          </w:tcPr>
          <w:p w14:paraId="7DA14650"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结转结余变动率</w:t>
            </w:r>
          </w:p>
        </w:tc>
        <w:tc>
          <w:tcPr>
            <w:tcW w:w="353" w:type="pct"/>
            <w:gridSpan w:val="2"/>
            <w:tcBorders>
              <w:top w:val="nil"/>
              <w:left w:val="nil"/>
              <w:bottom w:val="single" w:sz="4" w:space="0" w:color="auto"/>
              <w:right w:val="single" w:sz="4" w:space="0" w:color="auto"/>
            </w:tcBorders>
            <w:shd w:val="clear" w:color="000000" w:fill="FFFFFF"/>
            <w:vAlign w:val="center"/>
          </w:tcPr>
          <w:p w14:paraId="48D3EEA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357" w:type="pct"/>
            <w:tcBorders>
              <w:top w:val="nil"/>
              <w:left w:val="nil"/>
              <w:bottom w:val="single" w:sz="4" w:space="0" w:color="auto"/>
              <w:right w:val="single" w:sz="4" w:space="0" w:color="auto"/>
            </w:tcBorders>
            <w:shd w:val="clear" w:color="000000" w:fill="FFFFFF"/>
            <w:noWrap/>
            <w:vAlign w:val="center"/>
          </w:tcPr>
          <w:p w14:paraId="4E2500E3"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444" w:type="pct"/>
            <w:tcBorders>
              <w:top w:val="nil"/>
              <w:left w:val="nil"/>
              <w:bottom w:val="single" w:sz="4" w:space="0" w:color="auto"/>
              <w:right w:val="single" w:sz="4" w:space="0" w:color="auto"/>
            </w:tcBorders>
            <w:shd w:val="clear" w:color="000000" w:fill="FFFFFF"/>
            <w:vAlign w:val="center"/>
          </w:tcPr>
          <w:p w14:paraId="1371B64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345938D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144F1C2E"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0B8CC8CD"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57C7D278" w14:textId="77777777" w:rsidR="00445AD5" w:rsidRDefault="00445AD5">
            <w:pPr>
              <w:widowControl/>
              <w:jc w:val="left"/>
              <w:rPr>
                <w:rFonts w:ascii="宋体" w:hAnsi="宋体" w:cs="宋体"/>
                <w:color w:val="000000"/>
                <w:kern w:val="0"/>
                <w:sz w:val="20"/>
                <w:szCs w:val="20"/>
              </w:rPr>
            </w:pPr>
          </w:p>
        </w:tc>
        <w:tc>
          <w:tcPr>
            <w:tcW w:w="664" w:type="pct"/>
            <w:gridSpan w:val="5"/>
            <w:vMerge/>
            <w:tcBorders>
              <w:top w:val="nil"/>
              <w:left w:val="single" w:sz="4" w:space="0" w:color="auto"/>
              <w:bottom w:val="single" w:sz="4" w:space="0" w:color="auto"/>
              <w:right w:val="single" w:sz="4" w:space="0" w:color="auto"/>
            </w:tcBorders>
            <w:vAlign w:val="center"/>
          </w:tcPr>
          <w:p w14:paraId="0A5BAF4C" w14:textId="77777777" w:rsidR="00445AD5" w:rsidRDefault="00445AD5">
            <w:pPr>
              <w:widowControl/>
              <w:jc w:val="left"/>
              <w:rPr>
                <w:rFonts w:ascii="宋体" w:hAnsi="宋体" w:cs="宋体"/>
                <w:color w:val="000000"/>
                <w:kern w:val="0"/>
                <w:sz w:val="20"/>
                <w:szCs w:val="20"/>
              </w:rPr>
            </w:pPr>
          </w:p>
        </w:tc>
        <w:tc>
          <w:tcPr>
            <w:tcW w:w="717" w:type="pct"/>
            <w:gridSpan w:val="5"/>
            <w:tcBorders>
              <w:top w:val="nil"/>
              <w:left w:val="nil"/>
              <w:bottom w:val="single" w:sz="4" w:space="0" w:color="auto"/>
              <w:right w:val="single" w:sz="4" w:space="0" w:color="auto"/>
            </w:tcBorders>
            <w:shd w:val="clear" w:color="000000" w:fill="FFFFFF"/>
            <w:vAlign w:val="center"/>
          </w:tcPr>
          <w:p w14:paraId="2F428270"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预算调整率</w:t>
            </w:r>
          </w:p>
        </w:tc>
        <w:tc>
          <w:tcPr>
            <w:tcW w:w="353" w:type="pct"/>
            <w:gridSpan w:val="2"/>
            <w:tcBorders>
              <w:top w:val="nil"/>
              <w:left w:val="nil"/>
              <w:bottom w:val="single" w:sz="4" w:space="0" w:color="auto"/>
              <w:right w:val="single" w:sz="4" w:space="0" w:color="auto"/>
            </w:tcBorders>
            <w:shd w:val="clear" w:color="000000" w:fill="FFFFFF"/>
            <w:vAlign w:val="center"/>
          </w:tcPr>
          <w:p w14:paraId="382D7AD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357" w:type="pct"/>
            <w:tcBorders>
              <w:top w:val="nil"/>
              <w:left w:val="nil"/>
              <w:bottom w:val="single" w:sz="4" w:space="0" w:color="auto"/>
              <w:right w:val="single" w:sz="4" w:space="0" w:color="auto"/>
            </w:tcBorders>
            <w:shd w:val="clear" w:color="000000" w:fill="FFFFFF"/>
            <w:noWrap/>
            <w:vAlign w:val="center"/>
          </w:tcPr>
          <w:p w14:paraId="2BD8930D"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5</w:t>
            </w:r>
          </w:p>
        </w:tc>
        <w:tc>
          <w:tcPr>
            <w:tcW w:w="444" w:type="pct"/>
            <w:tcBorders>
              <w:top w:val="nil"/>
              <w:left w:val="nil"/>
              <w:bottom w:val="single" w:sz="4" w:space="0" w:color="auto"/>
              <w:right w:val="single" w:sz="4" w:space="0" w:color="auto"/>
            </w:tcBorders>
            <w:shd w:val="clear" w:color="000000" w:fill="FFFFFF"/>
            <w:vAlign w:val="center"/>
          </w:tcPr>
          <w:p w14:paraId="4968EB4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3CF4B27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44BEF3A2"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4FABC019" w14:textId="77777777" w:rsidR="00445AD5" w:rsidRDefault="00445AD5">
            <w:pPr>
              <w:widowControl/>
              <w:jc w:val="left"/>
              <w:rPr>
                <w:rFonts w:ascii="宋体" w:hAnsi="宋体" w:cs="宋体"/>
                <w:b/>
                <w:bCs/>
                <w:color w:val="000000"/>
                <w:kern w:val="0"/>
                <w:sz w:val="20"/>
                <w:szCs w:val="20"/>
              </w:rPr>
            </w:pPr>
          </w:p>
        </w:tc>
        <w:tc>
          <w:tcPr>
            <w:tcW w:w="936" w:type="pct"/>
            <w:gridSpan w:val="5"/>
            <w:vMerge w:val="restart"/>
            <w:tcBorders>
              <w:top w:val="nil"/>
              <w:left w:val="single" w:sz="4" w:space="0" w:color="auto"/>
              <w:bottom w:val="single" w:sz="4" w:space="0" w:color="auto"/>
              <w:right w:val="single" w:sz="4" w:space="0" w:color="auto"/>
            </w:tcBorders>
            <w:shd w:val="clear" w:color="000000" w:fill="FFFFFF"/>
            <w:vAlign w:val="center"/>
          </w:tcPr>
          <w:p w14:paraId="7692EE8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管理效率</w:t>
            </w:r>
          </w:p>
        </w:tc>
        <w:tc>
          <w:tcPr>
            <w:tcW w:w="664" w:type="pct"/>
            <w:gridSpan w:val="5"/>
            <w:tcBorders>
              <w:top w:val="nil"/>
              <w:left w:val="nil"/>
              <w:bottom w:val="single" w:sz="4" w:space="0" w:color="auto"/>
              <w:right w:val="single" w:sz="4" w:space="0" w:color="auto"/>
            </w:tcBorders>
            <w:shd w:val="clear" w:color="000000" w:fill="FFFFFF"/>
            <w:vAlign w:val="center"/>
          </w:tcPr>
          <w:p w14:paraId="7BE8CAC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预算编制管理</w:t>
            </w:r>
          </w:p>
        </w:tc>
        <w:tc>
          <w:tcPr>
            <w:tcW w:w="717" w:type="pct"/>
            <w:gridSpan w:val="5"/>
            <w:tcBorders>
              <w:top w:val="nil"/>
              <w:left w:val="nil"/>
              <w:bottom w:val="single" w:sz="4" w:space="0" w:color="auto"/>
              <w:right w:val="single" w:sz="4" w:space="0" w:color="auto"/>
            </w:tcBorders>
            <w:shd w:val="clear" w:color="000000" w:fill="FFFFFF"/>
            <w:vAlign w:val="center"/>
          </w:tcPr>
          <w:p w14:paraId="13E75E14"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预算绩效目标覆盖率</w:t>
            </w:r>
          </w:p>
        </w:tc>
        <w:tc>
          <w:tcPr>
            <w:tcW w:w="353" w:type="pct"/>
            <w:gridSpan w:val="2"/>
            <w:tcBorders>
              <w:top w:val="nil"/>
              <w:left w:val="nil"/>
              <w:bottom w:val="single" w:sz="4" w:space="0" w:color="auto"/>
              <w:right w:val="single" w:sz="4" w:space="0" w:color="auto"/>
            </w:tcBorders>
            <w:shd w:val="clear" w:color="000000" w:fill="FFFFFF"/>
            <w:vAlign w:val="center"/>
          </w:tcPr>
          <w:p w14:paraId="371B07D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noWrap/>
            <w:vAlign w:val="center"/>
          </w:tcPr>
          <w:p w14:paraId="007C4B30"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444" w:type="pct"/>
            <w:tcBorders>
              <w:top w:val="nil"/>
              <w:left w:val="nil"/>
              <w:bottom w:val="single" w:sz="4" w:space="0" w:color="auto"/>
              <w:right w:val="single" w:sz="4" w:space="0" w:color="auto"/>
            </w:tcBorders>
            <w:shd w:val="clear" w:color="000000" w:fill="FFFFFF"/>
            <w:vAlign w:val="center"/>
          </w:tcPr>
          <w:p w14:paraId="1E29F1F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2EBCD66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21A33CE8"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38669E11"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1EFA54A6" w14:textId="77777777" w:rsidR="00445AD5" w:rsidRDefault="00445AD5">
            <w:pPr>
              <w:widowControl/>
              <w:jc w:val="left"/>
              <w:rPr>
                <w:rFonts w:ascii="宋体" w:hAnsi="宋体" w:cs="宋体"/>
                <w:color w:val="000000"/>
                <w:kern w:val="0"/>
                <w:sz w:val="20"/>
                <w:szCs w:val="20"/>
              </w:rPr>
            </w:pPr>
          </w:p>
        </w:tc>
        <w:tc>
          <w:tcPr>
            <w:tcW w:w="664" w:type="pct"/>
            <w:gridSpan w:val="5"/>
            <w:tcBorders>
              <w:top w:val="nil"/>
              <w:left w:val="nil"/>
              <w:bottom w:val="single" w:sz="4" w:space="0" w:color="auto"/>
              <w:right w:val="single" w:sz="4" w:space="0" w:color="auto"/>
            </w:tcBorders>
            <w:shd w:val="clear" w:color="000000" w:fill="FFFFFF"/>
            <w:vAlign w:val="center"/>
          </w:tcPr>
          <w:p w14:paraId="5CFD644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预算监督管理</w:t>
            </w:r>
          </w:p>
        </w:tc>
        <w:tc>
          <w:tcPr>
            <w:tcW w:w="717" w:type="pct"/>
            <w:gridSpan w:val="5"/>
            <w:tcBorders>
              <w:top w:val="nil"/>
              <w:left w:val="nil"/>
              <w:bottom w:val="single" w:sz="4" w:space="0" w:color="auto"/>
              <w:right w:val="single" w:sz="4" w:space="0" w:color="auto"/>
            </w:tcBorders>
            <w:shd w:val="clear" w:color="000000" w:fill="FFFFFF"/>
            <w:vAlign w:val="center"/>
          </w:tcPr>
          <w:p w14:paraId="4206B22E"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预决算公开情况</w:t>
            </w:r>
          </w:p>
        </w:tc>
        <w:tc>
          <w:tcPr>
            <w:tcW w:w="353" w:type="pct"/>
            <w:gridSpan w:val="2"/>
            <w:tcBorders>
              <w:top w:val="nil"/>
              <w:left w:val="nil"/>
              <w:bottom w:val="single" w:sz="4" w:space="0" w:color="auto"/>
              <w:right w:val="single" w:sz="4" w:space="0" w:color="auto"/>
            </w:tcBorders>
            <w:shd w:val="clear" w:color="000000" w:fill="FFFFFF"/>
            <w:vAlign w:val="center"/>
          </w:tcPr>
          <w:p w14:paraId="4EAAEA3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noWrap/>
            <w:vAlign w:val="center"/>
          </w:tcPr>
          <w:p w14:paraId="2F724B00"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全部公开</w:t>
            </w:r>
          </w:p>
        </w:tc>
        <w:tc>
          <w:tcPr>
            <w:tcW w:w="444" w:type="pct"/>
            <w:tcBorders>
              <w:top w:val="nil"/>
              <w:left w:val="nil"/>
              <w:bottom w:val="single" w:sz="4" w:space="0" w:color="auto"/>
              <w:right w:val="single" w:sz="4" w:space="0" w:color="auto"/>
            </w:tcBorders>
            <w:shd w:val="clear" w:color="000000" w:fill="FFFFFF"/>
            <w:vAlign w:val="center"/>
          </w:tcPr>
          <w:p w14:paraId="347807B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pct"/>
            <w:tcBorders>
              <w:top w:val="nil"/>
              <w:left w:val="nil"/>
              <w:bottom w:val="single" w:sz="4" w:space="0" w:color="auto"/>
              <w:right w:val="single" w:sz="4" w:space="0" w:color="auto"/>
            </w:tcBorders>
            <w:shd w:val="clear" w:color="000000" w:fill="FFFFFF"/>
            <w:noWrap/>
            <w:vAlign w:val="center"/>
          </w:tcPr>
          <w:p w14:paraId="1465008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31750072"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225EAF66"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6B492E30" w14:textId="77777777" w:rsidR="00445AD5" w:rsidRDefault="00445AD5">
            <w:pPr>
              <w:widowControl/>
              <w:jc w:val="left"/>
              <w:rPr>
                <w:rFonts w:ascii="宋体" w:hAnsi="宋体" w:cs="宋体"/>
                <w:color w:val="000000"/>
                <w:kern w:val="0"/>
                <w:sz w:val="20"/>
                <w:szCs w:val="20"/>
              </w:rPr>
            </w:pPr>
          </w:p>
        </w:tc>
        <w:tc>
          <w:tcPr>
            <w:tcW w:w="664" w:type="pct"/>
            <w:gridSpan w:val="5"/>
            <w:tcBorders>
              <w:top w:val="nil"/>
              <w:left w:val="nil"/>
              <w:bottom w:val="single" w:sz="4" w:space="0" w:color="auto"/>
              <w:right w:val="single" w:sz="4" w:space="0" w:color="auto"/>
            </w:tcBorders>
            <w:shd w:val="clear" w:color="000000" w:fill="FFFFFF"/>
            <w:vAlign w:val="center"/>
          </w:tcPr>
          <w:p w14:paraId="339319B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预算收支管理</w:t>
            </w:r>
          </w:p>
        </w:tc>
        <w:tc>
          <w:tcPr>
            <w:tcW w:w="717" w:type="pct"/>
            <w:gridSpan w:val="5"/>
            <w:tcBorders>
              <w:top w:val="nil"/>
              <w:left w:val="nil"/>
              <w:bottom w:val="single" w:sz="4" w:space="0" w:color="auto"/>
              <w:right w:val="single" w:sz="4" w:space="0" w:color="auto"/>
            </w:tcBorders>
            <w:shd w:val="clear" w:color="000000" w:fill="FFFFFF"/>
            <w:vAlign w:val="center"/>
          </w:tcPr>
          <w:p w14:paraId="11D62766"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预算收入管理规范性</w:t>
            </w:r>
          </w:p>
        </w:tc>
        <w:tc>
          <w:tcPr>
            <w:tcW w:w="353" w:type="pct"/>
            <w:gridSpan w:val="2"/>
            <w:tcBorders>
              <w:top w:val="nil"/>
              <w:left w:val="nil"/>
              <w:bottom w:val="single" w:sz="4" w:space="0" w:color="auto"/>
              <w:right w:val="single" w:sz="4" w:space="0" w:color="auto"/>
            </w:tcBorders>
            <w:shd w:val="clear" w:color="000000" w:fill="FFFFFF"/>
            <w:vAlign w:val="center"/>
          </w:tcPr>
          <w:p w14:paraId="3F02024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noWrap/>
            <w:vAlign w:val="center"/>
          </w:tcPr>
          <w:p w14:paraId="56228119"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444" w:type="pct"/>
            <w:tcBorders>
              <w:top w:val="nil"/>
              <w:left w:val="nil"/>
              <w:bottom w:val="single" w:sz="4" w:space="0" w:color="auto"/>
              <w:right w:val="single" w:sz="4" w:space="0" w:color="auto"/>
            </w:tcBorders>
            <w:shd w:val="clear" w:color="000000" w:fill="FFFFFF"/>
            <w:vAlign w:val="center"/>
          </w:tcPr>
          <w:p w14:paraId="342D602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pct"/>
            <w:tcBorders>
              <w:top w:val="nil"/>
              <w:left w:val="nil"/>
              <w:bottom w:val="single" w:sz="4" w:space="0" w:color="auto"/>
              <w:right w:val="single" w:sz="4" w:space="0" w:color="auto"/>
            </w:tcBorders>
            <w:shd w:val="clear" w:color="000000" w:fill="FFFFFF"/>
            <w:noWrap/>
            <w:vAlign w:val="center"/>
          </w:tcPr>
          <w:p w14:paraId="3A3C9DD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64F093B2"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5C04142F"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131B1D4B" w14:textId="77777777" w:rsidR="00445AD5" w:rsidRDefault="00445AD5">
            <w:pPr>
              <w:widowControl/>
              <w:jc w:val="left"/>
              <w:rPr>
                <w:rFonts w:ascii="宋体" w:hAnsi="宋体" w:cs="宋体"/>
                <w:color w:val="000000"/>
                <w:kern w:val="0"/>
                <w:sz w:val="20"/>
                <w:szCs w:val="20"/>
              </w:rPr>
            </w:pPr>
          </w:p>
        </w:tc>
        <w:tc>
          <w:tcPr>
            <w:tcW w:w="664" w:type="pct"/>
            <w:gridSpan w:val="5"/>
            <w:tcBorders>
              <w:top w:val="nil"/>
              <w:left w:val="nil"/>
              <w:bottom w:val="single" w:sz="4" w:space="0" w:color="auto"/>
              <w:right w:val="single" w:sz="4" w:space="0" w:color="auto"/>
            </w:tcBorders>
            <w:shd w:val="clear" w:color="000000" w:fill="FFFFFF"/>
            <w:vAlign w:val="center"/>
          </w:tcPr>
          <w:p w14:paraId="1496A47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w:t>
            </w:r>
          </w:p>
        </w:tc>
        <w:tc>
          <w:tcPr>
            <w:tcW w:w="717" w:type="pct"/>
            <w:gridSpan w:val="5"/>
            <w:tcBorders>
              <w:top w:val="nil"/>
              <w:left w:val="nil"/>
              <w:bottom w:val="single" w:sz="4" w:space="0" w:color="auto"/>
              <w:right w:val="single" w:sz="4" w:space="0" w:color="auto"/>
            </w:tcBorders>
            <w:shd w:val="clear" w:color="000000" w:fill="FFFFFF"/>
            <w:vAlign w:val="center"/>
          </w:tcPr>
          <w:p w14:paraId="2436C675"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内控制度有效性</w:t>
            </w:r>
          </w:p>
        </w:tc>
        <w:tc>
          <w:tcPr>
            <w:tcW w:w="353" w:type="pct"/>
            <w:gridSpan w:val="2"/>
            <w:tcBorders>
              <w:top w:val="nil"/>
              <w:left w:val="nil"/>
              <w:bottom w:val="single" w:sz="4" w:space="0" w:color="auto"/>
              <w:right w:val="single" w:sz="4" w:space="0" w:color="auto"/>
            </w:tcBorders>
            <w:shd w:val="clear" w:color="000000" w:fill="FFFFFF"/>
            <w:vAlign w:val="center"/>
          </w:tcPr>
          <w:p w14:paraId="3025281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noWrap/>
            <w:vAlign w:val="center"/>
          </w:tcPr>
          <w:p w14:paraId="519E47F6"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制度有效</w:t>
            </w:r>
          </w:p>
        </w:tc>
        <w:tc>
          <w:tcPr>
            <w:tcW w:w="444" w:type="pct"/>
            <w:tcBorders>
              <w:top w:val="nil"/>
              <w:left w:val="nil"/>
              <w:bottom w:val="single" w:sz="4" w:space="0" w:color="auto"/>
              <w:right w:val="single" w:sz="4" w:space="0" w:color="auto"/>
            </w:tcBorders>
            <w:shd w:val="clear" w:color="000000" w:fill="FFFFFF"/>
            <w:vAlign w:val="center"/>
          </w:tcPr>
          <w:p w14:paraId="34BD024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pct"/>
            <w:tcBorders>
              <w:top w:val="nil"/>
              <w:left w:val="nil"/>
              <w:bottom w:val="single" w:sz="4" w:space="0" w:color="auto"/>
              <w:right w:val="single" w:sz="4" w:space="0" w:color="auto"/>
            </w:tcBorders>
            <w:shd w:val="clear" w:color="000000" w:fill="FFFFFF"/>
            <w:noWrap/>
            <w:vAlign w:val="center"/>
          </w:tcPr>
          <w:p w14:paraId="59B34DB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16DE6BBB"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61A50DCE"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5B353EEF" w14:textId="77777777" w:rsidR="00445AD5" w:rsidRDefault="00445AD5">
            <w:pPr>
              <w:widowControl/>
              <w:jc w:val="left"/>
              <w:rPr>
                <w:rFonts w:ascii="宋体" w:hAnsi="宋体" w:cs="宋体"/>
                <w:color w:val="000000"/>
                <w:kern w:val="0"/>
                <w:sz w:val="20"/>
                <w:szCs w:val="20"/>
              </w:rPr>
            </w:pPr>
          </w:p>
        </w:tc>
        <w:tc>
          <w:tcPr>
            <w:tcW w:w="664" w:type="pct"/>
            <w:gridSpan w:val="5"/>
            <w:tcBorders>
              <w:top w:val="nil"/>
              <w:left w:val="nil"/>
              <w:bottom w:val="single" w:sz="4" w:space="0" w:color="auto"/>
              <w:right w:val="single" w:sz="4" w:space="0" w:color="auto"/>
            </w:tcBorders>
            <w:shd w:val="clear" w:color="000000" w:fill="FFFFFF"/>
            <w:vAlign w:val="center"/>
          </w:tcPr>
          <w:p w14:paraId="7E2C061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w:t>
            </w:r>
          </w:p>
        </w:tc>
        <w:tc>
          <w:tcPr>
            <w:tcW w:w="717" w:type="pct"/>
            <w:gridSpan w:val="5"/>
            <w:tcBorders>
              <w:top w:val="nil"/>
              <w:left w:val="nil"/>
              <w:bottom w:val="single" w:sz="4" w:space="0" w:color="auto"/>
              <w:right w:val="single" w:sz="4" w:space="0" w:color="auto"/>
            </w:tcBorders>
            <w:shd w:val="clear" w:color="000000" w:fill="FFFFFF"/>
            <w:vAlign w:val="center"/>
          </w:tcPr>
          <w:p w14:paraId="354364F4"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固定资产利用率</w:t>
            </w:r>
          </w:p>
        </w:tc>
        <w:tc>
          <w:tcPr>
            <w:tcW w:w="353" w:type="pct"/>
            <w:gridSpan w:val="2"/>
            <w:tcBorders>
              <w:top w:val="nil"/>
              <w:left w:val="nil"/>
              <w:bottom w:val="single" w:sz="4" w:space="0" w:color="auto"/>
              <w:right w:val="single" w:sz="4" w:space="0" w:color="auto"/>
            </w:tcBorders>
            <w:shd w:val="clear" w:color="000000" w:fill="FFFFFF"/>
            <w:vAlign w:val="center"/>
          </w:tcPr>
          <w:p w14:paraId="4119400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noWrap/>
            <w:vAlign w:val="center"/>
          </w:tcPr>
          <w:p w14:paraId="090AC8E0"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444" w:type="pct"/>
            <w:tcBorders>
              <w:top w:val="nil"/>
              <w:left w:val="nil"/>
              <w:bottom w:val="single" w:sz="4" w:space="0" w:color="auto"/>
              <w:right w:val="single" w:sz="4" w:space="0" w:color="auto"/>
            </w:tcBorders>
            <w:shd w:val="clear" w:color="000000" w:fill="FFFFFF"/>
            <w:vAlign w:val="center"/>
          </w:tcPr>
          <w:p w14:paraId="4EA1697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5B5B99A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3CABAF8F"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3CD43BA5"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6A04894F" w14:textId="77777777" w:rsidR="00445AD5" w:rsidRDefault="00445AD5">
            <w:pPr>
              <w:widowControl/>
              <w:jc w:val="left"/>
              <w:rPr>
                <w:rFonts w:ascii="宋体" w:hAnsi="宋体" w:cs="宋体"/>
                <w:color w:val="000000"/>
                <w:kern w:val="0"/>
                <w:sz w:val="20"/>
                <w:szCs w:val="20"/>
              </w:rPr>
            </w:pPr>
          </w:p>
        </w:tc>
        <w:tc>
          <w:tcPr>
            <w:tcW w:w="664" w:type="pct"/>
            <w:gridSpan w:val="5"/>
            <w:tcBorders>
              <w:top w:val="nil"/>
              <w:left w:val="nil"/>
              <w:bottom w:val="single" w:sz="4" w:space="0" w:color="auto"/>
              <w:right w:val="single" w:sz="4" w:space="0" w:color="auto"/>
            </w:tcBorders>
            <w:shd w:val="clear" w:color="000000" w:fill="FFFFFF"/>
            <w:vAlign w:val="center"/>
          </w:tcPr>
          <w:p w14:paraId="1E65FD8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业务管理</w:t>
            </w:r>
          </w:p>
        </w:tc>
        <w:tc>
          <w:tcPr>
            <w:tcW w:w="717" w:type="pct"/>
            <w:gridSpan w:val="5"/>
            <w:tcBorders>
              <w:top w:val="nil"/>
              <w:left w:val="nil"/>
              <w:bottom w:val="single" w:sz="4" w:space="0" w:color="auto"/>
              <w:right w:val="single" w:sz="4" w:space="0" w:color="auto"/>
            </w:tcBorders>
            <w:shd w:val="clear" w:color="000000" w:fill="FFFFFF"/>
            <w:vAlign w:val="center"/>
          </w:tcPr>
          <w:p w14:paraId="325BED30"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政府采购管理违法违规行为发生次数</w:t>
            </w:r>
          </w:p>
        </w:tc>
        <w:tc>
          <w:tcPr>
            <w:tcW w:w="353" w:type="pct"/>
            <w:gridSpan w:val="2"/>
            <w:tcBorders>
              <w:top w:val="nil"/>
              <w:left w:val="nil"/>
              <w:bottom w:val="single" w:sz="4" w:space="0" w:color="auto"/>
              <w:right w:val="single" w:sz="4" w:space="0" w:color="auto"/>
            </w:tcBorders>
            <w:shd w:val="clear" w:color="000000" w:fill="FFFFFF"/>
            <w:vAlign w:val="center"/>
          </w:tcPr>
          <w:p w14:paraId="3ADC694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noWrap/>
            <w:vAlign w:val="center"/>
          </w:tcPr>
          <w:p w14:paraId="7A6424AF"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0</w:t>
            </w:r>
          </w:p>
        </w:tc>
        <w:tc>
          <w:tcPr>
            <w:tcW w:w="444" w:type="pct"/>
            <w:tcBorders>
              <w:top w:val="nil"/>
              <w:left w:val="nil"/>
              <w:bottom w:val="single" w:sz="4" w:space="0" w:color="auto"/>
              <w:right w:val="single" w:sz="4" w:space="0" w:color="auto"/>
            </w:tcBorders>
            <w:shd w:val="clear" w:color="000000" w:fill="FFFFFF"/>
            <w:vAlign w:val="center"/>
          </w:tcPr>
          <w:p w14:paraId="02ADB45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次</w:t>
            </w:r>
          </w:p>
        </w:tc>
        <w:tc>
          <w:tcPr>
            <w:tcW w:w="480" w:type="pct"/>
            <w:tcBorders>
              <w:top w:val="nil"/>
              <w:left w:val="nil"/>
              <w:bottom w:val="single" w:sz="4" w:space="0" w:color="auto"/>
              <w:right w:val="single" w:sz="4" w:space="0" w:color="auto"/>
            </w:tcBorders>
            <w:shd w:val="clear" w:color="000000" w:fill="FFFFFF"/>
            <w:noWrap/>
            <w:vAlign w:val="center"/>
          </w:tcPr>
          <w:p w14:paraId="05F18B6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690CE5EA"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068640E0" w14:textId="77777777" w:rsidR="00445AD5" w:rsidRDefault="00445AD5">
            <w:pPr>
              <w:widowControl/>
              <w:jc w:val="left"/>
              <w:rPr>
                <w:rFonts w:ascii="宋体" w:hAnsi="宋体" w:cs="宋体"/>
                <w:b/>
                <w:bCs/>
                <w:color w:val="000000"/>
                <w:kern w:val="0"/>
                <w:sz w:val="20"/>
                <w:szCs w:val="20"/>
              </w:rPr>
            </w:pPr>
          </w:p>
        </w:tc>
        <w:tc>
          <w:tcPr>
            <w:tcW w:w="936" w:type="pct"/>
            <w:gridSpan w:val="5"/>
            <w:vMerge w:val="restart"/>
            <w:tcBorders>
              <w:top w:val="nil"/>
              <w:left w:val="single" w:sz="4" w:space="0" w:color="auto"/>
              <w:bottom w:val="single" w:sz="4" w:space="0" w:color="auto"/>
              <w:right w:val="single" w:sz="4" w:space="0" w:color="auto"/>
            </w:tcBorders>
            <w:shd w:val="clear" w:color="000000" w:fill="FFFFFF"/>
            <w:vAlign w:val="center"/>
          </w:tcPr>
          <w:p w14:paraId="1AA0931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运行成本</w:t>
            </w:r>
          </w:p>
        </w:tc>
        <w:tc>
          <w:tcPr>
            <w:tcW w:w="664" w:type="pct"/>
            <w:gridSpan w:val="5"/>
            <w:vMerge w:val="restart"/>
            <w:tcBorders>
              <w:top w:val="nil"/>
              <w:left w:val="single" w:sz="4" w:space="0" w:color="auto"/>
              <w:bottom w:val="single" w:sz="4" w:space="0" w:color="auto"/>
              <w:right w:val="single" w:sz="4" w:space="0" w:color="auto"/>
            </w:tcBorders>
            <w:shd w:val="clear" w:color="000000" w:fill="FFFFFF"/>
            <w:vAlign w:val="center"/>
          </w:tcPr>
          <w:p w14:paraId="21BBF32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成本控制成效</w:t>
            </w:r>
          </w:p>
        </w:tc>
        <w:tc>
          <w:tcPr>
            <w:tcW w:w="717" w:type="pct"/>
            <w:gridSpan w:val="5"/>
            <w:tcBorders>
              <w:top w:val="nil"/>
              <w:left w:val="nil"/>
              <w:bottom w:val="single" w:sz="4" w:space="0" w:color="auto"/>
              <w:right w:val="single" w:sz="4" w:space="0" w:color="auto"/>
            </w:tcBorders>
            <w:shd w:val="clear" w:color="000000" w:fill="FFFFFF"/>
            <w:vAlign w:val="center"/>
          </w:tcPr>
          <w:p w14:paraId="6085C3F5"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“三公”经费变动率</w:t>
            </w:r>
          </w:p>
        </w:tc>
        <w:tc>
          <w:tcPr>
            <w:tcW w:w="353" w:type="pct"/>
            <w:gridSpan w:val="2"/>
            <w:tcBorders>
              <w:top w:val="nil"/>
              <w:left w:val="nil"/>
              <w:bottom w:val="single" w:sz="4" w:space="0" w:color="auto"/>
              <w:right w:val="single" w:sz="4" w:space="0" w:color="auto"/>
            </w:tcBorders>
            <w:shd w:val="clear" w:color="000000" w:fill="FFFFFF"/>
            <w:vAlign w:val="center"/>
          </w:tcPr>
          <w:p w14:paraId="56CD89A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357" w:type="pct"/>
            <w:tcBorders>
              <w:top w:val="nil"/>
              <w:left w:val="nil"/>
              <w:bottom w:val="single" w:sz="4" w:space="0" w:color="auto"/>
              <w:right w:val="single" w:sz="4" w:space="0" w:color="auto"/>
            </w:tcBorders>
            <w:shd w:val="clear" w:color="000000" w:fill="FFFFFF"/>
            <w:noWrap/>
            <w:vAlign w:val="center"/>
          </w:tcPr>
          <w:p w14:paraId="3BF588C9"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2</w:t>
            </w:r>
          </w:p>
        </w:tc>
        <w:tc>
          <w:tcPr>
            <w:tcW w:w="444" w:type="pct"/>
            <w:tcBorders>
              <w:top w:val="nil"/>
              <w:left w:val="nil"/>
              <w:bottom w:val="single" w:sz="4" w:space="0" w:color="auto"/>
              <w:right w:val="single" w:sz="4" w:space="0" w:color="auto"/>
            </w:tcBorders>
            <w:shd w:val="clear" w:color="000000" w:fill="FFFFFF"/>
            <w:vAlign w:val="center"/>
          </w:tcPr>
          <w:p w14:paraId="36445F9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6838BCA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7E9252BA"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43289720"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2D2C5D83" w14:textId="77777777" w:rsidR="00445AD5" w:rsidRDefault="00445AD5">
            <w:pPr>
              <w:widowControl/>
              <w:jc w:val="left"/>
              <w:rPr>
                <w:rFonts w:ascii="宋体" w:hAnsi="宋体" w:cs="宋体"/>
                <w:color w:val="000000"/>
                <w:kern w:val="0"/>
                <w:sz w:val="20"/>
                <w:szCs w:val="20"/>
              </w:rPr>
            </w:pPr>
          </w:p>
        </w:tc>
        <w:tc>
          <w:tcPr>
            <w:tcW w:w="664" w:type="pct"/>
            <w:gridSpan w:val="5"/>
            <w:vMerge/>
            <w:tcBorders>
              <w:top w:val="nil"/>
              <w:left w:val="single" w:sz="4" w:space="0" w:color="auto"/>
              <w:bottom w:val="single" w:sz="4" w:space="0" w:color="auto"/>
              <w:right w:val="single" w:sz="4" w:space="0" w:color="auto"/>
            </w:tcBorders>
            <w:vAlign w:val="center"/>
          </w:tcPr>
          <w:p w14:paraId="3B51E1E2" w14:textId="77777777" w:rsidR="00445AD5" w:rsidRDefault="00445AD5">
            <w:pPr>
              <w:widowControl/>
              <w:jc w:val="left"/>
              <w:rPr>
                <w:rFonts w:ascii="宋体" w:hAnsi="宋体" w:cs="宋体"/>
                <w:color w:val="000000"/>
                <w:kern w:val="0"/>
                <w:sz w:val="20"/>
                <w:szCs w:val="20"/>
              </w:rPr>
            </w:pPr>
          </w:p>
        </w:tc>
        <w:tc>
          <w:tcPr>
            <w:tcW w:w="717" w:type="pct"/>
            <w:gridSpan w:val="5"/>
            <w:tcBorders>
              <w:top w:val="nil"/>
              <w:left w:val="nil"/>
              <w:bottom w:val="single" w:sz="4" w:space="0" w:color="auto"/>
              <w:right w:val="single" w:sz="4" w:space="0" w:color="auto"/>
            </w:tcBorders>
            <w:shd w:val="clear" w:color="000000" w:fill="FFFFFF"/>
            <w:vAlign w:val="center"/>
          </w:tcPr>
          <w:p w14:paraId="51A79303"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在职人员控制率</w:t>
            </w:r>
          </w:p>
        </w:tc>
        <w:tc>
          <w:tcPr>
            <w:tcW w:w="353" w:type="pct"/>
            <w:gridSpan w:val="2"/>
            <w:tcBorders>
              <w:top w:val="nil"/>
              <w:left w:val="nil"/>
              <w:bottom w:val="single" w:sz="4" w:space="0" w:color="auto"/>
              <w:right w:val="single" w:sz="4" w:space="0" w:color="auto"/>
            </w:tcBorders>
            <w:shd w:val="clear" w:color="000000" w:fill="FFFFFF"/>
            <w:vAlign w:val="center"/>
          </w:tcPr>
          <w:p w14:paraId="0B75EC9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357" w:type="pct"/>
            <w:tcBorders>
              <w:top w:val="nil"/>
              <w:left w:val="nil"/>
              <w:bottom w:val="single" w:sz="4" w:space="0" w:color="auto"/>
              <w:right w:val="single" w:sz="4" w:space="0" w:color="auto"/>
            </w:tcBorders>
            <w:shd w:val="clear" w:color="000000" w:fill="FFFFFF"/>
            <w:noWrap/>
            <w:vAlign w:val="center"/>
          </w:tcPr>
          <w:p w14:paraId="69C4C06F"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444" w:type="pct"/>
            <w:tcBorders>
              <w:top w:val="nil"/>
              <w:left w:val="nil"/>
              <w:bottom w:val="single" w:sz="4" w:space="0" w:color="auto"/>
              <w:right w:val="single" w:sz="4" w:space="0" w:color="auto"/>
            </w:tcBorders>
            <w:shd w:val="clear" w:color="000000" w:fill="FFFFFF"/>
            <w:vAlign w:val="center"/>
          </w:tcPr>
          <w:p w14:paraId="021752D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3E8D7EA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58B71D4A"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2AC35C01"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2ECE237E" w14:textId="77777777" w:rsidR="00445AD5" w:rsidRDefault="00445AD5">
            <w:pPr>
              <w:widowControl/>
              <w:jc w:val="left"/>
              <w:rPr>
                <w:rFonts w:ascii="宋体" w:hAnsi="宋体" w:cs="宋体"/>
                <w:color w:val="000000"/>
                <w:kern w:val="0"/>
                <w:sz w:val="20"/>
                <w:szCs w:val="20"/>
              </w:rPr>
            </w:pPr>
          </w:p>
        </w:tc>
        <w:tc>
          <w:tcPr>
            <w:tcW w:w="664" w:type="pct"/>
            <w:gridSpan w:val="5"/>
            <w:vMerge/>
            <w:tcBorders>
              <w:top w:val="nil"/>
              <w:left w:val="single" w:sz="4" w:space="0" w:color="auto"/>
              <w:bottom w:val="single" w:sz="4" w:space="0" w:color="auto"/>
              <w:right w:val="single" w:sz="4" w:space="0" w:color="auto"/>
            </w:tcBorders>
            <w:vAlign w:val="center"/>
          </w:tcPr>
          <w:p w14:paraId="638A7DD0" w14:textId="77777777" w:rsidR="00445AD5" w:rsidRDefault="00445AD5">
            <w:pPr>
              <w:widowControl/>
              <w:jc w:val="left"/>
              <w:rPr>
                <w:rFonts w:ascii="宋体" w:hAnsi="宋体" w:cs="宋体"/>
                <w:color w:val="000000"/>
                <w:kern w:val="0"/>
                <w:sz w:val="20"/>
                <w:szCs w:val="20"/>
              </w:rPr>
            </w:pPr>
          </w:p>
        </w:tc>
        <w:tc>
          <w:tcPr>
            <w:tcW w:w="717" w:type="pct"/>
            <w:gridSpan w:val="5"/>
            <w:tcBorders>
              <w:top w:val="nil"/>
              <w:left w:val="nil"/>
              <w:bottom w:val="single" w:sz="4" w:space="0" w:color="auto"/>
              <w:right w:val="single" w:sz="4" w:space="0" w:color="auto"/>
            </w:tcBorders>
            <w:shd w:val="clear" w:color="000000" w:fill="FFFFFF"/>
            <w:vAlign w:val="center"/>
          </w:tcPr>
          <w:p w14:paraId="261E8FDE"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人均公用经费变动率</w:t>
            </w:r>
          </w:p>
        </w:tc>
        <w:tc>
          <w:tcPr>
            <w:tcW w:w="353" w:type="pct"/>
            <w:gridSpan w:val="2"/>
            <w:tcBorders>
              <w:top w:val="nil"/>
              <w:left w:val="nil"/>
              <w:bottom w:val="single" w:sz="4" w:space="0" w:color="auto"/>
              <w:right w:val="single" w:sz="4" w:space="0" w:color="auto"/>
            </w:tcBorders>
            <w:shd w:val="clear" w:color="000000" w:fill="FFFFFF"/>
            <w:vAlign w:val="center"/>
          </w:tcPr>
          <w:p w14:paraId="4FB8312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357" w:type="pct"/>
            <w:tcBorders>
              <w:top w:val="nil"/>
              <w:left w:val="nil"/>
              <w:bottom w:val="single" w:sz="4" w:space="0" w:color="auto"/>
              <w:right w:val="single" w:sz="4" w:space="0" w:color="auto"/>
            </w:tcBorders>
            <w:shd w:val="clear" w:color="000000" w:fill="FFFFFF"/>
            <w:noWrap/>
            <w:vAlign w:val="center"/>
          </w:tcPr>
          <w:p w14:paraId="4438521B"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w:t>
            </w:r>
          </w:p>
        </w:tc>
        <w:tc>
          <w:tcPr>
            <w:tcW w:w="444" w:type="pct"/>
            <w:tcBorders>
              <w:top w:val="nil"/>
              <w:left w:val="nil"/>
              <w:bottom w:val="single" w:sz="4" w:space="0" w:color="auto"/>
              <w:right w:val="single" w:sz="4" w:space="0" w:color="auto"/>
            </w:tcBorders>
            <w:shd w:val="clear" w:color="000000" w:fill="FFFFFF"/>
            <w:vAlign w:val="center"/>
          </w:tcPr>
          <w:p w14:paraId="3C9C24C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60B5742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17FCE57C"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08C67587" w14:textId="77777777" w:rsidR="00445AD5" w:rsidRDefault="00445AD5">
            <w:pPr>
              <w:widowControl/>
              <w:jc w:val="left"/>
              <w:rPr>
                <w:rFonts w:ascii="宋体" w:hAnsi="宋体" w:cs="宋体"/>
                <w:b/>
                <w:bCs/>
                <w:color w:val="000000"/>
                <w:kern w:val="0"/>
                <w:sz w:val="20"/>
                <w:szCs w:val="20"/>
              </w:rPr>
            </w:pPr>
          </w:p>
        </w:tc>
        <w:tc>
          <w:tcPr>
            <w:tcW w:w="936" w:type="pct"/>
            <w:gridSpan w:val="5"/>
            <w:vMerge w:val="restart"/>
            <w:tcBorders>
              <w:top w:val="nil"/>
              <w:left w:val="single" w:sz="4" w:space="0" w:color="auto"/>
              <w:bottom w:val="single" w:sz="4" w:space="0" w:color="auto"/>
              <w:right w:val="single" w:sz="4" w:space="0" w:color="auto"/>
            </w:tcBorders>
            <w:shd w:val="clear" w:color="000000" w:fill="FFFFFF"/>
            <w:vAlign w:val="center"/>
          </w:tcPr>
          <w:p w14:paraId="53D7F9D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社会效应</w:t>
            </w:r>
          </w:p>
        </w:tc>
        <w:tc>
          <w:tcPr>
            <w:tcW w:w="664" w:type="pct"/>
            <w:gridSpan w:val="5"/>
            <w:tcBorders>
              <w:top w:val="nil"/>
              <w:left w:val="nil"/>
              <w:bottom w:val="single" w:sz="4" w:space="0" w:color="auto"/>
              <w:right w:val="single" w:sz="4" w:space="0" w:color="auto"/>
            </w:tcBorders>
            <w:shd w:val="clear" w:color="000000" w:fill="FFFFFF"/>
            <w:vAlign w:val="center"/>
          </w:tcPr>
          <w:p w14:paraId="2719F5B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政治效益</w:t>
            </w:r>
          </w:p>
        </w:tc>
        <w:tc>
          <w:tcPr>
            <w:tcW w:w="717" w:type="pct"/>
            <w:gridSpan w:val="5"/>
            <w:tcBorders>
              <w:top w:val="nil"/>
              <w:left w:val="nil"/>
              <w:bottom w:val="single" w:sz="4" w:space="0" w:color="auto"/>
              <w:right w:val="single" w:sz="4" w:space="0" w:color="auto"/>
            </w:tcBorders>
            <w:shd w:val="clear" w:color="000000" w:fill="FFFFFF"/>
            <w:vAlign w:val="center"/>
          </w:tcPr>
          <w:p w14:paraId="3A35D5EE"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全面实现小康社会</w:t>
            </w:r>
          </w:p>
        </w:tc>
        <w:tc>
          <w:tcPr>
            <w:tcW w:w="353" w:type="pct"/>
            <w:gridSpan w:val="2"/>
            <w:tcBorders>
              <w:top w:val="nil"/>
              <w:left w:val="nil"/>
              <w:bottom w:val="single" w:sz="4" w:space="0" w:color="auto"/>
              <w:right w:val="single" w:sz="4" w:space="0" w:color="auto"/>
            </w:tcBorders>
            <w:shd w:val="clear" w:color="000000" w:fill="FFFFFF"/>
            <w:vAlign w:val="center"/>
          </w:tcPr>
          <w:p w14:paraId="385FF5D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noWrap/>
            <w:vAlign w:val="center"/>
          </w:tcPr>
          <w:p w14:paraId="05097945"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制度有效</w:t>
            </w:r>
          </w:p>
        </w:tc>
        <w:tc>
          <w:tcPr>
            <w:tcW w:w="444" w:type="pct"/>
            <w:tcBorders>
              <w:top w:val="nil"/>
              <w:left w:val="nil"/>
              <w:bottom w:val="single" w:sz="4" w:space="0" w:color="auto"/>
              <w:right w:val="single" w:sz="4" w:space="0" w:color="auto"/>
            </w:tcBorders>
            <w:shd w:val="clear" w:color="000000" w:fill="FFFFFF"/>
            <w:vAlign w:val="center"/>
          </w:tcPr>
          <w:p w14:paraId="1500214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pct"/>
            <w:tcBorders>
              <w:top w:val="nil"/>
              <w:left w:val="nil"/>
              <w:bottom w:val="single" w:sz="4" w:space="0" w:color="auto"/>
              <w:right w:val="single" w:sz="4" w:space="0" w:color="auto"/>
            </w:tcBorders>
            <w:shd w:val="clear" w:color="000000" w:fill="FFFFFF"/>
            <w:noWrap/>
            <w:vAlign w:val="center"/>
          </w:tcPr>
          <w:p w14:paraId="0759C96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4C872719"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0688475B"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3F2505C1" w14:textId="77777777" w:rsidR="00445AD5" w:rsidRDefault="00445AD5">
            <w:pPr>
              <w:widowControl/>
              <w:jc w:val="left"/>
              <w:rPr>
                <w:rFonts w:ascii="宋体" w:hAnsi="宋体" w:cs="宋体"/>
                <w:color w:val="000000"/>
                <w:kern w:val="0"/>
                <w:sz w:val="20"/>
                <w:szCs w:val="20"/>
              </w:rPr>
            </w:pPr>
          </w:p>
        </w:tc>
        <w:tc>
          <w:tcPr>
            <w:tcW w:w="664" w:type="pct"/>
            <w:gridSpan w:val="5"/>
            <w:tcBorders>
              <w:top w:val="nil"/>
              <w:left w:val="nil"/>
              <w:bottom w:val="single" w:sz="4" w:space="0" w:color="auto"/>
              <w:right w:val="single" w:sz="4" w:space="0" w:color="auto"/>
            </w:tcBorders>
            <w:shd w:val="clear" w:color="000000" w:fill="FFFFFF"/>
            <w:vAlign w:val="center"/>
          </w:tcPr>
          <w:p w14:paraId="3183439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717" w:type="pct"/>
            <w:gridSpan w:val="5"/>
            <w:tcBorders>
              <w:top w:val="nil"/>
              <w:left w:val="nil"/>
              <w:bottom w:val="single" w:sz="4" w:space="0" w:color="auto"/>
              <w:right w:val="single" w:sz="4" w:space="0" w:color="auto"/>
            </w:tcBorders>
            <w:shd w:val="clear" w:color="000000" w:fill="FFFFFF"/>
            <w:vAlign w:val="center"/>
          </w:tcPr>
          <w:p w14:paraId="0D8F2483"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参加</w:t>
            </w:r>
            <w:r>
              <w:rPr>
                <w:rFonts w:ascii="宋体" w:hAnsi="宋体" w:cs="宋体" w:hint="eastAsia"/>
                <w:color w:val="000000"/>
                <w:kern w:val="0"/>
                <w:sz w:val="20"/>
                <w:szCs w:val="20"/>
              </w:rPr>
              <w:t>3</w:t>
            </w:r>
            <w:r>
              <w:rPr>
                <w:rFonts w:ascii="宋体" w:hAnsi="宋体" w:cs="宋体" w:hint="eastAsia"/>
                <w:color w:val="000000"/>
                <w:kern w:val="0"/>
                <w:sz w:val="20"/>
                <w:szCs w:val="20"/>
              </w:rPr>
              <w:t>次以上文化活动占比</w:t>
            </w:r>
          </w:p>
        </w:tc>
        <w:tc>
          <w:tcPr>
            <w:tcW w:w="353" w:type="pct"/>
            <w:gridSpan w:val="2"/>
            <w:tcBorders>
              <w:top w:val="nil"/>
              <w:left w:val="nil"/>
              <w:bottom w:val="single" w:sz="4" w:space="0" w:color="auto"/>
              <w:right w:val="single" w:sz="4" w:space="0" w:color="auto"/>
            </w:tcBorders>
            <w:shd w:val="clear" w:color="000000" w:fill="FFFFFF"/>
            <w:vAlign w:val="center"/>
          </w:tcPr>
          <w:p w14:paraId="20A21D7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357" w:type="pct"/>
            <w:tcBorders>
              <w:top w:val="nil"/>
              <w:left w:val="nil"/>
              <w:bottom w:val="single" w:sz="4" w:space="0" w:color="auto"/>
              <w:right w:val="single" w:sz="4" w:space="0" w:color="auto"/>
            </w:tcBorders>
            <w:shd w:val="clear" w:color="000000" w:fill="FFFFFF"/>
            <w:noWrap/>
            <w:vAlign w:val="center"/>
          </w:tcPr>
          <w:p w14:paraId="20B30BB7"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444" w:type="pct"/>
            <w:tcBorders>
              <w:top w:val="nil"/>
              <w:left w:val="nil"/>
              <w:bottom w:val="single" w:sz="4" w:space="0" w:color="auto"/>
              <w:right w:val="single" w:sz="4" w:space="0" w:color="auto"/>
            </w:tcBorders>
            <w:shd w:val="clear" w:color="000000" w:fill="FFFFFF"/>
            <w:vAlign w:val="center"/>
          </w:tcPr>
          <w:p w14:paraId="4DD1F3A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4F39638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0C990A94"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4078FD3C" w14:textId="77777777" w:rsidR="00445AD5" w:rsidRDefault="00445AD5">
            <w:pPr>
              <w:widowControl/>
              <w:jc w:val="left"/>
              <w:rPr>
                <w:rFonts w:ascii="宋体" w:hAnsi="宋体" w:cs="宋体"/>
                <w:b/>
                <w:bCs/>
                <w:color w:val="000000"/>
                <w:kern w:val="0"/>
                <w:sz w:val="20"/>
                <w:szCs w:val="20"/>
              </w:rPr>
            </w:pPr>
          </w:p>
        </w:tc>
        <w:tc>
          <w:tcPr>
            <w:tcW w:w="936" w:type="pct"/>
            <w:gridSpan w:val="5"/>
            <w:vMerge/>
            <w:tcBorders>
              <w:top w:val="nil"/>
              <w:left w:val="single" w:sz="4" w:space="0" w:color="auto"/>
              <w:bottom w:val="single" w:sz="4" w:space="0" w:color="auto"/>
              <w:right w:val="single" w:sz="4" w:space="0" w:color="auto"/>
            </w:tcBorders>
            <w:vAlign w:val="center"/>
          </w:tcPr>
          <w:p w14:paraId="75247177" w14:textId="77777777" w:rsidR="00445AD5" w:rsidRDefault="00445AD5">
            <w:pPr>
              <w:widowControl/>
              <w:jc w:val="left"/>
              <w:rPr>
                <w:rFonts w:ascii="宋体" w:hAnsi="宋体" w:cs="宋体"/>
                <w:color w:val="000000"/>
                <w:kern w:val="0"/>
                <w:sz w:val="20"/>
                <w:szCs w:val="20"/>
              </w:rPr>
            </w:pPr>
          </w:p>
        </w:tc>
        <w:tc>
          <w:tcPr>
            <w:tcW w:w="664" w:type="pct"/>
            <w:gridSpan w:val="5"/>
            <w:tcBorders>
              <w:top w:val="nil"/>
              <w:left w:val="nil"/>
              <w:bottom w:val="single" w:sz="4" w:space="0" w:color="auto"/>
              <w:right w:val="single" w:sz="4" w:space="0" w:color="auto"/>
            </w:tcBorders>
            <w:shd w:val="clear" w:color="000000" w:fill="FFFFFF"/>
            <w:vAlign w:val="center"/>
          </w:tcPr>
          <w:p w14:paraId="614E33A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社会公众满意度</w:t>
            </w:r>
          </w:p>
        </w:tc>
        <w:tc>
          <w:tcPr>
            <w:tcW w:w="717" w:type="pct"/>
            <w:gridSpan w:val="5"/>
            <w:tcBorders>
              <w:top w:val="nil"/>
              <w:left w:val="nil"/>
              <w:bottom w:val="single" w:sz="4" w:space="0" w:color="auto"/>
              <w:right w:val="single" w:sz="4" w:space="0" w:color="auto"/>
            </w:tcBorders>
            <w:shd w:val="clear" w:color="000000" w:fill="FFFFFF"/>
            <w:vAlign w:val="center"/>
          </w:tcPr>
          <w:p w14:paraId="5C8C0D49"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当地群众满意度</w:t>
            </w:r>
          </w:p>
        </w:tc>
        <w:tc>
          <w:tcPr>
            <w:tcW w:w="353" w:type="pct"/>
            <w:gridSpan w:val="2"/>
            <w:tcBorders>
              <w:top w:val="nil"/>
              <w:left w:val="nil"/>
              <w:bottom w:val="single" w:sz="4" w:space="0" w:color="auto"/>
              <w:right w:val="single" w:sz="4" w:space="0" w:color="auto"/>
            </w:tcBorders>
            <w:shd w:val="clear" w:color="000000" w:fill="FFFFFF"/>
            <w:vAlign w:val="center"/>
          </w:tcPr>
          <w:p w14:paraId="0664B66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357" w:type="pct"/>
            <w:tcBorders>
              <w:top w:val="nil"/>
              <w:left w:val="nil"/>
              <w:bottom w:val="single" w:sz="4" w:space="0" w:color="auto"/>
              <w:right w:val="single" w:sz="4" w:space="0" w:color="auto"/>
            </w:tcBorders>
            <w:shd w:val="clear" w:color="000000" w:fill="FFFFFF"/>
            <w:noWrap/>
            <w:vAlign w:val="center"/>
          </w:tcPr>
          <w:p w14:paraId="6620917A"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100</w:t>
            </w:r>
          </w:p>
        </w:tc>
        <w:tc>
          <w:tcPr>
            <w:tcW w:w="444" w:type="pct"/>
            <w:tcBorders>
              <w:top w:val="nil"/>
              <w:left w:val="nil"/>
              <w:bottom w:val="single" w:sz="4" w:space="0" w:color="auto"/>
              <w:right w:val="single" w:sz="4" w:space="0" w:color="auto"/>
            </w:tcBorders>
            <w:shd w:val="clear" w:color="000000" w:fill="FFFFFF"/>
            <w:vAlign w:val="center"/>
          </w:tcPr>
          <w:p w14:paraId="7AD94FD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480" w:type="pct"/>
            <w:tcBorders>
              <w:top w:val="nil"/>
              <w:left w:val="nil"/>
              <w:bottom w:val="single" w:sz="4" w:space="0" w:color="auto"/>
              <w:right w:val="single" w:sz="4" w:space="0" w:color="auto"/>
            </w:tcBorders>
            <w:shd w:val="clear" w:color="000000" w:fill="FFFFFF"/>
            <w:noWrap/>
            <w:vAlign w:val="center"/>
          </w:tcPr>
          <w:p w14:paraId="330B768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30361644" w14:textId="77777777">
        <w:trPr>
          <w:trHeight w:val="773"/>
        </w:trPr>
        <w:tc>
          <w:tcPr>
            <w:tcW w:w="1045" w:type="pct"/>
            <w:gridSpan w:val="7"/>
            <w:vMerge/>
            <w:tcBorders>
              <w:top w:val="nil"/>
              <w:left w:val="single" w:sz="4" w:space="0" w:color="auto"/>
              <w:bottom w:val="single" w:sz="4" w:space="0" w:color="auto"/>
              <w:right w:val="single" w:sz="4" w:space="0" w:color="auto"/>
            </w:tcBorders>
            <w:vAlign w:val="center"/>
          </w:tcPr>
          <w:p w14:paraId="5BCA2815" w14:textId="77777777" w:rsidR="00445AD5" w:rsidRDefault="00445AD5">
            <w:pPr>
              <w:widowControl/>
              <w:jc w:val="left"/>
              <w:rPr>
                <w:rFonts w:ascii="宋体" w:hAnsi="宋体" w:cs="宋体"/>
                <w:b/>
                <w:bCs/>
                <w:color w:val="000000"/>
                <w:kern w:val="0"/>
                <w:sz w:val="20"/>
                <w:szCs w:val="20"/>
              </w:rPr>
            </w:pPr>
          </w:p>
        </w:tc>
        <w:tc>
          <w:tcPr>
            <w:tcW w:w="936" w:type="pct"/>
            <w:gridSpan w:val="5"/>
            <w:tcBorders>
              <w:top w:val="nil"/>
              <w:left w:val="nil"/>
              <w:bottom w:val="single" w:sz="4" w:space="0" w:color="auto"/>
              <w:right w:val="single" w:sz="4" w:space="0" w:color="auto"/>
            </w:tcBorders>
            <w:shd w:val="clear" w:color="000000" w:fill="FFFFFF"/>
            <w:vAlign w:val="center"/>
          </w:tcPr>
          <w:p w14:paraId="193BEB0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可持续性</w:t>
            </w:r>
          </w:p>
        </w:tc>
        <w:tc>
          <w:tcPr>
            <w:tcW w:w="664" w:type="pct"/>
            <w:gridSpan w:val="5"/>
            <w:tcBorders>
              <w:top w:val="nil"/>
              <w:left w:val="nil"/>
              <w:bottom w:val="single" w:sz="4" w:space="0" w:color="auto"/>
              <w:right w:val="single" w:sz="4" w:space="0" w:color="auto"/>
            </w:tcBorders>
            <w:shd w:val="clear" w:color="000000" w:fill="FFFFFF"/>
            <w:vAlign w:val="center"/>
          </w:tcPr>
          <w:p w14:paraId="41B1402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体制机制改革</w:t>
            </w:r>
          </w:p>
        </w:tc>
        <w:tc>
          <w:tcPr>
            <w:tcW w:w="717" w:type="pct"/>
            <w:gridSpan w:val="5"/>
            <w:tcBorders>
              <w:top w:val="nil"/>
              <w:left w:val="nil"/>
              <w:bottom w:val="single" w:sz="4" w:space="0" w:color="auto"/>
              <w:right w:val="single" w:sz="4" w:space="0" w:color="auto"/>
            </w:tcBorders>
            <w:shd w:val="clear" w:color="000000" w:fill="FFFFFF"/>
            <w:vAlign w:val="center"/>
          </w:tcPr>
          <w:p w14:paraId="04B9AE9B"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人才培养机制健全性</w:t>
            </w:r>
          </w:p>
        </w:tc>
        <w:tc>
          <w:tcPr>
            <w:tcW w:w="353" w:type="pct"/>
            <w:gridSpan w:val="2"/>
            <w:tcBorders>
              <w:top w:val="nil"/>
              <w:left w:val="nil"/>
              <w:bottom w:val="single" w:sz="4" w:space="0" w:color="auto"/>
              <w:right w:val="single" w:sz="4" w:space="0" w:color="auto"/>
            </w:tcBorders>
            <w:shd w:val="clear" w:color="000000" w:fill="FFFFFF"/>
            <w:vAlign w:val="center"/>
          </w:tcPr>
          <w:p w14:paraId="77CACC4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noWrap/>
            <w:vAlign w:val="center"/>
          </w:tcPr>
          <w:p w14:paraId="48BD7B64" w14:textId="77777777" w:rsidR="00445AD5" w:rsidRDefault="00EA4B12">
            <w:pPr>
              <w:widowControl/>
              <w:jc w:val="left"/>
              <w:rPr>
                <w:rFonts w:ascii="宋体" w:hAnsi="宋体" w:cs="宋体"/>
                <w:color w:val="000000"/>
                <w:kern w:val="0"/>
                <w:sz w:val="20"/>
                <w:szCs w:val="20"/>
              </w:rPr>
            </w:pPr>
            <w:r>
              <w:rPr>
                <w:rFonts w:ascii="宋体" w:hAnsi="宋体" w:cs="宋体" w:hint="eastAsia"/>
                <w:color w:val="000000"/>
                <w:kern w:val="0"/>
                <w:sz w:val="20"/>
                <w:szCs w:val="20"/>
              </w:rPr>
              <w:t>全面培养</w:t>
            </w:r>
          </w:p>
        </w:tc>
        <w:tc>
          <w:tcPr>
            <w:tcW w:w="444" w:type="pct"/>
            <w:tcBorders>
              <w:top w:val="nil"/>
              <w:left w:val="nil"/>
              <w:bottom w:val="single" w:sz="4" w:space="0" w:color="auto"/>
              <w:right w:val="single" w:sz="4" w:space="0" w:color="auto"/>
            </w:tcBorders>
            <w:shd w:val="clear" w:color="000000" w:fill="FFFFFF"/>
            <w:vAlign w:val="center"/>
          </w:tcPr>
          <w:p w14:paraId="27A4F3D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480" w:type="pct"/>
            <w:tcBorders>
              <w:top w:val="nil"/>
              <w:left w:val="nil"/>
              <w:bottom w:val="single" w:sz="4" w:space="0" w:color="auto"/>
              <w:right w:val="single" w:sz="4" w:space="0" w:color="auto"/>
            </w:tcBorders>
            <w:shd w:val="clear" w:color="000000" w:fill="FFFFFF"/>
            <w:noWrap/>
            <w:vAlign w:val="center"/>
          </w:tcPr>
          <w:p w14:paraId="7E01BD0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2021</w:t>
            </w:r>
            <w:r>
              <w:rPr>
                <w:rFonts w:ascii="宋体" w:hAnsi="宋体" w:cs="宋体" w:hint="eastAsia"/>
                <w:color w:val="000000"/>
                <w:kern w:val="0"/>
                <w:sz w:val="20"/>
                <w:szCs w:val="20"/>
              </w:rPr>
              <w:t>年</w:t>
            </w:r>
            <w:r>
              <w:rPr>
                <w:rFonts w:ascii="宋体" w:hAnsi="宋体" w:cs="宋体" w:hint="eastAsia"/>
                <w:color w:val="000000"/>
                <w:kern w:val="0"/>
                <w:sz w:val="20"/>
                <w:szCs w:val="20"/>
              </w:rPr>
              <w:t>12</w:t>
            </w:r>
            <w:r>
              <w:rPr>
                <w:rFonts w:ascii="宋体" w:hAnsi="宋体" w:cs="宋体" w:hint="eastAsia"/>
                <w:color w:val="000000"/>
                <w:kern w:val="0"/>
                <w:sz w:val="20"/>
                <w:szCs w:val="20"/>
              </w:rPr>
              <w:t>月</w:t>
            </w:r>
          </w:p>
        </w:tc>
      </w:tr>
      <w:tr w:rsidR="00445AD5" w14:paraId="093159A5" w14:textId="77777777">
        <w:trPr>
          <w:gridAfter w:val="4"/>
          <w:wAfter w:w="1390" w:type="pct"/>
          <w:trHeight w:val="624"/>
        </w:trPr>
        <w:tc>
          <w:tcPr>
            <w:tcW w:w="3609" w:type="pct"/>
            <w:gridSpan w:val="23"/>
            <w:vMerge w:val="restart"/>
            <w:tcBorders>
              <w:top w:val="nil"/>
              <w:left w:val="nil"/>
              <w:bottom w:val="nil"/>
              <w:right w:val="nil"/>
            </w:tcBorders>
            <w:shd w:val="clear" w:color="000000" w:fill="FFFFFF"/>
            <w:vAlign w:val="center"/>
          </w:tcPr>
          <w:p w14:paraId="025B9990" w14:textId="77777777" w:rsidR="00445AD5" w:rsidRDefault="00EA4B12">
            <w:pPr>
              <w:widowControl/>
              <w:jc w:val="center"/>
              <w:rPr>
                <w:rFonts w:ascii="宋体" w:hAnsi="宋体" w:cs="宋体"/>
                <w:b/>
                <w:bCs/>
                <w:color w:val="000000"/>
                <w:kern w:val="0"/>
                <w:sz w:val="32"/>
                <w:szCs w:val="32"/>
              </w:rPr>
            </w:pPr>
            <w:bookmarkStart w:id="1" w:name="RANGE!A1:T84"/>
            <w:r>
              <w:rPr>
                <w:rFonts w:ascii="宋体" w:hAnsi="宋体" w:cs="宋体" w:hint="eastAsia"/>
                <w:b/>
                <w:bCs/>
                <w:color w:val="000000"/>
                <w:kern w:val="0"/>
                <w:sz w:val="32"/>
                <w:szCs w:val="32"/>
              </w:rPr>
              <w:t>部门（单位）整体绩效自评表</w:t>
            </w:r>
            <w:r>
              <w:rPr>
                <w:rFonts w:ascii="宋体" w:hAnsi="宋体" w:cs="宋体" w:hint="eastAsia"/>
                <w:b/>
                <w:bCs/>
                <w:color w:val="000000"/>
                <w:kern w:val="0"/>
                <w:sz w:val="32"/>
                <w:szCs w:val="32"/>
              </w:rPr>
              <w:br/>
            </w:r>
            <w:r>
              <w:rPr>
                <w:rFonts w:ascii="宋体" w:hAnsi="宋体" w:cs="宋体" w:hint="eastAsia"/>
                <w:color w:val="000000"/>
                <w:kern w:val="0"/>
                <w:sz w:val="24"/>
              </w:rPr>
              <w:t>（</w:t>
            </w:r>
            <w:r>
              <w:rPr>
                <w:rFonts w:ascii="宋体" w:hAnsi="宋体" w:cs="宋体" w:hint="eastAsia"/>
                <w:color w:val="000000"/>
                <w:kern w:val="0"/>
                <w:sz w:val="24"/>
              </w:rPr>
              <w:t>2021</w:t>
            </w:r>
            <w:r>
              <w:rPr>
                <w:rFonts w:ascii="宋体" w:hAnsi="宋体" w:cs="宋体" w:hint="eastAsia"/>
                <w:color w:val="000000"/>
                <w:kern w:val="0"/>
                <w:sz w:val="24"/>
              </w:rPr>
              <w:t>年度）</w:t>
            </w:r>
            <w:bookmarkEnd w:id="1"/>
          </w:p>
        </w:tc>
      </w:tr>
      <w:tr w:rsidR="00445AD5" w14:paraId="2DA5E1ED" w14:textId="77777777">
        <w:trPr>
          <w:gridAfter w:val="4"/>
          <w:wAfter w:w="1390" w:type="pct"/>
          <w:trHeight w:val="624"/>
        </w:trPr>
        <w:tc>
          <w:tcPr>
            <w:tcW w:w="3609" w:type="pct"/>
            <w:gridSpan w:val="23"/>
            <w:vMerge/>
            <w:tcBorders>
              <w:top w:val="nil"/>
              <w:left w:val="nil"/>
              <w:bottom w:val="nil"/>
              <w:right w:val="nil"/>
            </w:tcBorders>
            <w:vAlign w:val="center"/>
          </w:tcPr>
          <w:p w14:paraId="223D8684" w14:textId="77777777" w:rsidR="00445AD5" w:rsidRDefault="00445AD5">
            <w:pPr>
              <w:widowControl/>
              <w:jc w:val="left"/>
              <w:rPr>
                <w:rFonts w:ascii="宋体" w:hAnsi="宋体" w:cs="宋体"/>
                <w:b/>
                <w:bCs/>
                <w:color w:val="000000"/>
                <w:kern w:val="0"/>
                <w:sz w:val="32"/>
                <w:szCs w:val="32"/>
              </w:rPr>
            </w:pPr>
          </w:p>
        </w:tc>
      </w:tr>
      <w:tr w:rsidR="00445AD5" w14:paraId="6FBB2651" w14:textId="77777777">
        <w:trPr>
          <w:gridAfter w:val="4"/>
          <w:wAfter w:w="1390" w:type="pct"/>
          <w:trHeight w:val="624"/>
        </w:trPr>
        <w:tc>
          <w:tcPr>
            <w:tcW w:w="3609" w:type="pct"/>
            <w:gridSpan w:val="23"/>
            <w:vMerge/>
            <w:tcBorders>
              <w:top w:val="nil"/>
              <w:left w:val="nil"/>
              <w:bottom w:val="nil"/>
              <w:right w:val="nil"/>
            </w:tcBorders>
            <w:vAlign w:val="center"/>
          </w:tcPr>
          <w:p w14:paraId="42DFC6CC" w14:textId="77777777" w:rsidR="00445AD5" w:rsidRDefault="00445AD5">
            <w:pPr>
              <w:widowControl/>
              <w:jc w:val="left"/>
              <w:rPr>
                <w:rFonts w:ascii="宋体" w:hAnsi="宋体" w:cs="宋体"/>
                <w:b/>
                <w:bCs/>
                <w:color w:val="000000"/>
                <w:kern w:val="0"/>
                <w:sz w:val="32"/>
                <w:szCs w:val="32"/>
              </w:rPr>
            </w:pPr>
          </w:p>
        </w:tc>
      </w:tr>
      <w:tr w:rsidR="00445AD5" w14:paraId="6BF27B4D" w14:textId="77777777">
        <w:trPr>
          <w:gridAfter w:val="4"/>
          <w:wAfter w:w="1390" w:type="pct"/>
          <w:trHeight w:val="285"/>
        </w:trPr>
        <w:tc>
          <w:tcPr>
            <w:tcW w:w="65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01029C9"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部门（单位）名称</w:t>
            </w:r>
          </w:p>
        </w:tc>
        <w:tc>
          <w:tcPr>
            <w:tcW w:w="2952" w:type="pct"/>
            <w:gridSpan w:val="19"/>
            <w:tcBorders>
              <w:top w:val="single" w:sz="4" w:space="0" w:color="auto"/>
              <w:left w:val="nil"/>
              <w:bottom w:val="single" w:sz="4" w:space="0" w:color="auto"/>
              <w:right w:val="single" w:sz="4" w:space="0" w:color="auto"/>
            </w:tcBorders>
            <w:shd w:val="clear" w:color="000000" w:fill="FFFFFF"/>
            <w:vAlign w:val="center"/>
          </w:tcPr>
          <w:p w14:paraId="1BD5E42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161012</w:t>
            </w:r>
            <w:r>
              <w:rPr>
                <w:rFonts w:ascii="宋体" w:hAnsi="宋体" w:cs="宋体" w:hint="eastAsia"/>
                <w:color w:val="000000"/>
                <w:kern w:val="0"/>
                <w:sz w:val="20"/>
                <w:szCs w:val="20"/>
              </w:rPr>
              <w:t>盘锦市商贸物流基地建设服务中心</w:t>
            </w:r>
            <w:r>
              <w:rPr>
                <w:rFonts w:ascii="宋体" w:hAnsi="宋体" w:cs="宋体" w:hint="eastAsia"/>
                <w:color w:val="000000"/>
                <w:kern w:val="0"/>
                <w:sz w:val="20"/>
                <w:szCs w:val="20"/>
              </w:rPr>
              <w:t>-211100000</w:t>
            </w:r>
          </w:p>
        </w:tc>
      </w:tr>
      <w:tr w:rsidR="00445AD5" w14:paraId="6214E5A3" w14:textId="77777777">
        <w:trPr>
          <w:gridAfter w:val="4"/>
          <w:wAfter w:w="1390" w:type="pct"/>
          <w:trHeight w:val="312"/>
        </w:trPr>
        <w:tc>
          <w:tcPr>
            <w:tcW w:w="65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B854152"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部门年初预算收入金额</w:t>
            </w:r>
          </w:p>
        </w:tc>
        <w:tc>
          <w:tcPr>
            <w:tcW w:w="2952" w:type="pct"/>
            <w:gridSpan w:val="19"/>
            <w:tcBorders>
              <w:top w:val="single" w:sz="4" w:space="0" w:color="auto"/>
              <w:left w:val="nil"/>
              <w:bottom w:val="single" w:sz="4" w:space="0" w:color="auto"/>
              <w:right w:val="single" w:sz="4" w:space="0" w:color="auto"/>
            </w:tcBorders>
            <w:shd w:val="clear" w:color="000000" w:fill="FFFFFF"/>
            <w:vAlign w:val="center"/>
          </w:tcPr>
          <w:p w14:paraId="7EC9823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515.83</w:t>
            </w:r>
          </w:p>
        </w:tc>
      </w:tr>
      <w:tr w:rsidR="00445AD5" w14:paraId="62564DB7" w14:textId="77777777">
        <w:trPr>
          <w:gridAfter w:val="4"/>
          <w:wAfter w:w="1390" w:type="pct"/>
          <w:trHeight w:val="312"/>
        </w:trPr>
        <w:tc>
          <w:tcPr>
            <w:tcW w:w="656"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2903AB6"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部门年初预算支出金额</w:t>
            </w:r>
          </w:p>
        </w:tc>
        <w:tc>
          <w:tcPr>
            <w:tcW w:w="2952" w:type="pct"/>
            <w:gridSpan w:val="19"/>
            <w:tcBorders>
              <w:top w:val="single" w:sz="4" w:space="0" w:color="auto"/>
              <w:left w:val="nil"/>
              <w:bottom w:val="single" w:sz="4" w:space="0" w:color="auto"/>
              <w:right w:val="single" w:sz="4" w:space="0" w:color="auto"/>
            </w:tcBorders>
            <w:shd w:val="clear" w:color="000000" w:fill="FFFFFF"/>
            <w:vAlign w:val="center"/>
          </w:tcPr>
          <w:p w14:paraId="5D7F886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515.83</w:t>
            </w:r>
          </w:p>
        </w:tc>
      </w:tr>
      <w:tr w:rsidR="00445AD5" w14:paraId="7DB2F434" w14:textId="77777777">
        <w:trPr>
          <w:gridAfter w:val="4"/>
          <w:wAfter w:w="1390" w:type="pct"/>
          <w:trHeight w:val="312"/>
        </w:trPr>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5ADC4199"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年度主要任务</w:t>
            </w: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78D5B6D5"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工作名称</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24DBF118"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对应项目</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1AC2CA72"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项目下达金额</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41786AA8"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项目执行金额</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5F98658E"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项目执行率</w:t>
            </w:r>
          </w:p>
        </w:tc>
        <w:tc>
          <w:tcPr>
            <w:tcW w:w="181" w:type="pct"/>
            <w:tcBorders>
              <w:top w:val="nil"/>
              <w:left w:val="nil"/>
              <w:bottom w:val="single" w:sz="4" w:space="0" w:color="auto"/>
              <w:right w:val="single" w:sz="4" w:space="0" w:color="auto"/>
            </w:tcBorders>
            <w:shd w:val="clear" w:color="000000" w:fill="FFFFFF"/>
            <w:vAlign w:val="center"/>
          </w:tcPr>
          <w:p w14:paraId="1E7E7887"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181" w:type="pct"/>
            <w:tcBorders>
              <w:top w:val="nil"/>
              <w:left w:val="nil"/>
              <w:bottom w:val="single" w:sz="4" w:space="0" w:color="auto"/>
              <w:right w:val="single" w:sz="4" w:space="0" w:color="auto"/>
            </w:tcBorders>
            <w:shd w:val="clear" w:color="000000" w:fill="FFFFFF"/>
            <w:vAlign w:val="center"/>
          </w:tcPr>
          <w:p w14:paraId="09339789"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得分</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36638F02"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完成情况</w:t>
            </w:r>
          </w:p>
        </w:tc>
      </w:tr>
      <w:tr w:rsidR="00445AD5" w14:paraId="0F48D26A"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28E8D215"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0B90FA8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关于宣传省和市关于商贸物流现代产业链项目发展工作的有关政策措施</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51A36AF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现代物流产业链项目建设专项经费</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799BD0A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6.03785</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38B77D6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6.03</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5772F6B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46D0EC3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713342D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4214AA7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完成情况为</w:t>
            </w:r>
            <w:r>
              <w:rPr>
                <w:rFonts w:ascii="宋体" w:hAnsi="宋体" w:cs="宋体" w:hint="eastAsia"/>
                <w:color w:val="000000"/>
                <w:kern w:val="0"/>
                <w:sz w:val="20"/>
                <w:szCs w:val="20"/>
              </w:rPr>
              <w:t>100%</w:t>
            </w:r>
          </w:p>
        </w:tc>
      </w:tr>
      <w:tr w:rsidR="00445AD5" w14:paraId="25CE1F10"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5002FF19"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3C289EB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参与“一带一路“物流基地专项建设</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17F93B6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一带一路物流基地建设工作经费</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26ADB3A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2.5866</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4B9FADD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2.58</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19ACD79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23F5A64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1387529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1927309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01B30373"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74D1B07F"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41428F7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发展农产品及冷链物流产业助力乡村振兴专项经费重点园区重点项目全程服务</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0D049ED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发展农产品及冷链物流产业，助力乡村振兴专项经费</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1DC3DB4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3B338D0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7ECC70C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39F9252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49E8D3D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7F864CE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1E7712C8"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0058CB63"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0FE2C7E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推动再生资源绿业化、循环化、行业高质量创新发展专项经费</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323045D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推动再生资源行业高质量创新发展专项经费</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267B6EF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0.246</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2F0E58F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0.24</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75BE338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33E3626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3E58A14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400E114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2D2E0747"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43692045"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0C344CC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全市现代商贸物流产业培训和行业调查、信息咨询举办产业相关技能活动专项经费</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103A96B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全市现代商贸物流产业培训和举办产业相关技能活动专项经费</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7720370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0.7105</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57444DF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0.71</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5C812C0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1910CE3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1FC44E1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14D5E07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547C8E2B"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560A7AC7"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2C5D7EA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发展石化物流发展经验，对联行业龙头企业与域内企业对接项目经费</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02DC3A5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发展石化物流工作经费</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47C9857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0.398</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2125379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0.39</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45022A4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1A4C559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60E738F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0894103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63E41DAE"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1A552D6E"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3A10D6E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主要宣传盘锦及推介盘锦等到项目经费</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3ABAD23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宣传及推介经费</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6FCB33B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3.3846</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3889607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3.38</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70D5BF2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70C5A5C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6470E23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3AD039E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3F35D3BA"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136674C9"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2644FF8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加快推进重点粮食物流项目建设，完成产业链条工作经费</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6BCF9FD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发展粮食物流工作经费</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7752CA4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0754DB1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7A11724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81" w:type="pct"/>
            <w:tcBorders>
              <w:top w:val="nil"/>
              <w:left w:val="nil"/>
              <w:bottom w:val="single" w:sz="4" w:space="0" w:color="auto"/>
              <w:right w:val="single" w:sz="4" w:space="0" w:color="auto"/>
            </w:tcBorders>
            <w:shd w:val="clear" w:color="000000" w:fill="FFFFFF"/>
            <w:vAlign w:val="center"/>
          </w:tcPr>
          <w:p w14:paraId="67155FB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2512105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41E71C3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416498C7"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0B710697"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272DA15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开展为商贸物流基地重点园区、重点企业、提供政策咨询，推进楼宇工作经济专项经费</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79F2231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推进楼宇工作经济专项经费</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577D87B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011CD1B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39162CA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81" w:type="pct"/>
            <w:tcBorders>
              <w:top w:val="nil"/>
              <w:left w:val="nil"/>
              <w:bottom w:val="single" w:sz="4" w:space="0" w:color="auto"/>
              <w:right w:val="single" w:sz="4" w:space="0" w:color="auto"/>
            </w:tcBorders>
            <w:shd w:val="clear" w:color="000000" w:fill="FFFFFF"/>
            <w:vAlign w:val="center"/>
          </w:tcPr>
          <w:p w14:paraId="731EEBC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4DB4926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78828DF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71EDD379"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13F3752A"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1FC4C2B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认真完成商贸物流基地建设服务中心重点工作，加强财务管理，完成财务工作。</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28028EA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人员类项目</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6C615A2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563.830648</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48A1E0C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563.83</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0ED9D7E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3D7664E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181" w:type="pct"/>
            <w:tcBorders>
              <w:top w:val="nil"/>
              <w:left w:val="nil"/>
              <w:bottom w:val="single" w:sz="4" w:space="0" w:color="auto"/>
              <w:right w:val="single" w:sz="4" w:space="0" w:color="auto"/>
            </w:tcBorders>
            <w:shd w:val="clear" w:color="000000" w:fill="FFFFFF"/>
            <w:vAlign w:val="center"/>
          </w:tcPr>
          <w:p w14:paraId="61FEED6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2D0E3B1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489B7ED2"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27F9B774" w14:textId="77777777" w:rsidR="00445AD5" w:rsidRDefault="00445AD5">
            <w:pPr>
              <w:widowControl/>
              <w:jc w:val="left"/>
              <w:rPr>
                <w:rFonts w:ascii="宋体" w:hAnsi="宋体" w:cs="宋体"/>
                <w:b/>
                <w:bCs/>
                <w:color w:val="000000"/>
                <w:kern w:val="0"/>
                <w:sz w:val="20"/>
                <w:szCs w:val="20"/>
              </w:rPr>
            </w:pPr>
          </w:p>
        </w:tc>
        <w:tc>
          <w:tcPr>
            <w:tcW w:w="838" w:type="pct"/>
            <w:gridSpan w:val="5"/>
            <w:tcBorders>
              <w:top w:val="single" w:sz="4" w:space="0" w:color="auto"/>
              <w:left w:val="nil"/>
              <w:bottom w:val="single" w:sz="4" w:space="0" w:color="auto"/>
              <w:right w:val="single" w:sz="4" w:space="0" w:color="000000"/>
            </w:tcBorders>
            <w:shd w:val="clear" w:color="000000" w:fill="FFFFFF"/>
            <w:vAlign w:val="center"/>
          </w:tcPr>
          <w:p w14:paraId="0C00B73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认真完成商贸物流基地建设服务中心建设及维护各项工作任务</w:t>
            </w:r>
          </w:p>
        </w:tc>
        <w:tc>
          <w:tcPr>
            <w:tcW w:w="832" w:type="pct"/>
            <w:gridSpan w:val="5"/>
            <w:tcBorders>
              <w:top w:val="single" w:sz="4" w:space="0" w:color="auto"/>
              <w:left w:val="nil"/>
              <w:bottom w:val="single" w:sz="4" w:space="0" w:color="auto"/>
              <w:right w:val="single" w:sz="4" w:space="0" w:color="000000"/>
            </w:tcBorders>
            <w:shd w:val="clear" w:color="000000" w:fill="FFFFFF"/>
            <w:vAlign w:val="center"/>
          </w:tcPr>
          <w:p w14:paraId="3A2ACB0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公用经费项目</w:t>
            </w:r>
          </w:p>
        </w:tc>
        <w:tc>
          <w:tcPr>
            <w:tcW w:w="427" w:type="pct"/>
            <w:gridSpan w:val="3"/>
            <w:tcBorders>
              <w:top w:val="single" w:sz="4" w:space="0" w:color="auto"/>
              <w:left w:val="nil"/>
              <w:bottom w:val="single" w:sz="4" w:space="0" w:color="auto"/>
              <w:right w:val="single" w:sz="4" w:space="0" w:color="000000"/>
            </w:tcBorders>
            <w:shd w:val="clear" w:color="000000" w:fill="FFFFFF"/>
            <w:vAlign w:val="center"/>
          </w:tcPr>
          <w:p w14:paraId="0810EDD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52.710851</w:t>
            </w:r>
          </w:p>
        </w:tc>
        <w:tc>
          <w:tcPr>
            <w:tcW w:w="293" w:type="pct"/>
            <w:gridSpan w:val="2"/>
            <w:tcBorders>
              <w:top w:val="single" w:sz="4" w:space="0" w:color="auto"/>
              <w:left w:val="nil"/>
              <w:bottom w:val="single" w:sz="4" w:space="0" w:color="auto"/>
              <w:right w:val="single" w:sz="4" w:space="0" w:color="000000"/>
            </w:tcBorders>
            <w:shd w:val="clear" w:color="000000" w:fill="FFFFFF"/>
            <w:vAlign w:val="center"/>
          </w:tcPr>
          <w:p w14:paraId="19EC202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52.71</w:t>
            </w:r>
          </w:p>
        </w:tc>
        <w:tc>
          <w:tcPr>
            <w:tcW w:w="433" w:type="pct"/>
            <w:gridSpan w:val="3"/>
            <w:tcBorders>
              <w:top w:val="single" w:sz="4" w:space="0" w:color="auto"/>
              <w:left w:val="nil"/>
              <w:bottom w:val="single" w:sz="4" w:space="0" w:color="auto"/>
              <w:right w:val="single" w:sz="4" w:space="0" w:color="000000"/>
            </w:tcBorders>
            <w:shd w:val="clear" w:color="000000" w:fill="FFFFFF"/>
            <w:vAlign w:val="center"/>
          </w:tcPr>
          <w:p w14:paraId="669251F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300AE15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81" w:type="pct"/>
            <w:tcBorders>
              <w:top w:val="nil"/>
              <w:left w:val="nil"/>
              <w:bottom w:val="single" w:sz="4" w:space="0" w:color="auto"/>
              <w:right w:val="single" w:sz="4" w:space="0" w:color="auto"/>
            </w:tcBorders>
            <w:shd w:val="clear" w:color="000000" w:fill="FFFFFF"/>
            <w:vAlign w:val="center"/>
          </w:tcPr>
          <w:p w14:paraId="3DDDC48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275" w:type="pct"/>
            <w:gridSpan w:val="2"/>
            <w:tcBorders>
              <w:top w:val="single" w:sz="4" w:space="0" w:color="auto"/>
              <w:left w:val="nil"/>
              <w:bottom w:val="single" w:sz="4" w:space="0" w:color="auto"/>
              <w:right w:val="single" w:sz="4" w:space="0" w:color="000000"/>
            </w:tcBorders>
            <w:shd w:val="clear" w:color="000000" w:fill="FFFFFF"/>
            <w:vAlign w:val="center"/>
          </w:tcPr>
          <w:p w14:paraId="627BCC5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完成情况</w:t>
            </w:r>
            <w:r>
              <w:rPr>
                <w:rFonts w:ascii="宋体" w:hAnsi="宋体" w:cs="宋体" w:hint="eastAsia"/>
                <w:color w:val="000000"/>
                <w:kern w:val="0"/>
                <w:sz w:val="20"/>
                <w:szCs w:val="20"/>
              </w:rPr>
              <w:t>100%</w:t>
            </w:r>
          </w:p>
        </w:tc>
      </w:tr>
      <w:tr w:rsidR="00445AD5" w14:paraId="746BC8AC" w14:textId="77777777">
        <w:trPr>
          <w:gridAfter w:val="4"/>
          <w:wAfter w:w="1390" w:type="pct"/>
          <w:trHeight w:val="312"/>
        </w:trPr>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6D76E298"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年度目标</w:t>
            </w:r>
          </w:p>
        </w:tc>
        <w:tc>
          <w:tcPr>
            <w:tcW w:w="1852" w:type="pct"/>
            <w:gridSpan w:val="12"/>
            <w:tcBorders>
              <w:top w:val="single" w:sz="4" w:space="0" w:color="auto"/>
              <w:left w:val="nil"/>
              <w:bottom w:val="single" w:sz="4" w:space="0" w:color="auto"/>
              <w:right w:val="single" w:sz="4" w:space="0" w:color="000000"/>
            </w:tcBorders>
            <w:shd w:val="clear" w:color="000000" w:fill="FFFFFF"/>
            <w:vAlign w:val="center"/>
          </w:tcPr>
          <w:p w14:paraId="6301B638"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年初总体目标</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1C21BF41"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全年完成情况</w:t>
            </w:r>
          </w:p>
        </w:tc>
      </w:tr>
      <w:tr w:rsidR="00445AD5" w14:paraId="007DC1BE" w14:textId="77777777">
        <w:trPr>
          <w:gridAfter w:val="4"/>
          <w:wAfter w:w="1390" w:type="pct"/>
          <w:trHeight w:val="480"/>
        </w:trPr>
        <w:tc>
          <w:tcPr>
            <w:tcW w:w="146" w:type="pct"/>
            <w:vMerge/>
            <w:tcBorders>
              <w:top w:val="nil"/>
              <w:left w:val="single" w:sz="4" w:space="0" w:color="auto"/>
              <w:bottom w:val="single" w:sz="4" w:space="0" w:color="auto"/>
              <w:right w:val="single" w:sz="4" w:space="0" w:color="auto"/>
            </w:tcBorders>
            <w:vAlign w:val="center"/>
          </w:tcPr>
          <w:p w14:paraId="29714335" w14:textId="77777777" w:rsidR="00445AD5" w:rsidRDefault="00445AD5">
            <w:pPr>
              <w:widowControl/>
              <w:jc w:val="left"/>
              <w:rPr>
                <w:rFonts w:ascii="宋体" w:hAnsi="宋体" w:cs="宋体"/>
                <w:b/>
                <w:bCs/>
                <w:color w:val="000000"/>
                <w:kern w:val="0"/>
                <w:sz w:val="20"/>
                <w:szCs w:val="20"/>
              </w:rPr>
            </w:pPr>
          </w:p>
        </w:tc>
        <w:tc>
          <w:tcPr>
            <w:tcW w:w="1852" w:type="pct"/>
            <w:gridSpan w:val="12"/>
            <w:tcBorders>
              <w:top w:val="single" w:sz="4" w:space="0" w:color="auto"/>
              <w:left w:val="nil"/>
              <w:bottom w:val="single" w:sz="4" w:space="0" w:color="auto"/>
              <w:right w:val="single" w:sz="4" w:space="0" w:color="000000"/>
            </w:tcBorders>
            <w:shd w:val="clear" w:color="000000" w:fill="FFFFFF"/>
            <w:vAlign w:val="center"/>
          </w:tcPr>
          <w:p w14:paraId="48CA8E2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认真完成商贸物流基地建设服务中心的建设及维护各项工作任务</w:t>
            </w:r>
            <w:r>
              <w:rPr>
                <w:rFonts w:ascii="宋体" w:hAnsi="宋体" w:cs="宋体" w:hint="eastAsia"/>
                <w:color w:val="000000"/>
                <w:kern w:val="0"/>
                <w:sz w:val="20"/>
                <w:szCs w:val="20"/>
              </w:rPr>
              <w:br/>
            </w:r>
            <w:r>
              <w:rPr>
                <w:rFonts w:ascii="宋体" w:hAnsi="宋体" w:cs="宋体" w:hint="eastAsia"/>
                <w:color w:val="000000"/>
                <w:kern w:val="0"/>
                <w:sz w:val="20"/>
                <w:szCs w:val="20"/>
              </w:rPr>
              <w:t>宣传省和市关于商贸物流现代产业链项目发展有关措施遇到问题向有关部门反映企业诉求</w:t>
            </w:r>
            <w:r>
              <w:rPr>
                <w:rFonts w:ascii="宋体" w:hAnsi="宋体" w:cs="宋体" w:hint="eastAsia"/>
                <w:color w:val="000000"/>
                <w:kern w:val="0"/>
                <w:sz w:val="20"/>
                <w:szCs w:val="20"/>
              </w:rPr>
              <w:br/>
            </w:r>
            <w:r>
              <w:rPr>
                <w:rFonts w:ascii="宋体" w:hAnsi="宋体" w:cs="宋体" w:hint="eastAsia"/>
                <w:color w:val="000000"/>
                <w:kern w:val="0"/>
                <w:sz w:val="20"/>
                <w:szCs w:val="20"/>
              </w:rPr>
              <w:t>参与一带一路等物流大通道建设积极构建营销和物流网络承担物流产业园服务工作</w:t>
            </w:r>
            <w:r>
              <w:rPr>
                <w:rFonts w:ascii="宋体" w:hAnsi="宋体" w:cs="宋体" w:hint="eastAsia"/>
                <w:color w:val="000000"/>
                <w:kern w:val="0"/>
                <w:sz w:val="20"/>
                <w:szCs w:val="20"/>
              </w:rPr>
              <w:br/>
            </w:r>
            <w:r>
              <w:rPr>
                <w:rFonts w:ascii="宋体" w:hAnsi="宋体" w:cs="宋体" w:hint="eastAsia"/>
                <w:color w:val="000000"/>
                <w:kern w:val="0"/>
                <w:sz w:val="20"/>
                <w:szCs w:val="20"/>
              </w:rPr>
              <w:t>推动再生资源行业绿业化高值化专业化发展负责再生资源企业的服务工作。</w:t>
            </w:r>
            <w:r>
              <w:rPr>
                <w:rFonts w:ascii="宋体" w:hAnsi="宋体" w:cs="宋体" w:hint="eastAsia"/>
                <w:color w:val="000000"/>
                <w:kern w:val="0"/>
                <w:sz w:val="20"/>
                <w:szCs w:val="20"/>
              </w:rPr>
              <w:br/>
            </w:r>
            <w:r>
              <w:rPr>
                <w:rFonts w:ascii="宋体" w:hAnsi="宋体" w:cs="宋体" w:hint="eastAsia"/>
                <w:color w:val="000000"/>
                <w:kern w:val="0"/>
                <w:sz w:val="20"/>
                <w:szCs w:val="20"/>
              </w:rPr>
              <w:t>负责宣传及推介商贸物流基地建设服务中心的工作</w:t>
            </w:r>
            <w:r>
              <w:rPr>
                <w:rFonts w:ascii="宋体" w:hAnsi="宋体" w:cs="宋体" w:hint="eastAsia"/>
                <w:color w:val="000000"/>
                <w:kern w:val="0"/>
                <w:sz w:val="20"/>
                <w:szCs w:val="20"/>
              </w:rPr>
              <w:br/>
            </w:r>
            <w:r>
              <w:rPr>
                <w:rFonts w:ascii="宋体" w:hAnsi="宋体" w:cs="宋体" w:hint="eastAsia"/>
                <w:color w:val="000000"/>
                <w:kern w:val="0"/>
                <w:sz w:val="20"/>
                <w:szCs w:val="20"/>
              </w:rPr>
              <w:t>学习国内发达地区及龙头企业石化物流发展经验对联行业龙头企业与域内企业对接</w:t>
            </w:r>
            <w:r>
              <w:rPr>
                <w:rFonts w:ascii="宋体" w:hAnsi="宋体" w:cs="宋体" w:hint="eastAsia"/>
                <w:color w:val="000000"/>
                <w:kern w:val="0"/>
                <w:sz w:val="20"/>
                <w:szCs w:val="20"/>
              </w:rPr>
              <w:br/>
            </w:r>
            <w:r>
              <w:rPr>
                <w:rFonts w:ascii="宋体" w:hAnsi="宋体" w:cs="宋体" w:hint="eastAsia"/>
                <w:color w:val="000000"/>
                <w:kern w:val="0"/>
                <w:sz w:val="20"/>
                <w:szCs w:val="20"/>
              </w:rPr>
              <w:t>加快推进重点粮食物流项目建设完成产业链条工作</w:t>
            </w:r>
            <w:r>
              <w:rPr>
                <w:rFonts w:ascii="宋体" w:hAnsi="宋体" w:cs="宋体" w:hint="eastAsia"/>
                <w:color w:val="000000"/>
                <w:kern w:val="0"/>
                <w:sz w:val="20"/>
                <w:szCs w:val="20"/>
              </w:rPr>
              <w:br/>
            </w:r>
            <w:r>
              <w:rPr>
                <w:rFonts w:ascii="宋体" w:hAnsi="宋体" w:cs="宋体" w:hint="eastAsia"/>
                <w:color w:val="000000"/>
                <w:kern w:val="0"/>
                <w:sz w:val="20"/>
                <w:szCs w:val="20"/>
              </w:rPr>
              <w:t>开展为商贸物流基地重点园区重点企业</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提供政策咨询推进楼宇工作经济</w:t>
            </w:r>
            <w:r>
              <w:rPr>
                <w:rFonts w:ascii="宋体" w:hAnsi="宋体" w:cs="宋体" w:hint="eastAsia"/>
                <w:color w:val="000000"/>
                <w:kern w:val="0"/>
                <w:sz w:val="20"/>
                <w:szCs w:val="20"/>
              </w:rPr>
              <w:br/>
            </w:r>
            <w:r>
              <w:rPr>
                <w:rFonts w:ascii="宋体" w:hAnsi="宋体" w:cs="宋体" w:hint="eastAsia"/>
                <w:color w:val="000000"/>
                <w:kern w:val="0"/>
                <w:sz w:val="20"/>
                <w:szCs w:val="20"/>
              </w:rPr>
              <w:t>全市现代商贸物流产业培训和行业调查信息咨询并举办产</w:t>
            </w:r>
            <w:r>
              <w:rPr>
                <w:rFonts w:ascii="宋体" w:hAnsi="宋体" w:cs="宋体" w:hint="eastAsia"/>
                <w:color w:val="000000"/>
                <w:kern w:val="0"/>
                <w:sz w:val="20"/>
                <w:szCs w:val="20"/>
              </w:rPr>
              <w:lastRenderedPageBreak/>
              <w:t>业相关技</w:t>
            </w:r>
            <w:r>
              <w:rPr>
                <w:rFonts w:ascii="宋体" w:hAnsi="宋体" w:cs="宋体" w:hint="eastAsia"/>
                <w:color w:val="000000"/>
                <w:kern w:val="0"/>
                <w:sz w:val="20"/>
                <w:szCs w:val="20"/>
              </w:rPr>
              <w:t>能活动</w:t>
            </w:r>
            <w:r>
              <w:rPr>
                <w:rFonts w:ascii="宋体" w:hAnsi="宋体" w:cs="宋体" w:hint="eastAsia"/>
                <w:color w:val="000000"/>
                <w:kern w:val="0"/>
                <w:sz w:val="20"/>
                <w:szCs w:val="20"/>
              </w:rPr>
              <w:br/>
            </w:r>
            <w:r>
              <w:rPr>
                <w:rFonts w:ascii="宋体" w:hAnsi="宋体" w:cs="宋体" w:hint="eastAsia"/>
                <w:color w:val="000000"/>
                <w:kern w:val="0"/>
                <w:sz w:val="20"/>
                <w:szCs w:val="20"/>
              </w:rPr>
              <w:t>发展农产品及冷链物流产业助力乡村振兴重点园区重点项目全程服务</w:t>
            </w:r>
            <w:r>
              <w:rPr>
                <w:rFonts w:ascii="宋体" w:hAnsi="宋体" w:cs="宋体" w:hint="eastAsia"/>
                <w:color w:val="000000"/>
                <w:kern w:val="0"/>
                <w:sz w:val="20"/>
                <w:szCs w:val="20"/>
              </w:rPr>
              <w:br/>
            </w:r>
            <w:r>
              <w:rPr>
                <w:rFonts w:ascii="宋体" w:hAnsi="宋体" w:cs="宋体" w:hint="eastAsia"/>
                <w:color w:val="000000"/>
                <w:kern w:val="0"/>
                <w:sz w:val="20"/>
                <w:szCs w:val="20"/>
              </w:rPr>
              <w:t>认真完成商贸物流中心重点工作完成好各项工作任务</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06EE952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完成情况</w:t>
            </w:r>
            <w:r>
              <w:rPr>
                <w:rFonts w:ascii="宋体" w:hAnsi="宋体" w:cs="宋体" w:hint="eastAsia"/>
                <w:color w:val="000000"/>
                <w:kern w:val="0"/>
                <w:sz w:val="20"/>
                <w:szCs w:val="20"/>
              </w:rPr>
              <w:t>100%</w:t>
            </w:r>
          </w:p>
        </w:tc>
      </w:tr>
      <w:tr w:rsidR="00445AD5" w14:paraId="7286FE0A" w14:textId="77777777">
        <w:trPr>
          <w:gridAfter w:val="4"/>
          <w:wAfter w:w="1390" w:type="pct"/>
          <w:trHeight w:val="285"/>
        </w:trPr>
        <w:tc>
          <w:tcPr>
            <w:tcW w:w="146" w:type="pct"/>
            <w:vMerge w:val="restart"/>
            <w:tcBorders>
              <w:top w:val="nil"/>
              <w:left w:val="single" w:sz="4" w:space="0" w:color="auto"/>
              <w:bottom w:val="nil"/>
              <w:right w:val="single" w:sz="4" w:space="0" w:color="auto"/>
            </w:tcBorders>
            <w:shd w:val="clear" w:color="000000" w:fill="FFFFFF"/>
            <w:vAlign w:val="center"/>
          </w:tcPr>
          <w:p w14:paraId="4CE331D4"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绩效指标</w:t>
            </w: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2796B5A9"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2275B658"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216" w:type="pct"/>
            <w:vMerge w:val="restart"/>
            <w:tcBorders>
              <w:top w:val="nil"/>
              <w:left w:val="single" w:sz="4" w:space="0" w:color="auto"/>
              <w:bottom w:val="single" w:sz="4" w:space="0" w:color="auto"/>
              <w:right w:val="single" w:sz="4" w:space="0" w:color="auto"/>
            </w:tcBorders>
            <w:shd w:val="clear" w:color="000000" w:fill="FFFFFF"/>
            <w:vAlign w:val="center"/>
          </w:tcPr>
          <w:p w14:paraId="7539E86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004A6E29"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运算符号</w:t>
            </w:r>
          </w:p>
        </w:tc>
        <w:tc>
          <w:tcPr>
            <w:tcW w:w="181" w:type="pct"/>
            <w:vMerge w:val="restart"/>
            <w:tcBorders>
              <w:top w:val="nil"/>
              <w:left w:val="single" w:sz="4" w:space="0" w:color="auto"/>
              <w:bottom w:val="single" w:sz="4" w:space="0" w:color="auto"/>
              <w:right w:val="single" w:sz="4" w:space="0" w:color="auto"/>
            </w:tcBorders>
            <w:shd w:val="clear" w:color="000000" w:fill="FFFFFF"/>
            <w:vAlign w:val="center"/>
          </w:tcPr>
          <w:p w14:paraId="57DD5BF9"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指标值</w:t>
            </w:r>
          </w:p>
        </w:tc>
        <w:tc>
          <w:tcPr>
            <w:tcW w:w="146" w:type="pct"/>
            <w:gridSpan w:val="2"/>
            <w:vMerge w:val="restart"/>
            <w:tcBorders>
              <w:top w:val="nil"/>
              <w:left w:val="single" w:sz="4" w:space="0" w:color="auto"/>
              <w:bottom w:val="single" w:sz="4" w:space="0" w:color="auto"/>
              <w:right w:val="single" w:sz="4" w:space="0" w:color="auto"/>
            </w:tcBorders>
            <w:shd w:val="clear" w:color="000000" w:fill="FFFFFF"/>
            <w:vAlign w:val="center"/>
          </w:tcPr>
          <w:p w14:paraId="408D7B8D"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度量单位</w:t>
            </w:r>
          </w:p>
        </w:tc>
        <w:tc>
          <w:tcPr>
            <w:tcW w:w="357" w:type="pct"/>
            <w:vMerge w:val="restart"/>
            <w:tcBorders>
              <w:top w:val="nil"/>
              <w:left w:val="single" w:sz="4" w:space="0" w:color="auto"/>
              <w:bottom w:val="single" w:sz="4" w:space="0" w:color="000000"/>
              <w:right w:val="single" w:sz="4" w:space="0" w:color="auto"/>
            </w:tcBorders>
            <w:shd w:val="clear" w:color="000000" w:fill="FFFFFF"/>
            <w:vAlign w:val="center"/>
          </w:tcPr>
          <w:p w14:paraId="34B365CE"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全年完成值</w:t>
            </w:r>
          </w:p>
        </w:tc>
        <w:tc>
          <w:tcPr>
            <w:tcW w:w="146" w:type="pct"/>
            <w:vMerge w:val="restart"/>
            <w:tcBorders>
              <w:top w:val="nil"/>
              <w:left w:val="single" w:sz="4" w:space="0" w:color="auto"/>
              <w:bottom w:val="single" w:sz="4" w:space="0" w:color="000000"/>
              <w:right w:val="single" w:sz="4" w:space="0" w:color="auto"/>
            </w:tcBorders>
            <w:shd w:val="clear" w:color="000000" w:fill="FFFFFF"/>
            <w:vAlign w:val="center"/>
          </w:tcPr>
          <w:p w14:paraId="0A686748"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完成程度</w:t>
            </w:r>
          </w:p>
        </w:tc>
        <w:tc>
          <w:tcPr>
            <w:tcW w:w="181" w:type="pct"/>
            <w:vMerge w:val="restart"/>
            <w:tcBorders>
              <w:top w:val="nil"/>
              <w:left w:val="single" w:sz="4" w:space="0" w:color="auto"/>
              <w:bottom w:val="single" w:sz="4" w:space="0" w:color="000000"/>
              <w:right w:val="single" w:sz="4" w:space="0" w:color="auto"/>
            </w:tcBorders>
            <w:shd w:val="clear" w:color="000000" w:fill="FFFFFF"/>
            <w:vAlign w:val="center"/>
          </w:tcPr>
          <w:p w14:paraId="07755E3E"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182" w:type="pct"/>
            <w:gridSpan w:val="2"/>
            <w:vMerge w:val="restart"/>
            <w:tcBorders>
              <w:top w:val="nil"/>
              <w:left w:val="single" w:sz="4" w:space="0" w:color="auto"/>
              <w:bottom w:val="single" w:sz="4" w:space="0" w:color="000000"/>
              <w:right w:val="single" w:sz="4" w:space="0" w:color="auto"/>
            </w:tcBorders>
            <w:shd w:val="clear" w:color="000000" w:fill="FFFFFF"/>
            <w:vAlign w:val="center"/>
          </w:tcPr>
          <w:p w14:paraId="46520C89"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c>
          <w:tcPr>
            <w:tcW w:w="971" w:type="pct"/>
            <w:gridSpan w:val="6"/>
            <w:tcBorders>
              <w:top w:val="nil"/>
              <w:left w:val="nil"/>
              <w:bottom w:val="single" w:sz="4" w:space="0" w:color="auto"/>
              <w:right w:val="single" w:sz="4" w:space="0" w:color="auto"/>
            </w:tcBorders>
            <w:shd w:val="clear" w:color="000000" w:fill="FFFFFF"/>
            <w:vAlign w:val="center"/>
          </w:tcPr>
          <w:p w14:paraId="2FC3CAE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偏差原因分析</w:t>
            </w:r>
          </w:p>
        </w:tc>
        <w:tc>
          <w:tcPr>
            <w:tcW w:w="638"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1B45E937"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改进措施</w:t>
            </w:r>
          </w:p>
        </w:tc>
      </w:tr>
      <w:tr w:rsidR="00445AD5" w14:paraId="1F203B73" w14:textId="77777777">
        <w:trPr>
          <w:gridAfter w:val="4"/>
          <w:wAfter w:w="1390" w:type="pct"/>
          <w:trHeight w:val="960"/>
        </w:trPr>
        <w:tc>
          <w:tcPr>
            <w:tcW w:w="146" w:type="pct"/>
            <w:vMerge/>
            <w:tcBorders>
              <w:top w:val="nil"/>
              <w:left w:val="single" w:sz="4" w:space="0" w:color="auto"/>
              <w:bottom w:val="nil"/>
              <w:right w:val="single" w:sz="4" w:space="0" w:color="auto"/>
            </w:tcBorders>
            <w:vAlign w:val="center"/>
          </w:tcPr>
          <w:p w14:paraId="4E000A18"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5AA3B90F"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371FA609" w14:textId="77777777" w:rsidR="00445AD5" w:rsidRDefault="00445AD5">
            <w:pPr>
              <w:widowControl/>
              <w:jc w:val="left"/>
              <w:rPr>
                <w:rFonts w:ascii="宋体" w:hAnsi="宋体" w:cs="宋体"/>
                <w:b/>
                <w:bCs/>
                <w:color w:val="000000"/>
                <w:kern w:val="0"/>
                <w:sz w:val="20"/>
                <w:szCs w:val="20"/>
              </w:rPr>
            </w:pPr>
          </w:p>
        </w:tc>
        <w:tc>
          <w:tcPr>
            <w:tcW w:w="216" w:type="pct"/>
            <w:vMerge/>
            <w:tcBorders>
              <w:top w:val="nil"/>
              <w:left w:val="single" w:sz="4" w:space="0" w:color="auto"/>
              <w:bottom w:val="single" w:sz="4" w:space="0" w:color="auto"/>
              <w:right w:val="single" w:sz="4" w:space="0" w:color="auto"/>
            </w:tcBorders>
            <w:vAlign w:val="center"/>
          </w:tcPr>
          <w:p w14:paraId="7B597E74"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608AE952" w14:textId="77777777" w:rsidR="00445AD5" w:rsidRDefault="00445AD5">
            <w:pPr>
              <w:widowControl/>
              <w:jc w:val="left"/>
              <w:rPr>
                <w:rFonts w:ascii="宋体" w:hAnsi="宋体" w:cs="宋体"/>
                <w:b/>
                <w:bCs/>
                <w:color w:val="000000"/>
                <w:kern w:val="0"/>
                <w:sz w:val="20"/>
                <w:szCs w:val="20"/>
              </w:rPr>
            </w:pPr>
          </w:p>
        </w:tc>
        <w:tc>
          <w:tcPr>
            <w:tcW w:w="181" w:type="pct"/>
            <w:vMerge/>
            <w:tcBorders>
              <w:top w:val="nil"/>
              <w:left w:val="single" w:sz="4" w:space="0" w:color="auto"/>
              <w:bottom w:val="single" w:sz="4" w:space="0" w:color="auto"/>
              <w:right w:val="single" w:sz="4" w:space="0" w:color="auto"/>
            </w:tcBorders>
            <w:vAlign w:val="center"/>
          </w:tcPr>
          <w:p w14:paraId="008740FB" w14:textId="77777777" w:rsidR="00445AD5" w:rsidRDefault="00445AD5">
            <w:pPr>
              <w:widowControl/>
              <w:jc w:val="left"/>
              <w:rPr>
                <w:rFonts w:ascii="宋体" w:hAnsi="宋体" w:cs="宋体"/>
                <w:b/>
                <w:bCs/>
                <w:color w:val="000000"/>
                <w:kern w:val="0"/>
                <w:sz w:val="20"/>
                <w:szCs w:val="20"/>
              </w:rPr>
            </w:pPr>
          </w:p>
        </w:tc>
        <w:tc>
          <w:tcPr>
            <w:tcW w:w="146" w:type="pct"/>
            <w:gridSpan w:val="2"/>
            <w:vMerge/>
            <w:tcBorders>
              <w:top w:val="nil"/>
              <w:left w:val="single" w:sz="4" w:space="0" w:color="auto"/>
              <w:bottom w:val="single" w:sz="4" w:space="0" w:color="auto"/>
              <w:right w:val="single" w:sz="4" w:space="0" w:color="auto"/>
            </w:tcBorders>
            <w:vAlign w:val="center"/>
          </w:tcPr>
          <w:p w14:paraId="3B25B39C" w14:textId="77777777" w:rsidR="00445AD5" w:rsidRDefault="00445AD5">
            <w:pPr>
              <w:widowControl/>
              <w:jc w:val="left"/>
              <w:rPr>
                <w:rFonts w:ascii="宋体" w:hAnsi="宋体" w:cs="宋体"/>
                <w:b/>
                <w:bCs/>
                <w:color w:val="000000"/>
                <w:kern w:val="0"/>
                <w:sz w:val="20"/>
                <w:szCs w:val="20"/>
              </w:rPr>
            </w:pPr>
          </w:p>
        </w:tc>
        <w:tc>
          <w:tcPr>
            <w:tcW w:w="357" w:type="pct"/>
            <w:vMerge/>
            <w:tcBorders>
              <w:top w:val="nil"/>
              <w:left w:val="single" w:sz="4" w:space="0" w:color="auto"/>
              <w:bottom w:val="single" w:sz="4" w:space="0" w:color="000000"/>
              <w:right w:val="single" w:sz="4" w:space="0" w:color="auto"/>
            </w:tcBorders>
            <w:vAlign w:val="center"/>
          </w:tcPr>
          <w:p w14:paraId="1063BBFE"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000000"/>
              <w:right w:val="single" w:sz="4" w:space="0" w:color="auto"/>
            </w:tcBorders>
            <w:vAlign w:val="center"/>
          </w:tcPr>
          <w:p w14:paraId="2D1C743C" w14:textId="77777777" w:rsidR="00445AD5" w:rsidRDefault="00445AD5">
            <w:pPr>
              <w:widowControl/>
              <w:jc w:val="left"/>
              <w:rPr>
                <w:rFonts w:ascii="宋体" w:hAnsi="宋体" w:cs="宋体"/>
                <w:b/>
                <w:bCs/>
                <w:color w:val="000000"/>
                <w:kern w:val="0"/>
                <w:sz w:val="20"/>
                <w:szCs w:val="20"/>
              </w:rPr>
            </w:pPr>
          </w:p>
        </w:tc>
        <w:tc>
          <w:tcPr>
            <w:tcW w:w="181" w:type="pct"/>
            <w:vMerge/>
            <w:tcBorders>
              <w:top w:val="nil"/>
              <w:left w:val="single" w:sz="4" w:space="0" w:color="auto"/>
              <w:bottom w:val="single" w:sz="4" w:space="0" w:color="000000"/>
              <w:right w:val="single" w:sz="4" w:space="0" w:color="auto"/>
            </w:tcBorders>
            <w:vAlign w:val="center"/>
          </w:tcPr>
          <w:p w14:paraId="35B182A1" w14:textId="77777777" w:rsidR="00445AD5" w:rsidRDefault="00445AD5">
            <w:pPr>
              <w:widowControl/>
              <w:jc w:val="left"/>
              <w:rPr>
                <w:rFonts w:ascii="宋体" w:hAnsi="宋体" w:cs="宋体"/>
                <w:b/>
                <w:bCs/>
                <w:color w:val="000000"/>
                <w:kern w:val="0"/>
                <w:sz w:val="20"/>
                <w:szCs w:val="20"/>
              </w:rPr>
            </w:pPr>
          </w:p>
        </w:tc>
        <w:tc>
          <w:tcPr>
            <w:tcW w:w="182" w:type="pct"/>
            <w:gridSpan w:val="2"/>
            <w:vMerge/>
            <w:tcBorders>
              <w:top w:val="nil"/>
              <w:left w:val="single" w:sz="4" w:space="0" w:color="auto"/>
              <w:bottom w:val="single" w:sz="4" w:space="0" w:color="000000"/>
              <w:right w:val="single" w:sz="4" w:space="0" w:color="auto"/>
            </w:tcBorders>
            <w:vAlign w:val="center"/>
          </w:tcPr>
          <w:p w14:paraId="5BF202A1" w14:textId="77777777" w:rsidR="00445AD5" w:rsidRDefault="00445AD5">
            <w:pPr>
              <w:widowControl/>
              <w:jc w:val="left"/>
              <w:rPr>
                <w:rFonts w:ascii="宋体" w:hAnsi="宋体" w:cs="宋体"/>
                <w:b/>
                <w:bCs/>
                <w:color w:val="000000"/>
                <w:kern w:val="0"/>
                <w:sz w:val="20"/>
                <w:szCs w:val="20"/>
              </w:rPr>
            </w:pPr>
          </w:p>
        </w:tc>
        <w:tc>
          <w:tcPr>
            <w:tcW w:w="244" w:type="pct"/>
            <w:tcBorders>
              <w:top w:val="nil"/>
              <w:left w:val="nil"/>
              <w:bottom w:val="single" w:sz="4" w:space="0" w:color="auto"/>
              <w:right w:val="single" w:sz="4" w:space="0" w:color="auto"/>
            </w:tcBorders>
            <w:shd w:val="clear" w:color="000000" w:fill="FFFFFF"/>
            <w:vAlign w:val="center"/>
          </w:tcPr>
          <w:p w14:paraId="0409F361"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经费保障原因分析</w:t>
            </w:r>
          </w:p>
        </w:tc>
        <w:tc>
          <w:tcPr>
            <w:tcW w:w="146" w:type="pct"/>
            <w:tcBorders>
              <w:top w:val="nil"/>
              <w:left w:val="nil"/>
              <w:bottom w:val="single" w:sz="4" w:space="0" w:color="auto"/>
              <w:right w:val="single" w:sz="4" w:space="0" w:color="auto"/>
            </w:tcBorders>
            <w:shd w:val="clear" w:color="000000" w:fill="FFFFFF"/>
            <w:vAlign w:val="center"/>
          </w:tcPr>
          <w:p w14:paraId="5BB8F15A"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制度保障原因分析</w:t>
            </w:r>
          </w:p>
        </w:tc>
        <w:tc>
          <w:tcPr>
            <w:tcW w:w="146" w:type="pct"/>
            <w:tcBorders>
              <w:top w:val="nil"/>
              <w:left w:val="nil"/>
              <w:bottom w:val="single" w:sz="4" w:space="0" w:color="auto"/>
              <w:right w:val="single" w:sz="4" w:space="0" w:color="auto"/>
            </w:tcBorders>
            <w:shd w:val="clear" w:color="000000" w:fill="FFFFFF"/>
            <w:vAlign w:val="center"/>
          </w:tcPr>
          <w:p w14:paraId="296A827D"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人员保障原因分析</w:t>
            </w:r>
          </w:p>
        </w:tc>
        <w:tc>
          <w:tcPr>
            <w:tcW w:w="146" w:type="pct"/>
            <w:gridSpan w:val="2"/>
            <w:tcBorders>
              <w:top w:val="nil"/>
              <w:left w:val="nil"/>
              <w:bottom w:val="single" w:sz="4" w:space="0" w:color="auto"/>
              <w:right w:val="single" w:sz="4" w:space="0" w:color="auto"/>
            </w:tcBorders>
            <w:shd w:val="clear" w:color="000000" w:fill="FFFFFF"/>
            <w:vAlign w:val="center"/>
          </w:tcPr>
          <w:p w14:paraId="528570BD"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硬件条件保障原因分析</w:t>
            </w:r>
          </w:p>
        </w:tc>
        <w:tc>
          <w:tcPr>
            <w:tcW w:w="286" w:type="pct"/>
            <w:tcBorders>
              <w:top w:val="nil"/>
              <w:left w:val="nil"/>
              <w:bottom w:val="single" w:sz="4" w:space="0" w:color="auto"/>
              <w:right w:val="single" w:sz="4" w:space="0" w:color="auto"/>
            </w:tcBorders>
            <w:shd w:val="clear" w:color="000000" w:fill="FFFFFF"/>
            <w:vAlign w:val="center"/>
          </w:tcPr>
          <w:p w14:paraId="49E38CCE"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其他原因分析</w:t>
            </w:r>
          </w:p>
        </w:tc>
        <w:tc>
          <w:tcPr>
            <w:tcW w:w="638" w:type="pct"/>
            <w:gridSpan w:val="4"/>
            <w:vMerge/>
            <w:tcBorders>
              <w:top w:val="nil"/>
              <w:left w:val="nil"/>
              <w:bottom w:val="single" w:sz="4" w:space="0" w:color="auto"/>
              <w:right w:val="single" w:sz="4" w:space="0" w:color="auto"/>
            </w:tcBorders>
            <w:vAlign w:val="center"/>
          </w:tcPr>
          <w:p w14:paraId="11FAA79F" w14:textId="77777777" w:rsidR="00445AD5" w:rsidRDefault="00445AD5">
            <w:pPr>
              <w:widowControl/>
              <w:jc w:val="left"/>
              <w:rPr>
                <w:rFonts w:ascii="宋体" w:hAnsi="宋体" w:cs="宋体"/>
                <w:b/>
                <w:bCs/>
                <w:color w:val="000000"/>
                <w:kern w:val="0"/>
                <w:sz w:val="20"/>
                <w:szCs w:val="20"/>
              </w:rPr>
            </w:pPr>
          </w:p>
        </w:tc>
      </w:tr>
      <w:tr w:rsidR="00445AD5" w14:paraId="35813C35" w14:textId="77777777">
        <w:trPr>
          <w:gridAfter w:val="4"/>
          <w:wAfter w:w="1390" w:type="pct"/>
          <w:trHeight w:val="960"/>
        </w:trPr>
        <w:tc>
          <w:tcPr>
            <w:tcW w:w="146" w:type="pct"/>
            <w:vMerge/>
            <w:tcBorders>
              <w:top w:val="nil"/>
              <w:left w:val="single" w:sz="4" w:space="0" w:color="auto"/>
              <w:bottom w:val="nil"/>
              <w:right w:val="single" w:sz="4" w:space="0" w:color="auto"/>
            </w:tcBorders>
            <w:vAlign w:val="center"/>
          </w:tcPr>
          <w:p w14:paraId="0396E757" w14:textId="77777777" w:rsidR="00445AD5" w:rsidRDefault="00445AD5">
            <w:pPr>
              <w:widowControl/>
              <w:jc w:val="left"/>
              <w:rPr>
                <w:rFonts w:ascii="宋体" w:hAnsi="宋体" w:cs="宋体"/>
                <w:b/>
                <w:bCs/>
                <w:color w:val="000000"/>
                <w:kern w:val="0"/>
                <w:sz w:val="20"/>
                <w:szCs w:val="20"/>
              </w:rPr>
            </w:pP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564DBC6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履职效能</w:t>
            </w:r>
          </w:p>
        </w:tc>
        <w:tc>
          <w:tcPr>
            <w:tcW w:w="146" w:type="pct"/>
            <w:tcBorders>
              <w:top w:val="nil"/>
              <w:left w:val="nil"/>
              <w:bottom w:val="single" w:sz="4" w:space="0" w:color="auto"/>
              <w:right w:val="single" w:sz="4" w:space="0" w:color="auto"/>
            </w:tcBorders>
            <w:shd w:val="clear" w:color="000000" w:fill="FFFFFF"/>
            <w:vAlign w:val="center"/>
          </w:tcPr>
          <w:p w14:paraId="010814C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重点工作履行情况</w:t>
            </w:r>
          </w:p>
        </w:tc>
        <w:tc>
          <w:tcPr>
            <w:tcW w:w="216" w:type="pct"/>
            <w:tcBorders>
              <w:top w:val="nil"/>
              <w:left w:val="nil"/>
              <w:bottom w:val="single" w:sz="4" w:space="0" w:color="auto"/>
              <w:right w:val="single" w:sz="4" w:space="0" w:color="auto"/>
            </w:tcBorders>
            <w:shd w:val="clear" w:color="000000" w:fill="FFFFFF"/>
            <w:vAlign w:val="center"/>
          </w:tcPr>
          <w:p w14:paraId="0120A47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重点工作办结率</w:t>
            </w:r>
          </w:p>
        </w:tc>
        <w:tc>
          <w:tcPr>
            <w:tcW w:w="146" w:type="pct"/>
            <w:tcBorders>
              <w:top w:val="nil"/>
              <w:left w:val="nil"/>
              <w:bottom w:val="single" w:sz="4" w:space="0" w:color="auto"/>
              <w:right w:val="single" w:sz="4" w:space="0" w:color="auto"/>
            </w:tcBorders>
            <w:shd w:val="clear" w:color="000000" w:fill="FFFFFF"/>
            <w:vAlign w:val="center"/>
          </w:tcPr>
          <w:p w14:paraId="7439B90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1" w:type="pct"/>
            <w:tcBorders>
              <w:top w:val="nil"/>
              <w:left w:val="nil"/>
              <w:bottom w:val="single" w:sz="4" w:space="0" w:color="auto"/>
              <w:right w:val="single" w:sz="4" w:space="0" w:color="auto"/>
            </w:tcBorders>
            <w:shd w:val="clear" w:color="000000" w:fill="FFFFFF"/>
            <w:vAlign w:val="center"/>
          </w:tcPr>
          <w:p w14:paraId="4145648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gridSpan w:val="2"/>
            <w:tcBorders>
              <w:top w:val="nil"/>
              <w:left w:val="nil"/>
              <w:bottom w:val="single" w:sz="4" w:space="0" w:color="auto"/>
              <w:right w:val="single" w:sz="4" w:space="0" w:color="auto"/>
            </w:tcBorders>
            <w:shd w:val="clear" w:color="000000" w:fill="FFFFFF"/>
            <w:vAlign w:val="center"/>
          </w:tcPr>
          <w:p w14:paraId="4911552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3C6496D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723CF46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11678F4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82" w:type="pct"/>
            <w:gridSpan w:val="2"/>
            <w:tcBorders>
              <w:top w:val="nil"/>
              <w:left w:val="nil"/>
              <w:bottom w:val="single" w:sz="4" w:space="0" w:color="auto"/>
              <w:right w:val="single" w:sz="4" w:space="0" w:color="auto"/>
            </w:tcBorders>
            <w:shd w:val="clear" w:color="000000" w:fill="FFFFFF"/>
            <w:vAlign w:val="center"/>
          </w:tcPr>
          <w:p w14:paraId="1AE83D5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244" w:type="pct"/>
            <w:tcBorders>
              <w:top w:val="nil"/>
              <w:left w:val="nil"/>
              <w:bottom w:val="single" w:sz="4" w:space="0" w:color="auto"/>
              <w:right w:val="single" w:sz="4" w:space="0" w:color="auto"/>
            </w:tcBorders>
            <w:shd w:val="clear" w:color="000000" w:fill="FFFFFF"/>
            <w:vAlign w:val="center"/>
          </w:tcPr>
          <w:p w14:paraId="2902CD2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625A1F4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2AA0A37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28B837C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586EA34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4E81B53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155D590C" w14:textId="77777777">
        <w:trPr>
          <w:gridAfter w:val="4"/>
          <w:wAfter w:w="1390" w:type="pct"/>
          <w:trHeight w:val="960"/>
        </w:trPr>
        <w:tc>
          <w:tcPr>
            <w:tcW w:w="146" w:type="pct"/>
            <w:vMerge/>
            <w:tcBorders>
              <w:top w:val="nil"/>
              <w:left w:val="single" w:sz="4" w:space="0" w:color="auto"/>
              <w:bottom w:val="nil"/>
              <w:right w:val="single" w:sz="4" w:space="0" w:color="auto"/>
            </w:tcBorders>
            <w:vAlign w:val="center"/>
          </w:tcPr>
          <w:p w14:paraId="1105841A"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34EAF091" w14:textId="77777777" w:rsidR="00445AD5" w:rsidRDefault="00445AD5">
            <w:pPr>
              <w:widowControl/>
              <w:jc w:val="left"/>
              <w:rPr>
                <w:rFonts w:ascii="宋体" w:hAnsi="宋体" w:cs="宋体"/>
                <w:color w:val="000000"/>
                <w:kern w:val="0"/>
                <w:sz w:val="20"/>
                <w:szCs w:val="20"/>
              </w:rPr>
            </w:pP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1D752AF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整体工作</w:t>
            </w:r>
            <w:r>
              <w:rPr>
                <w:rFonts w:ascii="宋体" w:hAnsi="宋体" w:cs="宋体" w:hint="eastAsia"/>
                <w:color w:val="000000"/>
                <w:kern w:val="0"/>
                <w:sz w:val="20"/>
                <w:szCs w:val="20"/>
              </w:rPr>
              <w:lastRenderedPageBreak/>
              <w:t>完成情况</w:t>
            </w:r>
          </w:p>
        </w:tc>
        <w:tc>
          <w:tcPr>
            <w:tcW w:w="216" w:type="pct"/>
            <w:tcBorders>
              <w:top w:val="nil"/>
              <w:left w:val="nil"/>
              <w:bottom w:val="single" w:sz="4" w:space="0" w:color="auto"/>
              <w:right w:val="single" w:sz="4" w:space="0" w:color="auto"/>
            </w:tcBorders>
            <w:shd w:val="clear" w:color="000000" w:fill="FFFFFF"/>
            <w:vAlign w:val="center"/>
          </w:tcPr>
          <w:p w14:paraId="7B1135D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总体工作完成率</w:t>
            </w:r>
          </w:p>
        </w:tc>
        <w:tc>
          <w:tcPr>
            <w:tcW w:w="146" w:type="pct"/>
            <w:tcBorders>
              <w:top w:val="nil"/>
              <w:left w:val="nil"/>
              <w:bottom w:val="single" w:sz="4" w:space="0" w:color="auto"/>
              <w:right w:val="single" w:sz="4" w:space="0" w:color="auto"/>
            </w:tcBorders>
            <w:shd w:val="clear" w:color="000000" w:fill="FFFFFF"/>
            <w:vAlign w:val="center"/>
          </w:tcPr>
          <w:p w14:paraId="1D18435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1" w:type="pct"/>
            <w:tcBorders>
              <w:top w:val="nil"/>
              <w:left w:val="nil"/>
              <w:bottom w:val="single" w:sz="4" w:space="0" w:color="auto"/>
              <w:right w:val="single" w:sz="4" w:space="0" w:color="auto"/>
            </w:tcBorders>
            <w:shd w:val="clear" w:color="000000" w:fill="FFFFFF"/>
            <w:vAlign w:val="center"/>
          </w:tcPr>
          <w:p w14:paraId="0F2A4AA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gridSpan w:val="2"/>
            <w:tcBorders>
              <w:top w:val="nil"/>
              <w:left w:val="nil"/>
              <w:bottom w:val="single" w:sz="4" w:space="0" w:color="auto"/>
              <w:right w:val="single" w:sz="4" w:space="0" w:color="auto"/>
            </w:tcBorders>
            <w:shd w:val="clear" w:color="000000" w:fill="FFFFFF"/>
            <w:vAlign w:val="center"/>
          </w:tcPr>
          <w:p w14:paraId="75E9B2C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2594F72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547F972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561A7B6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82" w:type="pct"/>
            <w:gridSpan w:val="2"/>
            <w:tcBorders>
              <w:top w:val="nil"/>
              <w:left w:val="nil"/>
              <w:bottom w:val="single" w:sz="4" w:space="0" w:color="auto"/>
              <w:right w:val="single" w:sz="4" w:space="0" w:color="auto"/>
            </w:tcBorders>
            <w:shd w:val="clear" w:color="000000" w:fill="FFFFFF"/>
            <w:vAlign w:val="center"/>
          </w:tcPr>
          <w:p w14:paraId="7C0AA07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244" w:type="pct"/>
            <w:tcBorders>
              <w:top w:val="nil"/>
              <w:left w:val="nil"/>
              <w:bottom w:val="single" w:sz="4" w:space="0" w:color="auto"/>
              <w:right w:val="single" w:sz="4" w:space="0" w:color="auto"/>
            </w:tcBorders>
            <w:shd w:val="clear" w:color="000000" w:fill="FFFFFF"/>
            <w:vAlign w:val="center"/>
          </w:tcPr>
          <w:p w14:paraId="4C68702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352D28E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7D63CC0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7419450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6B6376E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7126C52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14BFEF7C" w14:textId="77777777">
        <w:trPr>
          <w:gridAfter w:val="4"/>
          <w:wAfter w:w="1390" w:type="pct"/>
          <w:trHeight w:val="960"/>
        </w:trPr>
        <w:tc>
          <w:tcPr>
            <w:tcW w:w="146" w:type="pct"/>
            <w:vMerge/>
            <w:tcBorders>
              <w:top w:val="nil"/>
              <w:left w:val="single" w:sz="4" w:space="0" w:color="auto"/>
              <w:bottom w:val="nil"/>
              <w:right w:val="single" w:sz="4" w:space="0" w:color="auto"/>
            </w:tcBorders>
            <w:vAlign w:val="center"/>
          </w:tcPr>
          <w:p w14:paraId="6246B35B"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7914AC2D" w14:textId="77777777" w:rsidR="00445AD5" w:rsidRDefault="00445AD5">
            <w:pPr>
              <w:widowControl/>
              <w:jc w:val="left"/>
              <w:rPr>
                <w:rFonts w:ascii="宋体" w:hAnsi="宋体" w:cs="宋体"/>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6C1721D3" w14:textId="77777777" w:rsidR="00445AD5" w:rsidRDefault="00445AD5">
            <w:pPr>
              <w:widowControl/>
              <w:jc w:val="left"/>
              <w:rPr>
                <w:rFonts w:ascii="宋体" w:hAnsi="宋体" w:cs="宋体"/>
                <w:color w:val="000000"/>
                <w:kern w:val="0"/>
                <w:sz w:val="20"/>
                <w:szCs w:val="20"/>
              </w:rPr>
            </w:pPr>
          </w:p>
        </w:tc>
        <w:tc>
          <w:tcPr>
            <w:tcW w:w="216" w:type="pct"/>
            <w:tcBorders>
              <w:top w:val="nil"/>
              <w:left w:val="nil"/>
              <w:bottom w:val="single" w:sz="4" w:space="0" w:color="auto"/>
              <w:right w:val="single" w:sz="4" w:space="0" w:color="auto"/>
            </w:tcBorders>
            <w:shd w:val="clear" w:color="000000" w:fill="FFFFFF"/>
            <w:vAlign w:val="center"/>
          </w:tcPr>
          <w:p w14:paraId="37F7B14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工作完成及时率</w:t>
            </w:r>
          </w:p>
        </w:tc>
        <w:tc>
          <w:tcPr>
            <w:tcW w:w="146" w:type="pct"/>
            <w:tcBorders>
              <w:top w:val="nil"/>
              <w:left w:val="nil"/>
              <w:bottom w:val="single" w:sz="4" w:space="0" w:color="auto"/>
              <w:right w:val="single" w:sz="4" w:space="0" w:color="auto"/>
            </w:tcBorders>
            <w:shd w:val="clear" w:color="000000" w:fill="FFFFFF"/>
            <w:vAlign w:val="center"/>
          </w:tcPr>
          <w:p w14:paraId="4FB4453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1" w:type="pct"/>
            <w:tcBorders>
              <w:top w:val="nil"/>
              <w:left w:val="nil"/>
              <w:bottom w:val="single" w:sz="4" w:space="0" w:color="auto"/>
              <w:right w:val="single" w:sz="4" w:space="0" w:color="auto"/>
            </w:tcBorders>
            <w:shd w:val="clear" w:color="000000" w:fill="FFFFFF"/>
            <w:vAlign w:val="center"/>
          </w:tcPr>
          <w:p w14:paraId="7DA6BF1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gridSpan w:val="2"/>
            <w:tcBorders>
              <w:top w:val="nil"/>
              <w:left w:val="nil"/>
              <w:bottom w:val="single" w:sz="4" w:space="0" w:color="auto"/>
              <w:right w:val="single" w:sz="4" w:space="0" w:color="auto"/>
            </w:tcBorders>
            <w:shd w:val="clear" w:color="000000" w:fill="FFFFFF"/>
            <w:vAlign w:val="center"/>
          </w:tcPr>
          <w:p w14:paraId="352D79D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6167473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4D7E45E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29BD402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82" w:type="pct"/>
            <w:gridSpan w:val="2"/>
            <w:tcBorders>
              <w:top w:val="nil"/>
              <w:left w:val="nil"/>
              <w:bottom w:val="single" w:sz="4" w:space="0" w:color="auto"/>
              <w:right w:val="single" w:sz="4" w:space="0" w:color="auto"/>
            </w:tcBorders>
            <w:shd w:val="clear" w:color="000000" w:fill="FFFFFF"/>
            <w:vAlign w:val="center"/>
          </w:tcPr>
          <w:p w14:paraId="7E1812D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244" w:type="pct"/>
            <w:tcBorders>
              <w:top w:val="nil"/>
              <w:left w:val="nil"/>
              <w:bottom w:val="single" w:sz="4" w:space="0" w:color="auto"/>
              <w:right w:val="single" w:sz="4" w:space="0" w:color="auto"/>
            </w:tcBorders>
            <w:shd w:val="clear" w:color="000000" w:fill="FFFFFF"/>
            <w:vAlign w:val="center"/>
          </w:tcPr>
          <w:p w14:paraId="6CD1841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62B3E92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1ABBBE6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5B44809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64AE061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6FBC4B2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0C68C1AA" w14:textId="77777777">
        <w:trPr>
          <w:gridAfter w:val="4"/>
          <w:wAfter w:w="1390" w:type="pct"/>
          <w:trHeight w:val="960"/>
        </w:trPr>
        <w:tc>
          <w:tcPr>
            <w:tcW w:w="146" w:type="pct"/>
            <w:vMerge/>
            <w:tcBorders>
              <w:top w:val="nil"/>
              <w:left w:val="single" w:sz="4" w:space="0" w:color="auto"/>
              <w:bottom w:val="nil"/>
              <w:right w:val="single" w:sz="4" w:space="0" w:color="auto"/>
            </w:tcBorders>
            <w:vAlign w:val="center"/>
          </w:tcPr>
          <w:p w14:paraId="70D7A89D"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3A6780A6" w14:textId="77777777" w:rsidR="00445AD5" w:rsidRDefault="00445AD5">
            <w:pPr>
              <w:widowControl/>
              <w:jc w:val="left"/>
              <w:rPr>
                <w:rFonts w:ascii="宋体" w:hAnsi="宋体" w:cs="宋体"/>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08C55D4A" w14:textId="77777777" w:rsidR="00445AD5" w:rsidRDefault="00445AD5">
            <w:pPr>
              <w:widowControl/>
              <w:jc w:val="left"/>
              <w:rPr>
                <w:rFonts w:ascii="宋体" w:hAnsi="宋体" w:cs="宋体"/>
                <w:color w:val="000000"/>
                <w:kern w:val="0"/>
                <w:sz w:val="20"/>
                <w:szCs w:val="20"/>
              </w:rPr>
            </w:pPr>
          </w:p>
        </w:tc>
        <w:tc>
          <w:tcPr>
            <w:tcW w:w="216" w:type="pct"/>
            <w:tcBorders>
              <w:top w:val="nil"/>
              <w:left w:val="nil"/>
              <w:bottom w:val="single" w:sz="4" w:space="0" w:color="auto"/>
              <w:right w:val="single" w:sz="4" w:space="0" w:color="auto"/>
            </w:tcBorders>
            <w:shd w:val="clear" w:color="000000" w:fill="FFFFFF"/>
            <w:vAlign w:val="center"/>
          </w:tcPr>
          <w:p w14:paraId="3738B62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工作质量达标率</w:t>
            </w:r>
          </w:p>
        </w:tc>
        <w:tc>
          <w:tcPr>
            <w:tcW w:w="146" w:type="pct"/>
            <w:tcBorders>
              <w:top w:val="nil"/>
              <w:left w:val="nil"/>
              <w:bottom w:val="single" w:sz="4" w:space="0" w:color="auto"/>
              <w:right w:val="single" w:sz="4" w:space="0" w:color="auto"/>
            </w:tcBorders>
            <w:shd w:val="clear" w:color="000000" w:fill="FFFFFF"/>
            <w:vAlign w:val="center"/>
          </w:tcPr>
          <w:p w14:paraId="53A515F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1" w:type="pct"/>
            <w:tcBorders>
              <w:top w:val="nil"/>
              <w:left w:val="nil"/>
              <w:bottom w:val="single" w:sz="4" w:space="0" w:color="auto"/>
              <w:right w:val="single" w:sz="4" w:space="0" w:color="auto"/>
            </w:tcBorders>
            <w:shd w:val="clear" w:color="000000" w:fill="FFFFFF"/>
            <w:vAlign w:val="center"/>
          </w:tcPr>
          <w:p w14:paraId="063380E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gridSpan w:val="2"/>
            <w:tcBorders>
              <w:top w:val="nil"/>
              <w:left w:val="nil"/>
              <w:bottom w:val="single" w:sz="4" w:space="0" w:color="auto"/>
              <w:right w:val="single" w:sz="4" w:space="0" w:color="auto"/>
            </w:tcBorders>
            <w:shd w:val="clear" w:color="000000" w:fill="FFFFFF"/>
            <w:vAlign w:val="center"/>
          </w:tcPr>
          <w:p w14:paraId="3008429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18759AF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0901760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0B77B19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82" w:type="pct"/>
            <w:gridSpan w:val="2"/>
            <w:tcBorders>
              <w:top w:val="nil"/>
              <w:left w:val="nil"/>
              <w:bottom w:val="single" w:sz="4" w:space="0" w:color="auto"/>
              <w:right w:val="single" w:sz="4" w:space="0" w:color="auto"/>
            </w:tcBorders>
            <w:shd w:val="clear" w:color="000000" w:fill="FFFFFF"/>
            <w:vAlign w:val="center"/>
          </w:tcPr>
          <w:p w14:paraId="0225410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244" w:type="pct"/>
            <w:tcBorders>
              <w:top w:val="nil"/>
              <w:left w:val="nil"/>
              <w:bottom w:val="single" w:sz="4" w:space="0" w:color="auto"/>
              <w:right w:val="single" w:sz="4" w:space="0" w:color="auto"/>
            </w:tcBorders>
            <w:shd w:val="clear" w:color="000000" w:fill="FFFFFF"/>
            <w:vAlign w:val="center"/>
          </w:tcPr>
          <w:p w14:paraId="6425E1E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2C731F8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6689C33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18E4313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240B304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55D37E9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0F44C31D" w14:textId="77777777">
        <w:trPr>
          <w:gridAfter w:val="4"/>
          <w:wAfter w:w="1390" w:type="pct"/>
          <w:trHeight w:val="2400"/>
        </w:trPr>
        <w:tc>
          <w:tcPr>
            <w:tcW w:w="146" w:type="pct"/>
            <w:vMerge/>
            <w:tcBorders>
              <w:top w:val="nil"/>
              <w:left w:val="single" w:sz="4" w:space="0" w:color="auto"/>
              <w:bottom w:val="nil"/>
              <w:right w:val="single" w:sz="4" w:space="0" w:color="auto"/>
            </w:tcBorders>
            <w:vAlign w:val="center"/>
          </w:tcPr>
          <w:p w14:paraId="7FA2BEB5"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465A75F2" w14:textId="77777777" w:rsidR="00445AD5" w:rsidRDefault="00445AD5">
            <w:pPr>
              <w:widowControl/>
              <w:jc w:val="left"/>
              <w:rPr>
                <w:rFonts w:ascii="宋体" w:hAnsi="宋体" w:cs="宋体"/>
                <w:color w:val="000000"/>
                <w:kern w:val="0"/>
                <w:sz w:val="20"/>
                <w:szCs w:val="20"/>
              </w:rPr>
            </w:pP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67B204F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基础管理</w:t>
            </w:r>
          </w:p>
        </w:tc>
        <w:tc>
          <w:tcPr>
            <w:tcW w:w="216" w:type="pct"/>
            <w:tcBorders>
              <w:top w:val="nil"/>
              <w:left w:val="nil"/>
              <w:bottom w:val="single" w:sz="4" w:space="0" w:color="auto"/>
              <w:right w:val="single" w:sz="4" w:space="0" w:color="auto"/>
            </w:tcBorders>
            <w:shd w:val="clear" w:color="000000" w:fill="FFFFFF"/>
            <w:vAlign w:val="center"/>
          </w:tcPr>
          <w:p w14:paraId="39B6C0A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综合管理水平</w:t>
            </w:r>
          </w:p>
        </w:tc>
        <w:tc>
          <w:tcPr>
            <w:tcW w:w="146" w:type="pct"/>
            <w:tcBorders>
              <w:top w:val="nil"/>
              <w:left w:val="nil"/>
              <w:bottom w:val="single" w:sz="4" w:space="0" w:color="auto"/>
              <w:right w:val="single" w:sz="4" w:space="0" w:color="auto"/>
            </w:tcBorders>
            <w:shd w:val="clear" w:color="000000" w:fill="FFFFFF"/>
            <w:vAlign w:val="center"/>
          </w:tcPr>
          <w:p w14:paraId="69ED738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1" w:type="pct"/>
            <w:tcBorders>
              <w:top w:val="nil"/>
              <w:left w:val="nil"/>
              <w:bottom w:val="single" w:sz="4" w:space="0" w:color="auto"/>
              <w:right w:val="single" w:sz="4" w:space="0" w:color="auto"/>
            </w:tcBorders>
            <w:shd w:val="clear" w:color="000000" w:fill="FFFFFF"/>
            <w:vAlign w:val="center"/>
          </w:tcPr>
          <w:p w14:paraId="02BCDED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146" w:type="pct"/>
            <w:gridSpan w:val="2"/>
            <w:tcBorders>
              <w:top w:val="nil"/>
              <w:left w:val="nil"/>
              <w:bottom w:val="single" w:sz="4" w:space="0" w:color="auto"/>
              <w:right w:val="single" w:sz="4" w:space="0" w:color="auto"/>
            </w:tcBorders>
            <w:shd w:val="clear" w:color="000000" w:fill="FFFFFF"/>
            <w:vAlign w:val="center"/>
          </w:tcPr>
          <w:p w14:paraId="17D8BDF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vAlign w:val="center"/>
          </w:tcPr>
          <w:p w14:paraId="761F273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146" w:type="pct"/>
            <w:tcBorders>
              <w:top w:val="nil"/>
              <w:left w:val="nil"/>
              <w:bottom w:val="single" w:sz="4" w:space="0" w:color="auto"/>
              <w:right w:val="single" w:sz="4" w:space="0" w:color="auto"/>
            </w:tcBorders>
            <w:shd w:val="clear" w:color="000000" w:fill="FFFFFF"/>
            <w:vAlign w:val="center"/>
          </w:tcPr>
          <w:p w14:paraId="4FB16B1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14CBFC1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182" w:type="pct"/>
            <w:gridSpan w:val="2"/>
            <w:tcBorders>
              <w:top w:val="nil"/>
              <w:left w:val="nil"/>
              <w:bottom w:val="single" w:sz="4" w:space="0" w:color="auto"/>
              <w:right w:val="single" w:sz="4" w:space="0" w:color="auto"/>
            </w:tcBorders>
            <w:shd w:val="clear" w:color="000000" w:fill="FFFFFF"/>
            <w:vAlign w:val="center"/>
          </w:tcPr>
          <w:p w14:paraId="796099B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244" w:type="pct"/>
            <w:tcBorders>
              <w:top w:val="nil"/>
              <w:left w:val="nil"/>
              <w:bottom w:val="single" w:sz="4" w:space="0" w:color="auto"/>
              <w:right w:val="single" w:sz="4" w:space="0" w:color="auto"/>
            </w:tcBorders>
            <w:shd w:val="clear" w:color="000000" w:fill="FFFFFF"/>
            <w:vAlign w:val="center"/>
          </w:tcPr>
          <w:p w14:paraId="27124A4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3246646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2F92FDF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3EA8322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6C52B37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1B42321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70DC7F75" w14:textId="77777777">
        <w:trPr>
          <w:gridAfter w:val="4"/>
          <w:wAfter w:w="1390" w:type="pct"/>
          <w:trHeight w:val="2400"/>
        </w:trPr>
        <w:tc>
          <w:tcPr>
            <w:tcW w:w="146" w:type="pct"/>
            <w:vMerge/>
            <w:tcBorders>
              <w:top w:val="nil"/>
              <w:left w:val="single" w:sz="4" w:space="0" w:color="auto"/>
              <w:bottom w:val="nil"/>
              <w:right w:val="single" w:sz="4" w:space="0" w:color="auto"/>
            </w:tcBorders>
            <w:vAlign w:val="center"/>
          </w:tcPr>
          <w:p w14:paraId="43784883"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20200400" w14:textId="77777777" w:rsidR="00445AD5" w:rsidRDefault="00445AD5">
            <w:pPr>
              <w:widowControl/>
              <w:jc w:val="left"/>
              <w:rPr>
                <w:rFonts w:ascii="宋体" w:hAnsi="宋体" w:cs="宋体"/>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5C7530F8" w14:textId="77777777" w:rsidR="00445AD5" w:rsidRDefault="00445AD5">
            <w:pPr>
              <w:widowControl/>
              <w:jc w:val="left"/>
              <w:rPr>
                <w:rFonts w:ascii="宋体" w:hAnsi="宋体" w:cs="宋体"/>
                <w:color w:val="000000"/>
                <w:kern w:val="0"/>
                <w:sz w:val="20"/>
                <w:szCs w:val="20"/>
              </w:rPr>
            </w:pPr>
          </w:p>
        </w:tc>
        <w:tc>
          <w:tcPr>
            <w:tcW w:w="216" w:type="pct"/>
            <w:tcBorders>
              <w:top w:val="nil"/>
              <w:left w:val="nil"/>
              <w:bottom w:val="single" w:sz="4" w:space="0" w:color="auto"/>
              <w:right w:val="single" w:sz="4" w:space="0" w:color="auto"/>
            </w:tcBorders>
            <w:shd w:val="clear" w:color="000000" w:fill="FFFFFF"/>
            <w:vAlign w:val="center"/>
          </w:tcPr>
          <w:p w14:paraId="03D6EFC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依法行政能力</w:t>
            </w:r>
          </w:p>
        </w:tc>
        <w:tc>
          <w:tcPr>
            <w:tcW w:w="146" w:type="pct"/>
            <w:tcBorders>
              <w:top w:val="nil"/>
              <w:left w:val="nil"/>
              <w:bottom w:val="single" w:sz="4" w:space="0" w:color="auto"/>
              <w:right w:val="single" w:sz="4" w:space="0" w:color="auto"/>
            </w:tcBorders>
            <w:shd w:val="clear" w:color="000000" w:fill="FFFFFF"/>
            <w:vAlign w:val="center"/>
          </w:tcPr>
          <w:p w14:paraId="3D70336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1" w:type="pct"/>
            <w:tcBorders>
              <w:top w:val="nil"/>
              <w:left w:val="nil"/>
              <w:bottom w:val="single" w:sz="4" w:space="0" w:color="auto"/>
              <w:right w:val="single" w:sz="4" w:space="0" w:color="auto"/>
            </w:tcBorders>
            <w:shd w:val="clear" w:color="000000" w:fill="FFFFFF"/>
            <w:vAlign w:val="center"/>
          </w:tcPr>
          <w:p w14:paraId="6B532CC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146" w:type="pct"/>
            <w:gridSpan w:val="2"/>
            <w:tcBorders>
              <w:top w:val="nil"/>
              <w:left w:val="nil"/>
              <w:bottom w:val="single" w:sz="4" w:space="0" w:color="auto"/>
              <w:right w:val="single" w:sz="4" w:space="0" w:color="auto"/>
            </w:tcBorders>
            <w:shd w:val="clear" w:color="000000" w:fill="FFFFFF"/>
            <w:vAlign w:val="center"/>
          </w:tcPr>
          <w:p w14:paraId="55C1C0B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vAlign w:val="center"/>
          </w:tcPr>
          <w:p w14:paraId="40CD2F9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146" w:type="pct"/>
            <w:tcBorders>
              <w:top w:val="nil"/>
              <w:left w:val="nil"/>
              <w:bottom w:val="single" w:sz="4" w:space="0" w:color="auto"/>
              <w:right w:val="single" w:sz="4" w:space="0" w:color="auto"/>
            </w:tcBorders>
            <w:shd w:val="clear" w:color="000000" w:fill="FFFFFF"/>
            <w:vAlign w:val="center"/>
          </w:tcPr>
          <w:p w14:paraId="484196F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1BD9C7E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182" w:type="pct"/>
            <w:gridSpan w:val="2"/>
            <w:tcBorders>
              <w:top w:val="nil"/>
              <w:left w:val="nil"/>
              <w:bottom w:val="single" w:sz="4" w:space="0" w:color="auto"/>
              <w:right w:val="single" w:sz="4" w:space="0" w:color="auto"/>
            </w:tcBorders>
            <w:shd w:val="clear" w:color="000000" w:fill="FFFFFF"/>
            <w:vAlign w:val="center"/>
          </w:tcPr>
          <w:p w14:paraId="46422BB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244" w:type="pct"/>
            <w:tcBorders>
              <w:top w:val="nil"/>
              <w:left w:val="nil"/>
              <w:bottom w:val="single" w:sz="4" w:space="0" w:color="auto"/>
              <w:right w:val="single" w:sz="4" w:space="0" w:color="auto"/>
            </w:tcBorders>
            <w:shd w:val="clear" w:color="000000" w:fill="FFFFFF"/>
            <w:vAlign w:val="center"/>
          </w:tcPr>
          <w:p w14:paraId="37815DA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648A896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03DE293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5267590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48B4C53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100B123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26D11BA7" w14:textId="77777777">
        <w:trPr>
          <w:gridAfter w:val="4"/>
          <w:wAfter w:w="1390" w:type="pct"/>
          <w:trHeight w:val="720"/>
        </w:trPr>
        <w:tc>
          <w:tcPr>
            <w:tcW w:w="146" w:type="pct"/>
            <w:vMerge/>
            <w:tcBorders>
              <w:top w:val="nil"/>
              <w:left w:val="single" w:sz="4" w:space="0" w:color="auto"/>
              <w:bottom w:val="nil"/>
              <w:right w:val="single" w:sz="4" w:space="0" w:color="auto"/>
            </w:tcBorders>
            <w:vAlign w:val="center"/>
          </w:tcPr>
          <w:p w14:paraId="1EBD7C5F" w14:textId="77777777" w:rsidR="00445AD5" w:rsidRDefault="00445AD5">
            <w:pPr>
              <w:widowControl/>
              <w:jc w:val="left"/>
              <w:rPr>
                <w:rFonts w:ascii="宋体" w:hAnsi="宋体" w:cs="宋体"/>
                <w:b/>
                <w:bCs/>
                <w:color w:val="000000"/>
                <w:kern w:val="0"/>
                <w:sz w:val="20"/>
                <w:szCs w:val="20"/>
              </w:rPr>
            </w:pP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5224AE2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w:t>
            </w:r>
            <w:r>
              <w:rPr>
                <w:rFonts w:ascii="宋体" w:hAnsi="宋体" w:cs="宋体" w:hint="eastAsia"/>
                <w:color w:val="000000"/>
                <w:kern w:val="0"/>
                <w:sz w:val="20"/>
                <w:szCs w:val="20"/>
              </w:rPr>
              <w:lastRenderedPageBreak/>
              <w:t>执行</w:t>
            </w: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0BCC3F8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预算执</w:t>
            </w:r>
            <w:r>
              <w:rPr>
                <w:rFonts w:ascii="宋体" w:hAnsi="宋体" w:cs="宋体" w:hint="eastAsia"/>
                <w:color w:val="000000"/>
                <w:kern w:val="0"/>
                <w:sz w:val="20"/>
                <w:szCs w:val="20"/>
              </w:rPr>
              <w:lastRenderedPageBreak/>
              <w:t>行效率</w:t>
            </w:r>
          </w:p>
        </w:tc>
        <w:tc>
          <w:tcPr>
            <w:tcW w:w="216" w:type="pct"/>
            <w:tcBorders>
              <w:top w:val="nil"/>
              <w:left w:val="nil"/>
              <w:bottom w:val="single" w:sz="4" w:space="0" w:color="auto"/>
              <w:right w:val="single" w:sz="4" w:space="0" w:color="auto"/>
            </w:tcBorders>
            <w:shd w:val="clear" w:color="000000" w:fill="FFFFFF"/>
            <w:vAlign w:val="center"/>
          </w:tcPr>
          <w:p w14:paraId="58A81C0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预算调整率</w:t>
            </w:r>
          </w:p>
        </w:tc>
        <w:tc>
          <w:tcPr>
            <w:tcW w:w="146" w:type="pct"/>
            <w:tcBorders>
              <w:top w:val="nil"/>
              <w:left w:val="nil"/>
              <w:bottom w:val="single" w:sz="4" w:space="0" w:color="auto"/>
              <w:right w:val="single" w:sz="4" w:space="0" w:color="auto"/>
            </w:tcBorders>
            <w:shd w:val="clear" w:color="000000" w:fill="FFFFFF"/>
            <w:vAlign w:val="center"/>
          </w:tcPr>
          <w:p w14:paraId="6069FA7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81" w:type="pct"/>
            <w:tcBorders>
              <w:top w:val="nil"/>
              <w:left w:val="nil"/>
              <w:bottom w:val="single" w:sz="4" w:space="0" w:color="auto"/>
              <w:right w:val="single" w:sz="4" w:space="0" w:color="auto"/>
            </w:tcBorders>
            <w:shd w:val="clear" w:color="000000" w:fill="FFFFFF"/>
            <w:vAlign w:val="center"/>
          </w:tcPr>
          <w:p w14:paraId="457A55A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 w:type="pct"/>
            <w:gridSpan w:val="2"/>
            <w:tcBorders>
              <w:top w:val="nil"/>
              <w:left w:val="nil"/>
              <w:bottom w:val="single" w:sz="4" w:space="0" w:color="auto"/>
              <w:right w:val="single" w:sz="4" w:space="0" w:color="auto"/>
            </w:tcBorders>
            <w:shd w:val="clear" w:color="000000" w:fill="FFFFFF"/>
            <w:vAlign w:val="center"/>
          </w:tcPr>
          <w:p w14:paraId="314C35A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785594D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46" w:type="pct"/>
            <w:tcBorders>
              <w:top w:val="nil"/>
              <w:left w:val="nil"/>
              <w:bottom w:val="single" w:sz="4" w:space="0" w:color="auto"/>
              <w:right w:val="single" w:sz="4" w:space="0" w:color="auto"/>
            </w:tcBorders>
            <w:shd w:val="clear" w:color="000000" w:fill="FFFFFF"/>
            <w:vAlign w:val="center"/>
          </w:tcPr>
          <w:p w14:paraId="3640B42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5CDE102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82" w:type="pct"/>
            <w:gridSpan w:val="2"/>
            <w:tcBorders>
              <w:top w:val="nil"/>
              <w:left w:val="nil"/>
              <w:bottom w:val="single" w:sz="4" w:space="0" w:color="auto"/>
              <w:right w:val="single" w:sz="4" w:space="0" w:color="auto"/>
            </w:tcBorders>
            <w:shd w:val="clear" w:color="000000" w:fill="FFFFFF"/>
            <w:vAlign w:val="center"/>
          </w:tcPr>
          <w:p w14:paraId="1334C3B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244" w:type="pct"/>
            <w:tcBorders>
              <w:top w:val="nil"/>
              <w:left w:val="nil"/>
              <w:bottom w:val="single" w:sz="4" w:space="0" w:color="auto"/>
              <w:right w:val="single" w:sz="4" w:space="0" w:color="auto"/>
            </w:tcBorders>
            <w:shd w:val="clear" w:color="000000" w:fill="FFFFFF"/>
            <w:vAlign w:val="center"/>
          </w:tcPr>
          <w:p w14:paraId="4BB534D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326C227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62C79BF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6ABE977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2392B47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1F123C2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A619BB9" w14:textId="77777777">
        <w:trPr>
          <w:gridAfter w:val="4"/>
          <w:wAfter w:w="1390" w:type="pct"/>
          <w:trHeight w:val="3120"/>
        </w:trPr>
        <w:tc>
          <w:tcPr>
            <w:tcW w:w="146" w:type="pct"/>
            <w:vMerge/>
            <w:tcBorders>
              <w:top w:val="nil"/>
              <w:left w:val="single" w:sz="4" w:space="0" w:color="auto"/>
              <w:bottom w:val="nil"/>
              <w:right w:val="single" w:sz="4" w:space="0" w:color="auto"/>
            </w:tcBorders>
            <w:vAlign w:val="center"/>
          </w:tcPr>
          <w:p w14:paraId="3C9A7E63"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635BDB5F" w14:textId="77777777" w:rsidR="00445AD5" w:rsidRDefault="00445AD5">
            <w:pPr>
              <w:widowControl/>
              <w:jc w:val="left"/>
              <w:rPr>
                <w:rFonts w:ascii="宋体" w:hAnsi="宋体" w:cs="宋体"/>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491A0B10" w14:textId="77777777" w:rsidR="00445AD5" w:rsidRDefault="00445AD5">
            <w:pPr>
              <w:widowControl/>
              <w:jc w:val="left"/>
              <w:rPr>
                <w:rFonts w:ascii="宋体" w:hAnsi="宋体" w:cs="宋体"/>
                <w:color w:val="000000"/>
                <w:kern w:val="0"/>
                <w:sz w:val="20"/>
                <w:szCs w:val="20"/>
              </w:rPr>
            </w:pPr>
          </w:p>
        </w:tc>
        <w:tc>
          <w:tcPr>
            <w:tcW w:w="216" w:type="pct"/>
            <w:tcBorders>
              <w:top w:val="nil"/>
              <w:left w:val="nil"/>
              <w:bottom w:val="single" w:sz="4" w:space="0" w:color="auto"/>
              <w:right w:val="single" w:sz="4" w:space="0" w:color="auto"/>
            </w:tcBorders>
            <w:shd w:val="clear" w:color="000000" w:fill="FFFFFF"/>
            <w:vAlign w:val="center"/>
          </w:tcPr>
          <w:p w14:paraId="621C390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结转结余变动率</w:t>
            </w:r>
          </w:p>
        </w:tc>
        <w:tc>
          <w:tcPr>
            <w:tcW w:w="146" w:type="pct"/>
            <w:tcBorders>
              <w:top w:val="nil"/>
              <w:left w:val="nil"/>
              <w:bottom w:val="single" w:sz="4" w:space="0" w:color="auto"/>
              <w:right w:val="single" w:sz="4" w:space="0" w:color="auto"/>
            </w:tcBorders>
            <w:shd w:val="clear" w:color="000000" w:fill="FFFFFF"/>
            <w:vAlign w:val="center"/>
          </w:tcPr>
          <w:p w14:paraId="064DA02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81" w:type="pct"/>
            <w:tcBorders>
              <w:top w:val="nil"/>
              <w:left w:val="nil"/>
              <w:bottom w:val="single" w:sz="4" w:space="0" w:color="auto"/>
              <w:right w:val="single" w:sz="4" w:space="0" w:color="auto"/>
            </w:tcBorders>
            <w:shd w:val="clear" w:color="000000" w:fill="FFFFFF"/>
            <w:vAlign w:val="center"/>
          </w:tcPr>
          <w:p w14:paraId="2BB8A2A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46" w:type="pct"/>
            <w:gridSpan w:val="2"/>
            <w:tcBorders>
              <w:top w:val="nil"/>
              <w:left w:val="nil"/>
              <w:bottom w:val="single" w:sz="4" w:space="0" w:color="auto"/>
              <w:right w:val="single" w:sz="4" w:space="0" w:color="auto"/>
            </w:tcBorders>
            <w:shd w:val="clear" w:color="000000" w:fill="FFFFFF"/>
            <w:vAlign w:val="center"/>
          </w:tcPr>
          <w:p w14:paraId="51C205D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5875094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69017EC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81" w:type="pct"/>
            <w:tcBorders>
              <w:top w:val="nil"/>
              <w:left w:val="nil"/>
              <w:bottom w:val="single" w:sz="4" w:space="0" w:color="auto"/>
              <w:right w:val="single" w:sz="4" w:space="0" w:color="auto"/>
            </w:tcBorders>
            <w:shd w:val="clear" w:color="000000" w:fill="FFFFFF"/>
            <w:vAlign w:val="center"/>
          </w:tcPr>
          <w:p w14:paraId="1CEF7A5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182" w:type="pct"/>
            <w:gridSpan w:val="2"/>
            <w:tcBorders>
              <w:top w:val="nil"/>
              <w:left w:val="nil"/>
              <w:bottom w:val="single" w:sz="4" w:space="0" w:color="auto"/>
              <w:right w:val="single" w:sz="4" w:space="0" w:color="auto"/>
            </w:tcBorders>
            <w:shd w:val="clear" w:color="000000" w:fill="FFFFFF"/>
            <w:vAlign w:val="center"/>
          </w:tcPr>
          <w:p w14:paraId="3181C19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244" w:type="pct"/>
            <w:tcBorders>
              <w:top w:val="nil"/>
              <w:left w:val="nil"/>
              <w:bottom w:val="single" w:sz="4" w:space="0" w:color="auto"/>
              <w:right w:val="single" w:sz="4" w:space="0" w:color="auto"/>
            </w:tcBorders>
            <w:shd w:val="clear" w:color="000000" w:fill="FFFFFF"/>
            <w:vAlign w:val="center"/>
          </w:tcPr>
          <w:p w14:paraId="66375C3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6A8956A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01CED19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37E1349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7794E66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因为</w:t>
            </w:r>
            <w:r>
              <w:rPr>
                <w:rFonts w:ascii="宋体" w:hAnsi="宋体" w:cs="宋体" w:hint="eastAsia"/>
                <w:color w:val="000000"/>
                <w:kern w:val="0"/>
                <w:sz w:val="20"/>
                <w:szCs w:val="20"/>
              </w:rPr>
              <w:t>2021</w:t>
            </w:r>
            <w:r>
              <w:rPr>
                <w:rFonts w:ascii="宋体" w:hAnsi="宋体" w:cs="宋体" w:hint="eastAsia"/>
                <w:color w:val="000000"/>
                <w:kern w:val="0"/>
                <w:sz w:val="20"/>
                <w:szCs w:val="20"/>
              </w:rPr>
              <w:t>年度，年初预算一体化系统尚未录入指标值，所以完成程度未达到</w:t>
            </w:r>
            <w:r>
              <w:rPr>
                <w:rFonts w:ascii="宋体" w:hAnsi="宋体" w:cs="宋体" w:hint="eastAsia"/>
                <w:color w:val="000000"/>
                <w:kern w:val="0"/>
                <w:sz w:val="20"/>
                <w:szCs w:val="20"/>
              </w:rPr>
              <w:t>100%</w:t>
            </w:r>
            <w:r>
              <w:rPr>
                <w:rFonts w:ascii="宋体" w:hAnsi="宋体" w:cs="宋体" w:hint="eastAsia"/>
                <w:color w:val="000000"/>
                <w:kern w:val="0"/>
                <w:sz w:val="20"/>
                <w:szCs w:val="20"/>
              </w:rPr>
              <w:t>。</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329F194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其他</w:t>
            </w:r>
            <w:r>
              <w:rPr>
                <w:rFonts w:ascii="宋体" w:hAnsi="宋体" w:cs="宋体" w:hint="eastAsia"/>
                <w:color w:val="000000"/>
                <w:kern w:val="0"/>
                <w:sz w:val="20"/>
                <w:szCs w:val="20"/>
              </w:rPr>
              <w:t>:</w:t>
            </w:r>
            <w:r>
              <w:rPr>
                <w:rFonts w:ascii="宋体" w:hAnsi="宋体" w:cs="宋体" w:hint="eastAsia"/>
                <w:color w:val="000000"/>
                <w:kern w:val="0"/>
                <w:sz w:val="20"/>
                <w:szCs w:val="20"/>
              </w:rPr>
              <w:t>进一步细化预算编制，加快预算执行进度，建立健全预算执行监控制度，进一步强化结余资金的管理。</w:t>
            </w:r>
          </w:p>
        </w:tc>
      </w:tr>
      <w:tr w:rsidR="00445AD5" w14:paraId="6A780AF4" w14:textId="77777777">
        <w:trPr>
          <w:gridAfter w:val="4"/>
          <w:wAfter w:w="1390" w:type="pct"/>
          <w:trHeight w:val="1200"/>
        </w:trPr>
        <w:tc>
          <w:tcPr>
            <w:tcW w:w="146" w:type="pct"/>
            <w:vMerge/>
            <w:tcBorders>
              <w:top w:val="nil"/>
              <w:left w:val="single" w:sz="4" w:space="0" w:color="auto"/>
              <w:bottom w:val="nil"/>
              <w:right w:val="single" w:sz="4" w:space="0" w:color="auto"/>
            </w:tcBorders>
            <w:vAlign w:val="center"/>
          </w:tcPr>
          <w:p w14:paraId="66C7194D" w14:textId="77777777" w:rsidR="00445AD5" w:rsidRDefault="00445AD5">
            <w:pPr>
              <w:widowControl/>
              <w:jc w:val="left"/>
              <w:rPr>
                <w:rFonts w:ascii="宋体" w:hAnsi="宋体" w:cs="宋体"/>
                <w:b/>
                <w:bCs/>
                <w:color w:val="000000"/>
                <w:kern w:val="0"/>
                <w:sz w:val="20"/>
                <w:szCs w:val="20"/>
              </w:rPr>
            </w:pP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6EBB2AA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管理效率</w:t>
            </w:r>
          </w:p>
        </w:tc>
        <w:tc>
          <w:tcPr>
            <w:tcW w:w="146" w:type="pct"/>
            <w:tcBorders>
              <w:top w:val="nil"/>
              <w:left w:val="nil"/>
              <w:bottom w:val="single" w:sz="4" w:space="0" w:color="auto"/>
              <w:right w:val="single" w:sz="4" w:space="0" w:color="auto"/>
            </w:tcBorders>
            <w:shd w:val="clear" w:color="000000" w:fill="FFFFFF"/>
            <w:vAlign w:val="center"/>
          </w:tcPr>
          <w:p w14:paraId="0A86407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预算编制管理</w:t>
            </w:r>
          </w:p>
        </w:tc>
        <w:tc>
          <w:tcPr>
            <w:tcW w:w="216" w:type="pct"/>
            <w:tcBorders>
              <w:top w:val="nil"/>
              <w:left w:val="nil"/>
              <w:bottom w:val="single" w:sz="4" w:space="0" w:color="auto"/>
              <w:right w:val="single" w:sz="4" w:space="0" w:color="auto"/>
            </w:tcBorders>
            <w:shd w:val="clear" w:color="000000" w:fill="FFFFFF"/>
            <w:vAlign w:val="center"/>
          </w:tcPr>
          <w:p w14:paraId="58EB1A0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预算绩效目标覆盖率</w:t>
            </w:r>
          </w:p>
        </w:tc>
        <w:tc>
          <w:tcPr>
            <w:tcW w:w="146" w:type="pct"/>
            <w:tcBorders>
              <w:top w:val="nil"/>
              <w:left w:val="nil"/>
              <w:bottom w:val="single" w:sz="4" w:space="0" w:color="auto"/>
              <w:right w:val="single" w:sz="4" w:space="0" w:color="auto"/>
            </w:tcBorders>
            <w:shd w:val="clear" w:color="000000" w:fill="FFFFFF"/>
            <w:vAlign w:val="center"/>
          </w:tcPr>
          <w:p w14:paraId="5C1017C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1" w:type="pct"/>
            <w:tcBorders>
              <w:top w:val="nil"/>
              <w:left w:val="nil"/>
              <w:bottom w:val="single" w:sz="4" w:space="0" w:color="auto"/>
              <w:right w:val="single" w:sz="4" w:space="0" w:color="auto"/>
            </w:tcBorders>
            <w:shd w:val="clear" w:color="000000" w:fill="FFFFFF"/>
            <w:vAlign w:val="center"/>
          </w:tcPr>
          <w:p w14:paraId="0F39329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gridSpan w:val="2"/>
            <w:tcBorders>
              <w:top w:val="nil"/>
              <w:left w:val="nil"/>
              <w:bottom w:val="single" w:sz="4" w:space="0" w:color="auto"/>
              <w:right w:val="single" w:sz="4" w:space="0" w:color="auto"/>
            </w:tcBorders>
            <w:shd w:val="clear" w:color="000000" w:fill="FFFFFF"/>
            <w:vAlign w:val="center"/>
          </w:tcPr>
          <w:p w14:paraId="48380C1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408640C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15EC3D8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44767CF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182" w:type="pct"/>
            <w:gridSpan w:val="2"/>
            <w:tcBorders>
              <w:top w:val="nil"/>
              <w:left w:val="nil"/>
              <w:bottom w:val="single" w:sz="4" w:space="0" w:color="auto"/>
              <w:right w:val="single" w:sz="4" w:space="0" w:color="auto"/>
            </w:tcBorders>
            <w:shd w:val="clear" w:color="000000" w:fill="FFFFFF"/>
            <w:vAlign w:val="center"/>
          </w:tcPr>
          <w:p w14:paraId="791B89A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244" w:type="pct"/>
            <w:tcBorders>
              <w:top w:val="nil"/>
              <w:left w:val="nil"/>
              <w:bottom w:val="single" w:sz="4" w:space="0" w:color="auto"/>
              <w:right w:val="single" w:sz="4" w:space="0" w:color="auto"/>
            </w:tcBorders>
            <w:shd w:val="clear" w:color="000000" w:fill="FFFFFF"/>
            <w:vAlign w:val="center"/>
          </w:tcPr>
          <w:p w14:paraId="596C96D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10AFF0B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42B307D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4EB4DB8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40C4467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41F43E6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16B0341" w14:textId="77777777">
        <w:trPr>
          <w:gridAfter w:val="4"/>
          <w:wAfter w:w="1390" w:type="pct"/>
          <w:trHeight w:val="2400"/>
        </w:trPr>
        <w:tc>
          <w:tcPr>
            <w:tcW w:w="146" w:type="pct"/>
            <w:vMerge/>
            <w:tcBorders>
              <w:top w:val="nil"/>
              <w:left w:val="single" w:sz="4" w:space="0" w:color="auto"/>
              <w:bottom w:val="nil"/>
              <w:right w:val="single" w:sz="4" w:space="0" w:color="auto"/>
            </w:tcBorders>
            <w:vAlign w:val="center"/>
          </w:tcPr>
          <w:p w14:paraId="111CB0DF"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7C972A6B" w14:textId="77777777" w:rsidR="00445AD5" w:rsidRDefault="00445AD5">
            <w:pPr>
              <w:widowControl/>
              <w:jc w:val="left"/>
              <w:rPr>
                <w:rFonts w:ascii="宋体" w:hAnsi="宋体" w:cs="宋体"/>
                <w:color w:val="000000"/>
                <w:kern w:val="0"/>
                <w:sz w:val="20"/>
                <w:szCs w:val="20"/>
              </w:rPr>
            </w:pPr>
          </w:p>
        </w:tc>
        <w:tc>
          <w:tcPr>
            <w:tcW w:w="146" w:type="pct"/>
            <w:tcBorders>
              <w:top w:val="nil"/>
              <w:left w:val="nil"/>
              <w:bottom w:val="single" w:sz="4" w:space="0" w:color="auto"/>
              <w:right w:val="single" w:sz="4" w:space="0" w:color="auto"/>
            </w:tcBorders>
            <w:shd w:val="clear" w:color="000000" w:fill="FFFFFF"/>
            <w:vAlign w:val="center"/>
          </w:tcPr>
          <w:p w14:paraId="50C3B5C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预算监督管理</w:t>
            </w:r>
          </w:p>
        </w:tc>
        <w:tc>
          <w:tcPr>
            <w:tcW w:w="216" w:type="pct"/>
            <w:tcBorders>
              <w:top w:val="nil"/>
              <w:left w:val="nil"/>
              <w:bottom w:val="single" w:sz="4" w:space="0" w:color="auto"/>
              <w:right w:val="single" w:sz="4" w:space="0" w:color="auto"/>
            </w:tcBorders>
            <w:shd w:val="clear" w:color="000000" w:fill="FFFFFF"/>
            <w:vAlign w:val="center"/>
          </w:tcPr>
          <w:p w14:paraId="41E642A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预决算公开情况</w:t>
            </w:r>
          </w:p>
        </w:tc>
        <w:tc>
          <w:tcPr>
            <w:tcW w:w="146" w:type="pct"/>
            <w:tcBorders>
              <w:top w:val="nil"/>
              <w:left w:val="nil"/>
              <w:bottom w:val="single" w:sz="4" w:space="0" w:color="auto"/>
              <w:right w:val="single" w:sz="4" w:space="0" w:color="auto"/>
            </w:tcBorders>
            <w:shd w:val="clear" w:color="000000" w:fill="FFFFFF"/>
            <w:vAlign w:val="center"/>
          </w:tcPr>
          <w:p w14:paraId="40A9055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1" w:type="pct"/>
            <w:tcBorders>
              <w:top w:val="nil"/>
              <w:left w:val="nil"/>
              <w:bottom w:val="single" w:sz="4" w:space="0" w:color="auto"/>
              <w:right w:val="single" w:sz="4" w:space="0" w:color="auto"/>
            </w:tcBorders>
            <w:shd w:val="clear" w:color="000000" w:fill="FFFFFF"/>
            <w:vAlign w:val="center"/>
          </w:tcPr>
          <w:p w14:paraId="3AA007B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全部公开</w:t>
            </w:r>
          </w:p>
        </w:tc>
        <w:tc>
          <w:tcPr>
            <w:tcW w:w="146" w:type="pct"/>
            <w:gridSpan w:val="2"/>
            <w:tcBorders>
              <w:top w:val="nil"/>
              <w:left w:val="nil"/>
              <w:bottom w:val="single" w:sz="4" w:space="0" w:color="auto"/>
              <w:right w:val="single" w:sz="4" w:space="0" w:color="auto"/>
            </w:tcBorders>
            <w:shd w:val="clear" w:color="000000" w:fill="FFFFFF"/>
            <w:vAlign w:val="center"/>
          </w:tcPr>
          <w:p w14:paraId="3596EC0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vAlign w:val="center"/>
          </w:tcPr>
          <w:p w14:paraId="60188E6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146" w:type="pct"/>
            <w:tcBorders>
              <w:top w:val="nil"/>
              <w:left w:val="nil"/>
              <w:bottom w:val="single" w:sz="4" w:space="0" w:color="auto"/>
              <w:right w:val="single" w:sz="4" w:space="0" w:color="auto"/>
            </w:tcBorders>
            <w:shd w:val="clear" w:color="000000" w:fill="FFFFFF"/>
            <w:vAlign w:val="center"/>
          </w:tcPr>
          <w:p w14:paraId="1D49D0E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48BFF82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182" w:type="pct"/>
            <w:gridSpan w:val="2"/>
            <w:tcBorders>
              <w:top w:val="nil"/>
              <w:left w:val="nil"/>
              <w:bottom w:val="single" w:sz="4" w:space="0" w:color="auto"/>
              <w:right w:val="single" w:sz="4" w:space="0" w:color="auto"/>
            </w:tcBorders>
            <w:shd w:val="clear" w:color="000000" w:fill="FFFFFF"/>
            <w:vAlign w:val="center"/>
          </w:tcPr>
          <w:p w14:paraId="20E59A1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244" w:type="pct"/>
            <w:tcBorders>
              <w:top w:val="nil"/>
              <w:left w:val="nil"/>
              <w:bottom w:val="single" w:sz="4" w:space="0" w:color="auto"/>
              <w:right w:val="single" w:sz="4" w:space="0" w:color="auto"/>
            </w:tcBorders>
            <w:shd w:val="clear" w:color="000000" w:fill="FFFFFF"/>
            <w:vAlign w:val="center"/>
          </w:tcPr>
          <w:p w14:paraId="77AC064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3C33DD8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0AA5106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2E33569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018B805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094A219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1D6870FA" w14:textId="77777777">
        <w:trPr>
          <w:gridAfter w:val="4"/>
          <w:wAfter w:w="1390" w:type="pct"/>
          <w:trHeight w:val="2400"/>
        </w:trPr>
        <w:tc>
          <w:tcPr>
            <w:tcW w:w="146" w:type="pct"/>
            <w:vMerge/>
            <w:tcBorders>
              <w:top w:val="nil"/>
              <w:left w:val="single" w:sz="4" w:space="0" w:color="auto"/>
              <w:bottom w:val="nil"/>
              <w:right w:val="single" w:sz="4" w:space="0" w:color="auto"/>
            </w:tcBorders>
            <w:vAlign w:val="center"/>
          </w:tcPr>
          <w:p w14:paraId="2A60CB10"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4584F9C2" w14:textId="77777777" w:rsidR="00445AD5" w:rsidRDefault="00445AD5">
            <w:pPr>
              <w:widowControl/>
              <w:jc w:val="left"/>
              <w:rPr>
                <w:rFonts w:ascii="宋体" w:hAnsi="宋体" w:cs="宋体"/>
                <w:color w:val="000000"/>
                <w:kern w:val="0"/>
                <w:sz w:val="20"/>
                <w:szCs w:val="20"/>
              </w:rPr>
            </w:pPr>
          </w:p>
        </w:tc>
        <w:tc>
          <w:tcPr>
            <w:tcW w:w="146" w:type="pct"/>
            <w:tcBorders>
              <w:top w:val="nil"/>
              <w:left w:val="nil"/>
              <w:bottom w:val="single" w:sz="4" w:space="0" w:color="auto"/>
              <w:right w:val="single" w:sz="4" w:space="0" w:color="auto"/>
            </w:tcBorders>
            <w:shd w:val="clear" w:color="000000" w:fill="FFFFFF"/>
            <w:vAlign w:val="center"/>
          </w:tcPr>
          <w:p w14:paraId="6A04C24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预算收支管理</w:t>
            </w:r>
          </w:p>
        </w:tc>
        <w:tc>
          <w:tcPr>
            <w:tcW w:w="216" w:type="pct"/>
            <w:tcBorders>
              <w:top w:val="nil"/>
              <w:left w:val="nil"/>
              <w:bottom w:val="single" w:sz="4" w:space="0" w:color="auto"/>
              <w:right w:val="single" w:sz="4" w:space="0" w:color="auto"/>
            </w:tcBorders>
            <w:shd w:val="clear" w:color="000000" w:fill="FFFFFF"/>
            <w:vAlign w:val="center"/>
          </w:tcPr>
          <w:p w14:paraId="7A78873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预算收入管理规范性</w:t>
            </w:r>
          </w:p>
        </w:tc>
        <w:tc>
          <w:tcPr>
            <w:tcW w:w="146" w:type="pct"/>
            <w:tcBorders>
              <w:top w:val="nil"/>
              <w:left w:val="nil"/>
              <w:bottom w:val="single" w:sz="4" w:space="0" w:color="auto"/>
              <w:right w:val="single" w:sz="4" w:space="0" w:color="auto"/>
            </w:tcBorders>
            <w:shd w:val="clear" w:color="000000" w:fill="FFFFFF"/>
            <w:vAlign w:val="center"/>
          </w:tcPr>
          <w:p w14:paraId="6CE52BA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1" w:type="pct"/>
            <w:tcBorders>
              <w:top w:val="nil"/>
              <w:left w:val="nil"/>
              <w:bottom w:val="single" w:sz="4" w:space="0" w:color="auto"/>
              <w:right w:val="single" w:sz="4" w:space="0" w:color="auto"/>
            </w:tcBorders>
            <w:shd w:val="clear" w:color="000000" w:fill="FFFFFF"/>
            <w:vAlign w:val="center"/>
          </w:tcPr>
          <w:p w14:paraId="5FD6CA9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146" w:type="pct"/>
            <w:gridSpan w:val="2"/>
            <w:tcBorders>
              <w:top w:val="nil"/>
              <w:left w:val="nil"/>
              <w:bottom w:val="single" w:sz="4" w:space="0" w:color="auto"/>
              <w:right w:val="single" w:sz="4" w:space="0" w:color="auto"/>
            </w:tcBorders>
            <w:shd w:val="clear" w:color="000000" w:fill="FFFFFF"/>
            <w:vAlign w:val="center"/>
          </w:tcPr>
          <w:p w14:paraId="37DEF58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vAlign w:val="center"/>
          </w:tcPr>
          <w:p w14:paraId="4543E25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146" w:type="pct"/>
            <w:tcBorders>
              <w:top w:val="nil"/>
              <w:left w:val="nil"/>
              <w:bottom w:val="single" w:sz="4" w:space="0" w:color="auto"/>
              <w:right w:val="single" w:sz="4" w:space="0" w:color="auto"/>
            </w:tcBorders>
            <w:shd w:val="clear" w:color="000000" w:fill="FFFFFF"/>
            <w:vAlign w:val="center"/>
          </w:tcPr>
          <w:p w14:paraId="0B3C414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6158E86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182" w:type="pct"/>
            <w:gridSpan w:val="2"/>
            <w:tcBorders>
              <w:top w:val="nil"/>
              <w:left w:val="nil"/>
              <w:bottom w:val="single" w:sz="4" w:space="0" w:color="auto"/>
              <w:right w:val="single" w:sz="4" w:space="0" w:color="auto"/>
            </w:tcBorders>
            <w:shd w:val="clear" w:color="000000" w:fill="FFFFFF"/>
            <w:vAlign w:val="center"/>
          </w:tcPr>
          <w:p w14:paraId="214B05F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244" w:type="pct"/>
            <w:tcBorders>
              <w:top w:val="nil"/>
              <w:left w:val="nil"/>
              <w:bottom w:val="single" w:sz="4" w:space="0" w:color="auto"/>
              <w:right w:val="single" w:sz="4" w:space="0" w:color="auto"/>
            </w:tcBorders>
            <w:shd w:val="clear" w:color="000000" w:fill="FFFFFF"/>
            <w:vAlign w:val="center"/>
          </w:tcPr>
          <w:p w14:paraId="39E45C2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082BFCC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0901A4B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59F0E24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5FAB2DC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320AD5E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60FC07C4" w14:textId="77777777">
        <w:trPr>
          <w:gridAfter w:val="4"/>
          <w:wAfter w:w="1390" w:type="pct"/>
          <w:trHeight w:val="2400"/>
        </w:trPr>
        <w:tc>
          <w:tcPr>
            <w:tcW w:w="146" w:type="pct"/>
            <w:vMerge/>
            <w:tcBorders>
              <w:top w:val="nil"/>
              <w:left w:val="single" w:sz="4" w:space="0" w:color="auto"/>
              <w:bottom w:val="nil"/>
              <w:right w:val="single" w:sz="4" w:space="0" w:color="auto"/>
            </w:tcBorders>
            <w:vAlign w:val="center"/>
          </w:tcPr>
          <w:p w14:paraId="10C7E47C"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69E853B6" w14:textId="77777777" w:rsidR="00445AD5" w:rsidRDefault="00445AD5">
            <w:pPr>
              <w:widowControl/>
              <w:jc w:val="left"/>
              <w:rPr>
                <w:rFonts w:ascii="宋体" w:hAnsi="宋体" w:cs="宋体"/>
                <w:color w:val="000000"/>
                <w:kern w:val="0"/>
                <w:sz w:val="20"/>
                <w:szCs w:val="20"/>
              </w:rPr>
            </w:pPr>
          </w:p>
        </w:tc>
        <w:tc>
          <w:tcPr>
            <w:tcW w:w="146" w:type="pct"/>
            <w:tcBorders>
              <w:top w:val="nil"/>
              <w:left w:val="nil"/>
              <w:bottom w:val="single" w:sz="4" w:space="0" w:color="auto"/>
              <w:right w:val="single" w:sz="4" w:space="0" w:color="auto"/>
            </w:tcBorders>
            <w:shd w:val="clear" w:color="000000" w:fill="FFFFFF"/>
            <w:vAlign w:val="center"/>
          </w:tcPr>
          <w:p w14:paraId="5904F48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w:t>
            </w:r>
          </w:p>
        </w:tc>
        <w:tc>
          <w:tcPr>
            <w:tcW w:w="216" w:type="pct"/>
            <w:tcBorders>
              <w:top w:val="nil"/>
              <w:left w:val="nil"/>
              <w:bottom w:val="single" w:sz="4" w:space="0" w:color="auto"/>
              <w:right w:val="single" w:sz="4" w:space="0" w:color="auto"/>
            </w:tcBorders>
            <w:shd w:val="clear" w:color="000000" w:fill="FFFFFF"/>
            <w:vAlign w:val="center"/>
          </w:tcPr>
          <w:p w14:paraId="07562E5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内控制度有效性</w:t>
            </w:r>
          </w:p>
        </w:tc>
        <w:tc>
          <w:tcPr>
            <w:tcW w:w="146" w:type="pct"/>
            <w:tcBorders>
              <w:top w:val="nil"/>
              <w:left w:val="nil"/>
              <w:bottom w:val="single" w:sz="4" w:space="0" w:color="auto"/>
              <w:right w:val="single" w:sz="4" w:space="0" w:color="auto"/>
            </w:tcBorders>
            <w:shd w:val="clear" w:color="000000" w:fill="FFFFFF"/>
            <w:vAlign w:val="center"/>
          </w:tcPr>
          <w:p w14:paraId="1C8ACAA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1" w:type="pct"/>
            <w:tcBorders>
              <w:top w:val="nil"/>
              <w:left w:val="nil"/>
              <w:bottom w:val="single" w:sz="4" w:space="0" w:color="auto"/>
              <w:right w:val="single" w:sz="4" w:space="0" w:color="auto"/>
            </w:tcBorders>
            <w:shd w:val="clear" w:color="000000" w:fill="FFFFFF"/>
            <w:vAlign w:val="center"/>
          </w:tcPr>
          <w:p w14:paraId="3FA49AB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制度有效</w:t>
            </w:r>
          </w:p>
        </w:tc>
        <w:tc>
          <w:tcPr>
            <w:tcW w:w="146" w:type="pct"/>
            <w:gridSpan w:val="2"/>
            <w:tcBorders>
              <w:top w:val="nil"/>
              <w:left w:val="nil"/>
              <w:bottom w:val="single" w:sz="4" w:space="0" w:color="auto"/>
              <w:right w:val="single" w:sz="4" w:space="0" w:color="auto"/>
            </w:tcBorders>
            <w:shd w:val="clear" w:color="000000" w:fill="FFFFFF"/>
            <w:vAlign w:val="center"/>
          </w:tcPr>
          <w:p w14:paraId="08FD10C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vAlign w:val="center"/>
          </w:tcPr>
          <w:p w14:paraId="6DA3818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146" w:type="pct"/>
            <w:tcBorders>
              <w:top w:val="nil"/>
              <w:left w:val="nil"/>
              <w:bottom w:val="single" w:sz="4" w:space="0" w:color="auto"/>
              <w:right w:val="single" w:sz="4" w:space="0" w:color="auto"/>
            </w:tcBorders>
            <w:shd w:val="clear" w:color="000000" w:fill="FFFFFF"/>
            <w:vAlign w:val="center"/>
          </w:tcPr>
          <w:p w14:paraId="54EE22B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14C707E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182" w:type="pct"/>
            <w:gridSpan w:val="2"/>
            <w:tcBorders>
              <w:top w:val="nil"/>
              <w:left w:val="nil"/>
              <w:bottom w:val="single" w:sz="4" w:space="0" w:color="auto"/>
              <w:right w:val="single" w:sz="4" w:space="0" w:color="auto"/>
            </w:tcBorders>
            <w:shd w:val="clear" w:color="000000" w:fill="FFFFFF"/>
            <w:vAlign w:val="center"/>
          </w:tcPr>
          <w:p w14:paraId="55BB0D9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244" w:type="pct"/>
            <w:tcBorders>
              <w:top w:val="nil"/>
              <w:left w:val="nil"/>
              <w:bottom w:val="single" w:sz="4" w:space="0" w:color="auto"/>
              <w:right w:val="single" w:sz="4" w:space="0" w:color="auto"/>
            </w:tcBorders>
            <w:shd w:val="clear" w:color="000000" w:fill="FFFFFF"/>
            <w:vAlign w:val="center"/>
          </w:tcPr>
          <w:p w14:paraId="11140E8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258E97C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7DD2A69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4C21AB3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525C012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683DE1B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B21C022" w14:textId="77777777">
        <w:trPr>
          <w:gridAfter w:val="4"/>
          <w:wAfter w:w="1390" w:type="pct"/>
          <w:trHeight w:val="960"/>
        </w:trPr>
        <w:tc>
          <w:tcPr>
            <w:tcW w:w="146" w:type="pct"/>
            <w:vMerge/>
            <w:tcBorders>
              <w:top w:val="nil"/>
              <w:left w:val="single" w:sz="4" w:space="0" w:color="auto"/>
              <w:bottom w:val="nil"/>
              <w:right w:val="single" w:sz="4" w:space="0" w:color="auto"/>
            </w:tcBorders>
            <w:vAlign w:val="center"/>
          </w:tcPr>
          <w:p w14:paraId="78119B54"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07D8EC86" w14:textId="77777777" w:rsidR="00445AD5" w:rsidRDefault="00445AD5">
            <w:pPr>
              <w:widowControl/>
              <w:jc w:val="left"/>
              <w:rPr>
                <w:rFonts w:ascii="宋体" w:hAnsi="宋体" w:cs="宋体"/>
                <w:color w:val="000000"/>
                <w:kern w:val="0"/>
                <w:sz w:val="20"/>
                <w:szCs w:val="20"/>
              </w:rPr>
            </w:pPr>
          </w:p>
        </w:tc>
        <w:tc>
          <w:tcPr>
            <w:tcW w:w="146" w:type="pct"/>
            <w:tcBorders>
              <w:top w:val="nil"/>
              <w:left w:val="nil"/>
              <w:bottom w:val="single" w:sz="4" w:space="0" w:color="auto"/>
              <w:right w:val="single" w:sz="4" w:space="0" w:color="auto"/>
            </w:tcBorders>
            <w:shd w:val="clear" w:color="000000" w:fill="FFFFFF"/>
            <w:vAlign w:val="center"/>
          </w:tcPr>
          <w:p w14:paraId="2F58ADB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w:t>
            </w:r>
          </w:p>
        </w:tc>
        <w:tc>
          <w:tcPr>
            <w:tcW w:w="216" w:type="pct"/>
            <w:tcBorders>
              <w:top w:val="nil"/>
              <w:left w:val="nil"/>
              <w:bottom w:val="single" w:sz="4" w:space="0" w:color="auto"/>
              <w:right w:val="single" w:sz="4" w:space="0" w:color="auto"/>
            </w:tcBorders>
            <w:shd w:val="clear" w:color="000000" w:fill="FFFFFF"/>
            <w:vAlign w:val="center"/>
          </w:tcPr>
          <w:p w14:paraId="0ECE3C3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固定资产利用率</w:t>
            </w:r>
          </w:p>
        </w:tc>
        <w:tc>
          <w:tcPr>
            <w:tcW w:w="146" w:type="pct"/>
            <w:tcBorders>
              <w:top w:val="nil"/>
              <w:left w:val="nil"/>
              <w:bottom w:val="single" w:sz="4" w:space="0" w:color="auto"/>
              <w:right w:val="single" w:sz="4" w:space="0" w:color="auto"/>
            </w:tcBorders>
            <w:shd w:val="clear" w:color="000000" w:fill="FFFFFF"/>
            <w:vAlign w:val="center"/>
          </w:tcPr>
          <w:p w14:paraId="0FE6E48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181" w:type="pct"/>
            <w:tcBorders>
              <w:top w:val="nil"/>
              <w:left w:val="nil"/>
              <w:bottom w:val="single" w:sz="4" w:space="0" w:color="auto"/>
              <w:right w:val="single" w:sz="4" w:space="0" w:color="auto"/>
            </w:tcBorders>
            <w:shd w:val="clear" w:color="000000" w:fill="FFFFFF"/>
            <w:vAlign w:val="center"/>
          </w:tcPr>
          <w:p w14:paraId="666AF62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gridSpan w:val="2"/>
            <w:tcBorders>
              <w:top w:val="nil"/>
              <w:left w:val="nil"/>
              <w:bottom w:val="single" w:sz="4" w:space="0" w:color="auto"/>
              <w:right w:val="single" w:sz="4" w:space="0" w:color="auto"/>
            </w:tcBorders>
            <w:shd w:val="clear" w:color="000000" w:fill="FFFFFF"/>
            <w:vAlign w:val="center"/>
          </w:tcPr>
          <w:p w14:paraId="48DD281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521721E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05E3B89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02A9C2C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182" w:type="pct"/>
            <w:gridSpan w:val="2"/>
            <w:tcBorders>
              <w:top w:val="nil"/>
              <w:left w:val="nil"/>
              <w:bottom w:val="single" w:sz="4" w:space="0" w:color="auto"/>
              <w:right w:val="single" w:sz="4" w:space="0" w:color="auto"/>
            </w:tcBorders>
            <w:shd w:val="clear" w:color="000000" w:fill="FFFFFF"/>
            <w:vAlign w:val="center"/>
          </w:tcPr>
          <w:p w14:paraId="3DE8B77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244" w:type="pct"/>
            <w:tcBorders>
              <w:top w:val="nil"/>
              <w:left w:val="nil"/>
              <w:bottom w:val="single" w:sz="4" w:space="0" w:color="auto"/>
              <w:right w:val="single" w:sz="4" w:space="0" w:color="auto"/>
            </w:tcBorders>
            <w:shd w:val="clear" w:color="000000" w:fill="FFFFFF"/>
            <w:vAlign w:val="center"/>
          </w:tcPr>
          <w:p w14:paraId="33CA55E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52A2573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4B3C816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3F5CB58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334540A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27C56F8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2381F7DE" w14:textId="77777777">
        <w:trPr>
          <w:gridAfter w:val="4"/>
          <w:wAfter w:w="1390" w:type="pct"/>
          <w:trHeight w:val="1920"/>
        </w:trPr>
        <w:tc>
          <w:tcPr>
            <w:tcW w:w="146" w:type="pct"/>
            <w:vMerge/>
            <w:tcBorders>
              <w:top w:val="nil"/>
              <w:left w:val="single" w:sz="4" w:space="0" w:color="auto"/>
              <w:bottom w:val="nil"/>
              <w:right w:val="single" w:sz="4" w:space="0" w:color="auto"/>
            </w:tcBorders>
            <w:vAlign w:val="center"/>
          </w:tcPr>
          <w:p w14:paraId="260A7055"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72B2BE8C" w14:textId="77777777" w:rsidR="00445AD5" w:rsidRDefault="00445AD5">
            <w:pPr>
              <w:widowControl/>
              <w:jc w:val="left"/>
              <w:rPr>
                <w:rFonts w:ascii="宋体" w:hAnsi="宋体" w:cs="宋体"/>
                <w:color w:val="000000"/>
                <w:kern w:val="0"/>
                <w:sz w:val="20"/>
                <w:szCs w:val="20"/>
              </w:rPr>
            </w:pPr>
          </w:p>
        </w:tc>
        <w:tc>
          <w:tcPr>
            <w:tcW w:w="146" w:type="pct"/>
            <w:tcBorders>
              <w:top w:val="nil"/>
              <w:left w:val="nil"/>
              <w:bottom w:val="single" w:sz="4" w:space="0" w:color="auto"/>
              <w:right w:val="single" w:sz="4" w:space="0" w:color="auto"/>
            </w:tcBorders>
            <w:shd w:val="clear" w:color="000000" w:fill="FFFFFF"/>
            <w:vAlign w:val="center"/>
          </w:tcPr>
          <w:p w14:paraId="2645550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业务管理</w:t>
            </w:r>
          </w:p>
        </w:tc>
        <w:tc>
          <w:tcPr>
            <w:tcW w:w="216" w:type="pct"/>
            <w:tcBorders>
              <w:top w:val="nil"/>
              <w:left w:val="nil"/>
              <w:bottom w:val="single" w:sz="4" w:space="0" w:color="auto"/>
              <w:right w:val="single" w:sz="4" w:space="0" w:color="auto"/>
            </w:tcBorders>
            <w:shd w:val="clear" w:color="000000" w:fill="FFFFFF"/>
            <w:vAlign w:val="center"/>
          </w:tcPr>
          <w:p w14:paraId="4ED260D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政府采购管理违法违规行为</w:t>
            </w:r>
            <w:r>
              <w:rPr>
                <w:rFonts w:ascii="宋体" w:hAnsi="宋体" w:cs="宋体" w:hint="eastAsia"/>
                <w:color w:val="000000"/>
                <w:kern w:val="0"/>
                <w:sz w:val="20"/>
                <w:szCs w:val="20"/>
              </w:rPr>
              <w:lastRenderedPageBreak/>
              <w:t>发生次数</w:t>
            </w:r>
          </w:p>
        </w:tc>
        <w:tc>
          <w:tcPr>
            <w:tcW w:w="146" w:type="pct"/>
            <w:tcBorders>
              <w:top w:val="nil"/>
              <w:left w:val="nil"/>
              <w:bottom w:val="single" w:sz="4" w:space="0" w:color="auto"/>
              <w:right w:val="single" w:sz="4" w:space="0" w:color="auto"/>
            </w:tcBorders>
            <w:shd w:val="clear" w:color="000000" w:fill="FFFFFF"/>
            <w:vAlign w:val="center"/>
          </w:tcPr>
          <w:p w14:paraId="75552E8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w:t>
            </w:r>
          </w:p>
        </w:tc>
        <w:tc>
          <w:tcPr>
            <w:tcW w:w="181" w:type="pct"/>
            <w:tcBorders>
              <w:top w:val="nil"/>
              <w:left w:val="nil"/>
              <w:bottom w:val="single" w:sz="4" w:space="0" w:color="auto"/>
              <w:right w:val="single" w:sz="4" w:space="0" w:color="auto"/>
            </w:tcBorders>
            <w:shd w:val="clear" w:color="000000" w:fill="FFFFFF"/>
            <w:vAlign w:val="center"/>
          </w:tcPr>
          <w:p w14:paraId="5FE8F7D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146" w:type="pct"/>
            <w:gridSpan w:val="2"/>
            <w:tcBorders>
              <w:top w:val="nil"/>
              <w:left w:val="nil"/>
              <w:bottom w:val="single" w:sz="4" w:space="0" w:color="auto"/>
              <w:right w:val="single" w:sz="4" w:space="0" w:color="auto"/>
            </w:tcBorders>
            <w:shd w:val="clear" w:color="000000" w:fill="FFFFFF"/>
            <w:vAlign w:val="center"/>
          </w:tcPr>
          <w:p w14:paraId="7447C73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次</w:t>
            </w:r>
          </w:p>
        </w:tc>
        <w:tc>
          <w:tcPr>
            <w:tcW w:w="357" w:type="pct"/>
            <w:tcBorders>
              <w:top w:val="nil"/>
              <w:left w:val="nil"/>
              <w:bottom w:val="single" w:sz="4" w:space="0" w:color="auto"/>
              <w:right w:val="single" w:sz="4" w:space="0" w:color="auto"/>
            </w:tcBorders>
            <w:shd w:val="clear" w:color="000000" w:fill="FFFFFF"/>
            <w:vAlign w:val="center"/>
          </w:tcPr>
          <w:p w14:paraId="19BB969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55131A3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548E7D7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2" w:type="pct"/>
            <w:gridSpan w:val="2"/>
            <w:tcBorders>
              <w:top w:val="nil"/>
              <w:left w:val="nil"/>
              <w:bottom w:val="single" w:sz="4" w:space="0" w:color="auto"/>
              <w:right w:val="single" w:sz="4" w:space="0" w:color="auto"/>
            </w:tcBorders>
            <w:shd w:val="clear" w:color="000000" w:fill="FFFFFF"/>
            <w:vAlign w:val="center"/>
          </w:tcPr>
          <w:p w14:paraId="1EBDD3A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244" w:type="pct"/>
            <w:tcBorders>
              <w:top w:val="nil"/>
              <w:left w:val="nil"/>
              <w:bottom w:val="single" w:sz="4" w:space="0" w:color="auto"/>
              <w:right w:val="single" w:sz="4" w:space="0" w:color="auto"/>
            </w:tcBorders>
            <w:shd w:val="clear" w:color="000000" w:fill="FFFFFF"/>
            <w:vAlign w:val="center"/>
          </w:tcPr>
          <w:p w14:paraId="47B4623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2B8E199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5605229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5067854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1FF5330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24810F9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2554F4D0" w14:textId="77777777">
        <w:trPr>
          <w:gridAfter w:val="4"/>
          <w:wAfter w:w="1390" w:type="pct"/>
          <w:trHeight w:val="1200"/>
        </w:trPr>
        <w:tc>
          <w:tcPr>
            <w:tcW w:w="146" w:type="pct"/>
            <w:vMerge/>
            <w:tcBorders>
              <w:top w:val="nil"/>
              <w:left w:val="single" w:sz="4" w:space="0" w:color="auto"/>
              <w:bottom w:val="nil"/>
              <w:right w:val="single" w:sz="4" w:space="0" w:color="auto"/>
            </w:tcBorders>
            <w:vAlign w:val="center"/>
          </w:tcPr>
          <w:p w14:paraId="2DA0F9CD" w14:textId="77777777" w:rsidR="00445AD5" w:rsidRDefault="00445AD5">
            <w:pPr>
              <w:widowControl/>
              <w:jc w:val="left"/>
              <w:rPr>
                <w:rFonts w:ascii="宋体" w:hAnsi="宋体" w:cs="宋体"/>
                <w:b/>
                <w:bCs/>
                <w:color w:val="000000"/>
                <w:kern w:val="0"/>
                <w:sz w:val="20"/>
                <w:szCs w:val="20"/>
              </w:rPr>
            </w:pP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21D8770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运行成本</w:t>
            </w: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554C5EB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成本控制成效</w:t>
            </w:r>
          </w:p>
        </w:tc>
        <w:tc>
          <w:tcPr>
            <w:tcW w:w="216" w:type="pct"/>
            <w:tcBorders>
              <w:top w:val="nil"/>
              <w:left w:val="nil"/>
              <w:bottom w:val="single" w:sz="4" w:space="0" w:color="auto"/>
              <w:right w:val="single" w:sz="4" w:space="0" w:color="auto"/>
            </w:tcBorders>
            <w:shd w:val="clear" w:color="000000" w:fill="FFFFFF"/>
            <w:vAlign w:val="center"/>
          </w:tcPr>
          <w:p w14:paraId="2DF60C3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“三公”经费变动率</w:t>
            </w:r>
          </w:p>
        </w:tc>
        <w:tc>
          <w:tcPr>
            <w:tcW w:w="146" w:type="pct"/>
            <w:tcBorders>
              <w:top w:val="nil"/>
              <w:left w:val="nil"/>
              <w:bottom w:val="single" w:sz="4" w:space="0" w:color="auto"/>
              <w:right w:val="single" w:sz="4" w:space="0" w:color="auto"/>
            </w:tcBorders>
            <w:shd w:val="clear" w:color="000000" w:fill="FFFFFF"/>
            <w:vAlign w:val="center"/>
          </w:tcPr>
          <w:p w14:paraId="6DE36C7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81" w:type="pct"/>
            <w:tcBorders>
              <w:top w:val="nil"/>
              <w:left w:val="nil"/>
              <w:bottom w:val="single" w:sz="4" w:space="0" w:color="auto"/>
              <w:right w:val="single" w:sz="4" w:space="0" w:color="auto"/>
            </w:tcBorders>
            <w:shd w:val="clear" w:color="000000" w:fill="FFFFFF"/>
            <w:vAlign w:val="center"/>
          </w:tcPr>
          <w:p w14:paraId="4F59AF9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 w:type="pct"/>
            <w:gridSpan w:val="2"/>
            <w:tcBorders>
              <w:top w:val="nil"/>
              <w:left w:val="nil"/>
              <w:bottom w:val="single" w:sz="4" w:space="0" w:color="auto"/>
              <w:right w:val="single" w:sz="4" w:space="0" w:color="auto"/>
            </w:tcBorders>
            <w:shd w:val="clear" w:color="000000" w:fill="FFFFFF"/>
            <w:vAlign w:val="center"/>
          </w:tcPr>
          <w:p w14:paraId="194E301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69BC097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146" w:type="pct"/>
            <w:tcBorders>
              <w:top w:val="nil"/>
              <w:left w:val="nil"/>
              <w:bottom w:val="single" w:sz="4" w:space="0" w:color="auto"/>
              <w:right w:val="single" w:sz="4" w:space="0" w:color="auto"/>
            </w:tcBorders>
            <w:shd w:val="clear" w:color="000000" w:fill="FFFFFF"/>
            <w:vAlign w:val="center"/>
          </w:tcPr>
          <w:p w14:paraId="088E344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1D32C1C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82" w:type="pct"/>
            <w:gridSpan w:val="2"/>
            <w:tcBorders>
              <w:top w:val="nil"/>
              <w:left w:val="nil"/>
              <w:bottom w:val="single" w:sz="4" w:space="0" w:color="auto"/>
              <w:right w:val="single" w:sz="4" w:space="0" w:color="auto"/>
            </w:tcBorders>
            <w:shd w:val="clear" w:color="000000" w:fill="FFFFFF"/>
            <w:vAlign w:val="center"/>
          </w:tcPr>
          <w:p w14:paraId="231EEE9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44" w:type="pct"/>
            <w:tcBorders>
              <w:top w:val="nil"/>
              <w:left w:val="nil"/>
              <w:bottom w:val="single" w:sz="4" w:space="0" w:color="auto"/>
              <w:right w:val="single" w:sz="4" w:space="0" w:color="auto"/>
            </w:tcBorders>
            <w:shd w:val="clear" w:color="000000" w:fill="FFFFFF"/>
            <w:vAlign w:val="center"/>
          </w:tcPr>
          <w:p w14:paraId="276CBE2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372E328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1CFA2DC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28EBDFC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44C3B62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25DBD55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351EEED5" w14:textId="77777777">
        <w:trPr>
          <w:gridAfter w:val="4"/>
          <w:wAfter w:w="1390" w:type="pct"/>
          <w:trHeight w:val="960"/>
        </w:trPr>
        <w:tc>
          <w:tcPr>
            <w:tcW w:w="146" w:type="pct"/>
            <w:vMerge/>
            <w:tcBorders>
              <w:top w:val="nil"/>
              <w:left w:val="single" w:sz="4" w:space="0" w:color="auto"/>
              <w:bottom w:val="nil"/>
              <w:right w:val="single" w:sz="4" w:space="0" w:color="auto"/>
            </w:tcBorders>
            <w:vAlign w:val="center"/>
          </w:tcPr>
          <w:p w14:paraId="451A1F1E"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7994DA00" w14:textId="77777777" w:rsidR="00445AD5" w:rsidRDefault="00445AD5">
            <w:pPr>
              <w:widowControl/>
              <w:jc w:val="left"/>
              <w:rPr>
                <w:rFonts w:ascii="宋体" w:hAnsi="宋体" w:cs="宋体"/>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00583D30" w14:textId="77777777" w:rsidR="00445AD5" w:rsidRDefault="00445AD5">
            <w:pPr>
              <w:widowControl/>
              <w:jc w:val="left"/>
              <w:rPr>
                <w:rFonts w:ascii="宋体" w:hAnsi="宋体" w:cs="宋体"/>
                <w:color w:val="000000"/>
                <w:kern w:val="0"/>
                <w:sz w:val="20"/>
                <w:szCs w:val="20"/>
              </w:rPr>
            </w:pPr>
          </w:p>
        </w:tc>
        <w:tc>
          <w:tcPr>
            <w:tcW w:w="216" w:type="pct"/>
            <w:tcBorders>
              <w:top w:val="nil"/>
              <w:left w:val="nil"/>
              <w:bottom w:val="single" w:sz="4" w:space="0" w:color="auto"/>
              <w:right w:val="single" w:sz="4" w:space="0" w:color="auto"/>
            </w:tcBorders>
            <w:shd w:val="clear" w:color="000000" w:fill="FFFFFF"/>
            <w:vAlign w:val="center"/>
          </w:tcPr>
          <w:p w14:paraId="5A9D838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在职人员控制率</w:t>
            </w:r>
          </w:p>
        </w:tc>
        <w:tc>
          <w:tcPr>
            <w:tcW w:w="146" w:type="pct"/>
            <w:tcBorders>
              <w:top w:val="nil"/>
              <w:left w:val="nil"/>
              <w:bottom w:val="single" w:sz="4" w:space="0" w:color="auto"/>
              <w:right w:val="single" w:sz="4" w:space="0" w:color="auto"/>
            </w:tcBorders>
            <w:shd w:val="clear" w:color="000000" w:fill="FFFFFF"/>
            <w:vAlign w:val="center"/>
          </w:tcPr>
          <w:p w14:paraId="4F89D4C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81" w:type="pct"/>
            <w:tcBorders>
              <w:top w:val="nil"/>
              <w:left w:val="nil"/>
              <w:bottom w:val="single" w:sz="4" w:space="0" w:color="auto"/>
              <w:right w:val="single" w:sz="4" w:space="0" w:color="auto"/>
            </w:tcBorders>
            <w:shd w:val="clear" w:color="000000" w:fill="FFFFFF"/>
            <w:vAlign w:val="center"/>
          </w:tcPr>
          <w:p w14:paraId="3765AC0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gridSpan w:val="2"/>
            <w:tcBorders>
              <w:top w:val="nil"/>
              <w:left w:val="nil"/>
              <w:bottom w:val="single" w:sz="4" w:space="0" w:color="auto"/>
              <w:right w:val="single" w:sz="4" w:space="0" w:color="auto"/>
            </w:tcBorders>
            <w:shd w:val="clear" w:color="000000" w:fill="FFFFFF"/>
            <w:vAlign w:val="center"/>
          </w:tcPr>
          <w:p w14:paraId="15A538A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5790F1E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0D3C48F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1F42567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182" w:type="pct"/>
            <w:gridSpan w:val="2"/>
            <w:tcBorders>
              <w:top w:val="nil"/>
              <w:left w:val="nil"/>
              <w:bottom w:val="single" w:sz="4" w:space="0" w:color="auto"/>
              <w:right w:val="single" w:sz="4" w:space="0" w:color="auto"/>
            </w:tcBorders>
            <w:shd w:val="clear" w:color="000000" w:fill="FFFFFF"/>
            <w:vAlign w:val="center"/>
          </w:tcPr>
          <w:p w14:paraId="13CA4AC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244" w:type="pct"/>
            <w:tcBorders>
              <w:top w:val="nil"/>
              <w:left w:val="nil"/>
              <w:bottom w:val="single" w:sz="4" w:space="0" w:color="auto"/>
              <w:right w:val="single" w:sz="4" w:space="0" w:color="auto"/>
            </w:tcBorders>
            <w:shd w:val="clear" w:color="000000" w:fill="FFFFFF"/>
            <w:vAlign w:val="center"/>
          </w:tcPr>
          <w:p w14:paraId="31A8CD1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61CDB8A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658F08F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1242C9A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25B1B73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771A56F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90A82C6" w14:textId="77777777">
        <w:trPr>
          <w:gridAfter w:val="4"/>
          <w:wAfter w:w="1390" w:type="pct"/>
          <w:trHeight w:val="1200"/>
        </w:trPr>
        <w:tc>
          <w:tcPr>
            <w:tcW w:w="146" w:type="pct"/>
            <w:vMerge/>
            <w:tcBorders>
              <w:top w:val="nil"/>
              <w:left w:val="single" w:sz="4" w:space="0" w:color="auto"/>
              <w:bottom w:val="nil"/>
              <w:right w:val="single" w:sz="4" w:space="0" w:color="auto"/>
            </w:tcBorders>
            <w:vAlign w:val="center"/>
          </w:tcPr>
          <w:p w14:paraId="6C8B5FBB"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1A573D04" w14:textId="77777777" w:rsidR="00445AD5" w:rsidRDefault="00445AD5">
            <w:pPr>
              <w:widowControl/>
              <w:jc w:val="left"/>
              <w:rPr>
                <w:rFonts w:ascii="宋体" w:hAnsi="宋体" w:cs="宋体"/>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7B43F0D1" w14:textId="77777777" w:rsidR="00445AD5" w:rsidRDefault="00445AD5">
            <w:pPr>
              <w:widowControl/>
              <w:jc w:val="left"/>
              <w:rPr>
                <w:rFonts w:ascii="宋体" w:hAnsi="宋体" w:cs="宋体"/>
                <w:color w:val="000000"/>
                <w:kern w:val="0"/>
                <w:sz w:val="20"/>
                <w:szCs w:val="20"/>
              </w:rPr>
            </w:pPr>
          </w:p>
        </w:tc>
        <w:tc>
          <w:tcPr>
            <w:tcW w:w="216" w:type="pct"/>
            <w:tcBorders>
              <w:top w:val="nil"/>
              <w:left w:val="nil"/>
              <w:bottom w:val="single" w:sz="4" w:space="0" w:color="auto"/>
              <w:right w:val="single" w:sz="4" w:space="0" w:color="auto"/>
            </w:tcBorders>
            <w:shd w:val="clear" w:color="000000" w:fill="FFFFFF"/>
            <w:vAlign w:val="center"/>
          </w:tcPr>
          <w:p w14:paraId="67C4B2B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人均公用经费变动率</w:t>
            </w:r>
          </w:p>
        </w:tc>
        <w:tc>
          <w:tcPr>
            <w:tcW w:w="146" w:type="pct"/>
            <w:tcBorders>
              <w:top w:val="nil"/>
              <w:left w:val="nil"/>
              <w:bottom w:val="single" w:sz="4" w:space="0" w:color="auto"/>
              <w:right w:val="single" w:sz="4" w:space="0" w:color="auto"/>
            </w:tcBorders>
            <w:shd w:val="clear" w:color="000000" w:fill="FFFFFF"/>
            <w:vAlign w:val="center"/>
          </w:tcPr>
          <w:p w14:paraId="19CD8E1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181" w:type="pct"/>
            <w:tcBorders>
              <w:top w:val="nil"/>
              <w:left w:val="nil"/>
              <w:bottom w:val="single" w:sz="4" w:space="0" w:color="auto"/>
              <w:right w:val="single" w:sz="4" w:space="0" w:color="auto"/>
            </w:tcBorders>
            <w:shd w:val="clear" w:color="000000" w:fill="FFFFFF"/>
            <w:vAlign w:val="center"/>
          </w:tcPr>
          <w:p w14:paraId="547FC5B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 w:type="pct"/>
            <w:gridSpan w:val="2"/>
            <w:tcBorders>
              <w:top w:val="nil"/>
              <w:left w:val="nil"/>
              <w:bottom w:val="single" w:sz="4" w:space="0" w:color="auto"/>
              <w:right w:val="single" w:sz="4" w:space="0" w:color="auto"/>
            </w:tcBorders>
            <w:shd w:val="clear" w:color="000000" w:fill="FFFFFF"/>
            <w:vAlign w:val="center"/>
          </w:tcPr>
          <w:p w14:paraId="02E2970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3D964F1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46" w:type="pct"/>
            <w:tcBorders>
              <w:top w:val="nil"/>
              <w:left w:val="nil"/>
              <w:bottom w:val="single" w:sz="4" w:space="0" w:color="auto"/>
              <w:right w:val="single" w:sz="4" w:space="0" w:color="auto"/>
            </w:tcBorders>
            <w:shd w:val="clear" w:color="000000" w:fill="FFFFFF"/>
            <w:vAlign w:val="center"/>
          </w:tcPr>
          <w:p w14:paraId="2368DA6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705170A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182" w:type="pct"/>
            <w:gridSpan w:val="2"/>
            <w:tcBorders>
              <w:top w:val="nil"/>
              <w:left w:val="nil"/>
              <w:bottom w:val="single" w:sz="4" w:space="0" w:color="auto"/>
              <w:right w:val="single" w:sz="4" w:space="0" w:color="auto"/>
            </w:tcBorders>
            <w:shd w:val="clear" w:color="000000" w:fill="FFFFFF"/>
            <w:vAlign w:val="center"/>
          </w:tcPr>
          <w:p w14:paraId="3B91097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244" w:type="pct"/>
            <w:tcBorders>
              <w:top w:val="nil"/>
              <w:left w:val="nil"/>
              <w:bottom w:val="single" w:sz="4" w:space="0" w:color="auto"/>
              <w:right w:val="single" w:sz="4" w:space="0" w:color="auto"/>
            </w:tcBorders>
            <w:shd w:val="clear" w:color="000000" w:fill="FFFFFF"/>
            <w:vAlign w:val="center"/>
          </w:tcPr>
          <w:p w14:paraId="23CA931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76A27A8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345077F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48DA9CD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2123AC0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792EB67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A583FA5" w14:textId="77777777">
        <w:trPr>
          <w:gridAfter w:val="4"/>
          <w:wAfter w:w="1390" w:type="pct"/>
          <w:trHeight w:val="2400"/>
        </w:trPr>
        <w:tc>
          <w:tcPr>
            <w:tcW w:w="146" w:type="pct"/>
            <w:vMerge/>
            <w:tcBorders>
              <w:top w:val="nil"/>
              <w:left w:val="single" w:sz="4" w:space="0" w:color="auto"/>
              <w:bottom w:val="nil"/>
              <w:right w:val="single" w:sz="4" w:space="0" w:color="auto"/>
            </w:tcBorders>
            <w:vAlign w:val="center"/>
          </w:tcPr>
          <w:p w14:paraId="72B12935" w14:textId="77777777" w:rsidR="00445AD5" w:rsidRDefault="00445AD5">
            <w:pPr>
              <w:widowControl/>
              <w:jc w:val="left"/>
              <w:rPr>
                <w:rFonts w:ascii="宋体" w:hAnsi="宋体" w:cs="宋体"/>
                <w:b/>
                <w:bCs/>
                <w:color w:val="000000"/>
                <w:kern w:val="0"/>
                <w:sz w:val="20"/>
                <w:szCs w:val="20"/>
              </w:rPr>
            </w:pPr>
          </w:p>
        </w:tc>
        <w:tc>
          <w:tcPr>
            <w:tcW w:w="146" w:type="pct"/>
            <w:vMerge w:val="restart"/>
            <w:tcBorders>
              <w:top w:val="nil"/>
              <w:left w:val="single" w:sz="4" w:space="0" w:color="auto"/>
              <w:bottom w:val="single" w:sz="4" w:space="0" w:color="auto"/>
              <w:right w:val="single" w:sz="4" w:space="0" w:color="auto"/>
            </w:tcBorders>
            <w:shd w:val="clear" w:color="000000" w:fill="FFFFFF"/>
            <w:vAlign w:val="center"/>
          </w:tcPr>
          <w:p w14:paraId="01409EB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社会效应</w:t>
            </w:r>
          </w:p>
        </w:tc>
        <w:tc>
          <w:tcPr>
            <w:tcW w:w="146" w:type="pct"/>
            <w:tcBorders>
              <w:top w:val="nil"/>
              <w:left w:val="nil"/>
              <w:bottom w:val="single" w:sz="4" w:space="0" w:color="auto"/>
              <w:right w:val="single" w:sz="4" w:space="0" w:color="auto"/>
            </w:tcBorders>
            <w:shd w:val="clear" w:color="000000" w:fill="FFFFFF"/>
            <w:vAlign w:val="center"/>
          </w:tcPr>
          <w:p w14:paraId="12C9D97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政治效益</w:t>
            </w:r>
          </w:p>
        </w:tc>
        <w:tc>
          <w:tcPr>
            <w:tcW w:w="216" w:type="pct"/>
            <w:tcBorders>
              <w:top w:val="nil"/>
              <w:left w:val="nil"/>
              <w:bottom w:val="single" w:sz="4" w:space="0" w:color="auto"/>
              <w:right w:val="single" w:sz="4" w:space="0" w:color="auto"/>
            </w:tcBorders>
            <w:shd w:val="clear" w:color="000000" w:fill="FFFFFF"/>
            <w:vAlign w:val="center"/>
          </w:tcPr>
          <w:p w14:paraId="0DA1CED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全面实现小康社会</w:t>
            </w:r>
          </w:p>
        </w:tc>
        <w:tc>
          <w:tcPr>
            <w:tcW w:w="146" w:type="pct"/>
            <w:tcBorders>
              <w:top w:val="nil"/>
              <w:left w:val="nil"/>
              <w:bottom w:val="single" w:sz="4" w:space="0" w:color="auto"/>
              <w:right w:val="single" w:sz="4" w:space="0" w:color="auto"/>
            </w:tcBorders>
            <w:shd w:val="clear" w:color="000000" w:fill="FFFFFF"/>
            <w:vAlign w:val="center"/>
          </w:tcPr>
          <w:p w14:paraId="012754F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1" w:type="pct"/>
            <w:tcBorders>
              <w:top w:val="nil"/>
              <w:left w:val="nil"/>
              <w:bottom w:val="single" w:sz="4" w:space="0" w:color="auto"/>
              <w:right w:val="single" w:sz="4" w:space="0" w:color="auto"/>
            </w:tcBorders>
            <w:shd w:val="clear" w:color="000000" w:fill="FFFFFF"/>
            <w:vAlign w:val="center"/>
          </w:tcPr>
          <w:p w14:paraId="560A267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制度有效</w:t>
            </w:r>
          </w:p>
        </w:tc>
        <w:tc>
          <w:tcPr>
            <w:tcW w:w="146" w:type="pct"/>
            <w:gridSpan w:val="2"/>
            <w:tcBorders>
              <w:top w:val="nil"/>
              <w:left w:val="nil"/>
              <w:bottom w:val="single" w:sz="4" w:space="0" w:color="auto"/>
              <w:right w:val="single" w:sz="4" w:space="0" w:color="auto"/>
            </w:tcBorders>
            <w:shd w:val="clear" w:color="000000" w:fill="FFFFFF"/>
            <w:vAlign w:val="center"/>
          </w:tcPr>
          <w:p w14:paraId="0A0862C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vAlign w:val="center"/>
          </w:tcPr>
          <w:p w14:paraId="5A7C7F0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146" w:type="pct"/>
            <w:tcBorders>
              <w:top w:val="nil"/>
              <w:left w:val="nil"/>
              <w:bottom w:val="single" w:sz="4" w:space="0" w:color="auto"/>
              <w:right w:val="single" w:sz="4" w:space="0" w:color="auto"/>
            </w:tcBorders>
            <w:shd w:val="clear" w:color="000000" w:fill="FFFFFF"/>
            <w:vAlign w:val="center"/>
          </w:tcPr>
          <w:p w14:paraId="020FEDF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1D4DEDB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182" w:type="pct"/>
            <w:gridSpan w:val="2"/>
            <w:tcBorders>
              <w:top w:val="nil"/>
              <w:left w:val="nil"/>
              <w:bottom w:val="single" w:sz="4" w:space="0" w:color="auto"/>
              <w:right w:val="single" w:sz="4" w:space="0" w:color="auto"/>
            </w:tcBorders>
            <w:shd w:val="clear" w:color="000000" w:fill="FFFFFF"/>
            <w:vAlign w:val="center"/>
          </w:tcPr>
          <w:p w14:paraId="1FCCC53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244" w:type="pct"/>
            <w:tcBorders>
              <w:top w:val="nil"/>
              <w:left w:val="nil"/>
              <w:bottom w:val="single" w:sz="4" w:space="0" w:color="auto"/>
              <w:right w:val="single" w:sz="4" w:space="0" w:color="auto"/>
            </w:tcBorders>
            <w:shd w:val="clear" w:color="000000" w:fill="FFFFFF"/>
            <w:vAlign w:val="center"/>
          </w:tcPr>
          <w:p w14:paraId="23FDA00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1335E78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4DB889A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5070442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43FC82C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2E1A34D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1E77A72B" w14:textId="77777777">
        <w:trPr>
          <w:gridAfter w:val="4"/>
          <w:wAfter w:w="1390" w:type="pct"/>
          <w:trHeight w:val="1440"/>
        </w:trPr>
        <w:tc>
          <w:tcPr>
            <w:tcW w:w="146" w:type="pct"/>
            <w:vMerge/>
            <w:tcBorders>
              <w:top w:val="nil"/>
              <w:left w:val="single" w:sz="4" w:space="0" w:color="auto"/>
              <w:bottom w:val="nil"/>
              <w:right w:val="single" w:sz="4" w:space="0" w:color="auto"/>
            </w:tcBorders>
            <w:vAlign w:val="center"/>
          </w:tcPr>
          <w:p w14:paraId="532A14DA"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671658CD" w14:textId="77777777" w:rsidR="00445AD5" w:rsidRDefault="00445AD5">
            <w:pPr>
              <w:widowControl/>
              <w:jc w:val="left"/>
              <w:rPr>
                <w:rFonts w:ascii="宋体" w:hAnsi="宋体" w:cs="宋体"/>
                <w:color w:val="000000"/>
                <w:kern w:val="0"/>
                <w:sz w:val="20"/>
                <w:szCs w:val="20"/>
              </w:rPr>
            </w:pPr>
          </w:p>
        </w:tc>
        <w:tc>
          <w:tcPr>
            <w:tcW w:w="146" w:type="pct"/>
            <w:tcBorders>
              <w:top w:val="nil"/>
              <w:left w:val="nil"/>
              <w:bottom w:val="single" w:sz="4" w:space="0" w:color="auto"/>
              <w:right w:val="single" w:sz="4" w:space="0" w:color="auto"/>
            </w:tcBorders>
            <w:shd w:val="clear" w:color="000000" w:fill="FFFFFF"/>
            <w:vAlign w:val="center"/>
          </w:tcPr>
          <w:p w14:paraId="2E7BFEA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216" w:type="pct"/>
            <w:tcBorders>
              <w:top w:val="nil"/>
              <w:left w:val="nil"/>
              <w:bottom w:val="single" w:sz="4" w:space="0" w:color="auto"/>
              <w:right w:val="single" w:sz="4" w:space="0" w:color="auto"/>
            </w:tcBorders>
            <w:shd w:val="clear" w:color="000000" w:fill="FFFFFF"/>
            <w:vAlign w:val="center"/>
          </w:tcPr>
          <w:p w14:paraId="12B4271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参加</w:t>
            </w:r>
            <w:r>
              <w:rPr>
                <w:rFonts w:ascii="宋体" w:hAnsi="宋体" w:cs="宋体" w:hint="eastAsia"/>
                <w:color w:val="000000"/>
                <w:kern w:val="0"/>
                <w:sz w:val="20"/>
                <w:szCs w:val="20"/>
              </w:rPr>
              <w:t>3</w:t>
            </w:r>
            <w:r>
              <w:rPr>
                <w:rFonts w:ascii="宋体" w:hAnsi="宋体" w:cs="宋体" w:hint="eastAsia"/>
                <w:color w:val="000000"/>
                <w:kern w:val="0"/>
                <w:sz w:val="20"/>
                <w:szCs w:val="20"/>
              </w:rPr>
              <w:t>次以上文化活动占比</w:t>
            </w:r>
          </w:p>
        </w:tc>
        <w:tc>
          <w:tcPr>
            <w:tcW w:w="146" w:type="pct"/>
            <w:tcBorders>
              <w:top w:val="nil"/>
              <w:left w:val="nil"/>
              <w:bottom w:val="single" w:sz="4" w:space="0" w:color="auto"/>
              <w:right w:val="single" w:sz="4" w:space="0" w:color="auto"/>
            </w:tcBorders>
            <w:shd w:val="clear" w:color="000000" w:fill="FFFFFF"/>
            <w:vAlign w:val="center"/>
          </w:tcPr>
          <w:p w14:paraId="27BCB0A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181" w:type="pct"/>
            <w:tcBorders>
              <w:top w:val="nil"/>
              <w:left w:val="nil"/>
              <w:bottom w:val="single" w:sz="4" w:space="0" w:color="auto"/>
              <w:right w:val="single" w:sz="4" w:space="0" w:color="auto"/>
            </w:tcBorders>
            <w:shd w:val="clear" w:color="000000" w:fill="FFFFFF"/>
            <w:vAlign w:val="center"/>
          </w:tcPr>
          <w:p w14:paraId="2C77D24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gridSpan w:val="2"/>
            <w:tcBorders>
              <w:top w:val="nil"/>
              <w:left w:val="nil"/>
              <w:bottom w:val="single" w:sz="4" w:space="0" w:color="auto"/>
              <w:right w:val="single" w:sz="4" w:space="0" w:color="auto"/>
            </w:tcBorders>
            <w:shd w:val="clear" w:color="000000" w:fill="FFFFFF"/>
            <w:vAlign w:val="center"/>
          </w:tcPr>
          <w:p w14:paraId="5D7321E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3BAD537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6B57A87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26701C9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182" w:type="pct"/>
            <w:gridSpan w:val="2"/>
            <w:tcBorders>
              <w:top w:val="nil"/>
              <w:left w:val="nil"/>
              <w:bottom w:val="single" w:sz="4" w:space="0" w:color="auto"/>
              <w:right w:val="single" w:sz="4" w:space="0" w:color="auto"/>
            </w:tcBorders>
            <w:shd w:val="clear" w:color="000000" w:fill="FFFFFF"/>
            <w:vAlign w:val="center"/>
          </w:tcPr>
          <w:p w14:paraId="337DCEE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244" w:type="pct"/>
            <w:tcBorders>
              <w:top w:val="nil"/>
              <w:left w:val="nil"/>
              <w:bottom w:val="single" w:sz="4" w:space="0" w:color="auto"/>
              <w:right w:val="single" w:sz="4" w:space="0" w:color="auto"/>
            </w:tcBorders>
            <w:shd w:val="clear" w:color="000000" w:fill="FFFFFF"/>
            <w:vAlign w:val="center"/>
          </w:tcPr>
          <w:p w14:paraId="720F1EC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1A1253D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3606743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7740FB2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48ACCD1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7D24363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69B00CEF" w14:textId="77777777">
        <w:trPr>
          <w:gridAfter w:val="4"/>
          <w:wAfter w:w="1390" w:type="pct"/>
          <w:trHeight w:val="960"/>
        </w:trPr>
        <w:tc>
          <w:tcPr>
            <w:tcW w:w="146" w:type="pct"/>
            <w:vMerge/>
            <w:tcBorders>
              <w:top w:val="nil"/>
              <w:left w:val="single" w:sz="4" w:space="0" w:color="auto"/>
              <w:bottom w:val="nil"/>
              <w:right w:val="single" w:sz="4" w:space="0" w:color="auto"/>
            </w:tcBorders>
            <w:vAlign w:val="center"/>
          </w:tcPr>
          <w:p w14:paraId="05341D79" w14:textId="77777777" w:rsidR="00445AD5" w:rsidRDefault="00445AD5">
            <w:pPr>
              <w:widowControl/>
              <w:jc w:val="left"/>
              <w:rPr>
                <w:rFonts w:ascii="宋体" w:hAnsi="宋体" w:cs="宋体"/>
                <w:b/>
                <w:bCs/>
                <w:color w:val="000000"/>
                <w:kern w:val="0"/>
                <w:sz w:val="20"/>
                <w:szCs w:val="20"/>
              </w:rPr>
            </w:pPr>
          </w:p>
        </w:tc>
        <w:tc>
          <w:tcPr>
            <w:tcW w:w="146" w:type="pct"/>
            <w:vMerge/>
            <w:tcBorders>
              <w:top w:val="nil"/>
              <w:left w:val="single" w:sz="4" w:space="0" w:color="auto"/>
              <w:bottom w:val="single" w:sz="4" w:space="0" w:color="auto"/>
              <w:right w:val="single" w:sz="4" w:space="0" w:color="auto"/>
            </w:tcBorders>
            <w:vAlign w:val="center"/>
          </w:tcPr>
          <w:p w14:paraId="45E3F0D5" w14:textId="77777777" w:rsidR="00445AD5" w:rsidRDefault="00445AD5">
            <w:pPr>
              <w:widowControl/>
              <w:jc w:val="left"/>
              <w:rPr>
                <w:rFonts w:ascii="宋体" w:hAnsi="宋体" w:cs="宋体"/>
                <w:color w:val="000000"/>
                <w:kern w:val="0"/>
                <w:sz w:val="20"/>
                <w:szCs w:val="20"/>
              </w:rPr>
            </w:pPr>
          </w:p>
        </w:tc>
        <w:tc>
          <w:tcPr>
            <w:tcW w:w="146" w:type="pct"/>
            <w:tcBorders>
              <w:top w:val="nil"/>
              <w:left w:val="nil"/>
              <w:bottom w:val="single" w:sz="4" w:space="0" w:color="auto"/>
              <w:right w:val="single" w:sz="4" w:space="0" w:color="auto"/>
            </w:tcBorders>
            <w:shd w:val="clear" w:color="000000" w:fill="FFFFFF"/>
            <w:vAlign w:val="center"/>
          </w:tcPr>
          <w:p w14:paraId="2C3AB64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社会公众满意度</w:t>
            </w:r>
          </w:p>
        </w:tc>
        <w:tc>
          <w:tcPr>
            <w:tcW w:w="216" w:type="pct"/>
            <w:tcBorders>
              <w:top w:val="nil"/>
              <w:left w:val="nil"/>
              <w:bottom w:val="single" w:sz="4" w:space="0" w:color="auto"/>
              <w:right w:val="single" w:sz="4" w:space="0" w:color="auto"/>
            </w:tcBorders>
            <w:shd w:val="clear" w:color="000000" w:fill="FFFFFF"/>
            <w:vAlign w:val="center"/>
          </w:tcPr>
          <w:p w14:paraId="05C4645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当地群众满意度</w:t>
            </w:r>
          </w:p>
        </w:tc>
        <w:tc>
          <w:tcPr>
            <w:tcW w:w="146" w:type="pct"/>
            <w:tcBorders>
              <w:top w:val="nil"/>
              <w:left w:val="nil"/>
              <w:bottom w:val="single" w:sz="4" w:space="0" w:color="auto"/>
              <w:right w:val="single" w:sz="4" w:space="0" w:color="auto"/>
            </w:tcBorders>
            <w:shd w:val="clear" w:color="000000" w:fill="FFFFFF"/>
            <w:vAlign w:val="center"/>
          </w:tcPr>
          <w:p w14:paraId="385E44E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181" w:type="pct"/>
            <w:tcBorders>
              <w:top w:val="nil"/>
              <w:left w:val="nil"/>
              <w:bottom w:val="single" w:sz="4" w:space="0" w:color="auto"/>
              <w:right w:val="single" w:sz="4" w:space="0" w:color="auto"/>
            </w:tcBorders>
            <w:shd w:val="clear" w:color="000000" w:fill="FFFFFF"/>
            <w:vAlign w:val="center"/>
          </w:tcPr>
          <w:p w14:paraId="2DDF99F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gridSpan w:val="2"/>
            <w:tcBorders>
              <w:top w:val="nil"/>
              <w:left w:val="nil"/>
              <w:bottom w:val="single" w:sz="4" w:space="0" w:color="auto"/>
              <w:right w:val="single" w:sz="4" w:space="0" w:color="auto"/>
            </w:tcBorders>
            <w:shd w:val="clear" w:color="000000" w:fill="FFFFFF"/>
            <w:vAlign w:val="center"/>
          </w:tcPr>
          <w:p w14:paraId="0BADC22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357" w:type="pct"/>
            <w:tcBorders>
              <w:top w:val="nil"/>
              <w:left w:val="nil"/>
              <w:bottom w:val="single" w:sz="4" w:space="0" w:color="auto"/>
              <w:right w:val="single" w:sz="4" w:space="0" w:color="auto"/>
            </w:tcBorders>
            <w:shd w:val="clear" w:color="000000" w:fill="FFFFFF"/>
            <w:vAlign w:val="center"/>
          </w:tcPr>
          <w:p w14:paraId="11BBF2D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146" w:type="pct"/>
            <w:tcBorders>
              <w:top w:val="nil"/>
              <w:left w:val="nil"/>
              <w:bottom w:val="single" w:sz="4" w:space="0" w:color="auto"/>
              <w:right w:val="single" w:sz="4" w:space="0" w:color="auto"/>
            </w:tcBorders>
            <w:shd w:val="clear" w:color="000000" w:fill="FFFFFF"/>
            <w:vAlign w:val="center"/>
          </w:tcPr>
          <w:p w14:paraId="19930C1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09C6FF4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182" w:type="pct"/>
            <w:gridSpan w:val="2"/>
            <w:tcBorders>
              <w:top w:val="nil"/>
              <w:left w:val="nil"/>
              <w:bottom w:val="single" w:sz="4" w:space="0" w:color="auto"/>
              <w:right w:val="single" w:sz="4" w:space="0" w:color="auto"/>
            </w:tcBorders>
            <w:shd w:val="clear" w:color="000000" w:fill="FFFFFF"/>
            <w:vAlign w:val="center"/>
          </w:tcPr>
          <w:p w14:paraId="6DA5958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244" w:type="pct"/>
            <w:tcBorders>
              <w:top w:val="nil"/>
              <w:left w:val="nil"/>
              <w:bottom w:val="single" w:sz="4" w:space="0" w:color="auto"/>
              <w:right w:val="single" w:sz="4" w:space="0" w:color="auto"/>
            </w:tcBorders>
            <w:shd w:val="clear" w:color="000000" w:fill="FFFFFF"/>
            <w:vAlign w:val="center"/>
          </w:tcPr>
          <w:p w14:paraId="195B490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5929936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64594DA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09A9F33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441B32D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297E293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75C130E5" w14:textId="77777777">
        <w:trPr>
          <w:gridAfter w:val="4"/>
          <w:wAfter w:w="1390" w:type="pct"/>
          <w:trHeight w:val="2400"/>
        </w:trPr>
        <w:tc>
          <w:tcPr>
            <w:tcW w:w="146" w:type="pct"/>
            <w:vMerge/>
            <w:tcBorders>
              <w:top w:val="nil"/>
              <w:left w:val="single" w:sz="4" w:space="0" w:color="auto"/>
              <w:bottom w:val="nil"/>
              <w:right w:val="single" w:sz="4" w:space="0" w:color="auto"/>
            </w:tcBorders>
            <w:vAlign w:val="center"/>
          </w:tcPr>
          <w:p w14:paraId="4FD52DFE" w14:textId="77777777" w:rsidR="00445AD5" w:rsidRDefault="00445AD5">
            <w:pPr>
              <w:widowControl/>
              <w:jc w:val="left"/>
              <w:rPr>
                <w:rFonts w:ascii="宋体" w:hAnsi="宋体" w:cs="宋体"/>
                <w:b/>
                <w:bCs/>
                <w:color w:val="000000"/>
                <w:kern w:val="0"/>
                <w:sz w:val="20"/>
                <w:szCs w:val="20"/>
              </w:rPr>
            </w:pPr>
          </w:p>
        </w:tc>
        <w:tc>
          <w:tcPr>
            <w:tcW w:w="146" w:type="pct"/>
            <w:tcBorders>
              <w:top w:val="nil"/>
              <w:left w:val="nil"/>
              <w:bottom w:val="single" w:sz="4" w:space="0" w:color="auto"/>
              <w:right w:val="single" w:sz="4" w:space="0" w:color="auto"/>
            </w:tcBorders>
            <w:shd w:val="clear" w:color="000000" w:fill="FFFFFF"/>
            <w:vAlign w:val="center"/>
          </w:tcPr>
          <w:p w14:paraId="6132979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可持续性</w:t>
            </w:r>
          </w:p>
        </w:tc>
        <w:tc>
          <w:tcPr>
            <w:tcW w:w="146" w:type="pct"/>
            <w:tcBorders>
              <w:top w:val="nil"/>
              <w:left w:val="nil"/>
              <w:bottom w:val="single" w:sz="4" w:space="0" w:color="auto"/>
              <w:right w:val="single" w:sz="4" w:space="0" w:color="auto"/>
            </w:tcBorders>
            <w:shd w:val="clear" w:color="000000" w:fill="FFFFFF"/>
            <w:vAlign w:val="center"/>
          </w:tcPr>
          <w:p w14:paraId="42FE47B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体制机制改革</w:t>
            </w:r>
          </w:p>
        </w:tc>
        <w:tc>
          <w:tcPr>
            <w:tcW w:w="216" w:type="pct"/>
            <w:tcBorders>
              <w:top w:val="nil"/>
              <w:left w:val="nil"/>
              <w:bottom w:val="single" w:sz="4" w:space="0" w:color="auto"/>
              <w:right w:val="single" w:sz="4" w:space="0" w:color="auto"/>
            </w:tcBorders>
            <w:shd w:val="clear" w:color="000000" w:fill="FFFFFF"/>
            <w:vAlign w:val="center"/>
          </w:tcPr>
          <w:p w14:paraId="14B80D7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人才培养机制健全性</w:t>
            </w:r>
          </w:p>
        </w:tc>
        <w:tc>
          <w:tcPr>
            <w:tcW w:w="146" w:type="pct"/>
            <w:tcBorders>
              <w:top w:val="nil"/>
              <w:left w:val="nil"/>
              <w:bottom w:val="single" w:sz="4" w:space="0" w:color="auto"/>
              <w:right w:val="single" w:sz="4" w:space="0" w:color="auto"/>
            </w:tcBorders>
            <w:shd w:val="clear" w:color="000000" w:fill="FFFFFF"/>
            <w:vAlign w:val="center"/>
          </w:tcPr>
          <w:p w14:paraId="1EEB129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81" w:type="pct"/>
            <w:tcBorders>
              <w:top w:val="nil"/>
              <w:left w:val="nil"/>
              <w:bottom w:val="single" w:sz="4" w:space="0" w:color="auto"/>
              <w:right w:val="single" w:sz="4" w:space="0" w:color="auto"/>
            </w:tcBorders>
            <w:shd w:val="clear" w:color="000000" w:fill="FFFFFF"/>
            <w:vAlign w:val="center"/>
          </w:tcPr>
          <w:p w14:paraId="191B2A9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全面培养</w:t>
            </w:r>
          </w:p>
        </w:tc>
        <w:tc>
          <w:tcPr>
            <w:tcW w:w="146" w:type="pct"/>
            <w:gridSpan w:val="2"/>
            <w:tcBorders>
              <w:top w:val="nil"/>
              <w:left w:val="nil"/>
              <w:bottom w:val="single" w:sz="4" w:space="0" w:color="auto"/>
              <w:right w:val="single" w:sz="4" w:space="0" w:color="auto"/>
            </w:tcBorders>
            <w:shd w:val="clear" w:color="000000" w:fill="FFFFFF"/>
            <w:vAlign w:val="center"/>
          </w:tcPr>
          <w:p w14:paraId="04537A4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357" w:type="pct"/>
            <w:tcBorders>
              <w:top w:val="nil"/>
              <w:left w:val="nil"/>
              <w:bottom w:val="single" w:sz="4" w:space="0" w:color="auto"/>
              <w:right w:val="single" w:sz="4" w:space="0" w:color="auto"/>
            </w:tcBorders>
            <w:shd w:val="clear" w:color="000000" w:fill="FFFFFF"/>
            <w:vAlign w:val="center"/>
          </w:tcPr>
          <w:p w14:paraId="5074137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w:t>
            </w:r>
            <w:r>
              <w:rPr>
                <w:rFonts w:ascii="宋体" w:hAnsi="宋体" w:cs="宋体" w:hint="eastAsia"/>
                <w:color w:val="000000"/>
                <w:kern w:val="0"/>
                <w:sz w:val="20"/>
                <w:szCs w:val="20"/>
              </w:rPr>
              <w:t>100%-80%</w:t>
            </w:r>
            <w:r>
              <w:rPr>
                <w:rFonts w:ascii="宋体" w:hAnsi="宋体" w:cs="宋体" w:hint="eastAsia"/>
                <w:color w:val="000000"/>
                <w:kern w:val="0"/>
                <w:sz w:val="20"/>
                <w:szCs w:val="20"/>
              </w:rPr>
              <w:t>（含）</w:t>
            </w:r>
          </w:p>
        </w:tc>
        <w:tc>
          <w:tcPr>
            <w:tcW w:w="146" w:type="pct"/>
            <w:tcBorders>
              <w:top w:val="nil"/>
              <w:left w:val="nil"/>
              <w:bottom w:val="single" w:sz="4" w:space="0" w:color="auto"/>
              <w:right w:val="single" w:sz="4" w:space="0" w:color="auto"/>
            </w:tcBorders>
            <w:shd w:val="clear" w:color="000000" w:fill="FFFFFF"/>
            <w:vAlign w:val="center"/>
          </w:tcPr>
          <w:p w14:paraId="4FB6BDA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181" w:type="pct"/>
            <w:tcBorders>
              <w:top w:val="nil"/>
              <w:left w:val="nil"/>
              <w:bottom w:val="single" w:sz="4" w:space="0" w:color="auto"/>
              <w:right w:val="single" w:sz="4" w:space="0" w:color="auto"/>
            </w:tcBorders>
            <w:shd w:val="clear" w:color="000000" w:fill="FFFFFF"/>
            <w:vAlign w:val="center"/>
          </w:tcPr>
          <w:p w14:paraId="7D2719D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182" w:type="pct"/>
            <w:gridSpan w:val="2"/>
            <w:tcBorders>
              <w:top w:val="nil"/>
              <w:left w:val="nil"/>
              <w:bottom w:val="single" w:sz="4" w:space="0" w:color="auto"/>
              <w:right w:val="single" w:sz="4" w:space="0" w:color="auto"/>
            </w:tcBorders>
            <w:shd w:val="clear" w:color="000000" w:fill="FFFFFF"/>
            <w:vAlign w:val="center"/>
          </w:tcPr>
          <w:p w14:paraId="2E58421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244" w:type="pct"/>
            <w:tcBorders>
              <w:top w:val="nil"/>
              <w:left w:val="nil"/>
              <w:bottom w:val="single" w:sz="4" w:space="0" w:color="auto"/>
              <w:right w:val="single" w:sz="4" w:space="0" w:color="auto"/>
            </w:tcBorders>
            <w:shd w:val="clear" w:color="000000" w:fill="FFFFFF"/>
            <w:vAlign w:val="center"/>
          </w:tcPr>
          <w:p w14:paraId="2DD4025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53EF858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tcBorders>
              <w:top w:val="nil"/>
              <w:left w:val="nil"/>
              <w:bottom w:val="single" w:sz="4" w:space="0" w:color="auto"/>
              <w:right w:val="single" w:sz="4" w:space="0" w:color="auto"/>
            </w:tcBorders>
            <w:shd w:val="clear" w:color="000000" w:fill="FFFFFF"/>
            <w:vAlign w:val="center"/>
          </w:tcPr>
          <w:p w14:paraId="74007EC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146" w:type="pct"/>
            <w:gridSpan w:val="2"/>
            <w:tcBorders>
              <w:top w:val="nil"/>
              <w:left w:val="nil"/>
              <w:bottom w:val="single" w:sz="4" w:space="0" w:color="auto"/>
              <w:right w:val="single" w:sz="4" w:space="0" w:color="auto"/>
            </w:tcBorders>
            <w:shd w:val="clear" w:color="000000" w:fill="FFFFFF"/>
            <w:vAlign w:val="center"/>
          </w:tcPr>
          <w:p w14:paraId="258E89F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286" w:type="pct"/>
            <w:tcBorders>
              <w:top w:val="nil"/>
              <w:left w:val="nil"/>
              <w:bottom w:val="single" w:sz="4" w:space="0" w:color="auto"/>
              <w:right w:val="single" w:sz="4" w:space="0" w:color="auto"/>
            </w:tcBorders>
            <w:shd w:val="clear" w:color="000000" w:fill="FFFFFF"/>
            <w:vAlign w:val="center"/>
          </w:tcPr>
          <w:p w14:paraId="500AD3C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pct"/>
            <w:gridSpan w:val="4"/>
            <w:tcBorders>
              <w:top w:val="single" w:sz="4" w:space="0" w:color="auto"/>
              <w:left w:val="nil"/>
              <w:bottom w:val="single" w:sz="4" w:space="0" w:color="auto"/>
              <w:right w:val="single" w:sz="4" w:space="0" w:color="000000"/>
            </w:tcBorders>
            <w:shd w:val="clear" w:color="000000" w:fill="FFFFFF"/>
            <w:vAlign w:val="center"/>
          </w:tcPr>
          <w:p w14:paraId="7C83E9D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2894361D" w14:textId="77777777">
        <w:trPr>
          <w:gridAfter w:val="4"/>
          <w:wAfter w:w="1390" w:type="pct"/>
          <w:trHeight w:val="285"/>
        </w:trPr>
        <w:tc>
          <w:tcPr>
            <w:tcW w:w="1999" w:type="pct"/>
            <w:gridSpan w:val="13"/>
            <w:tcBorders>
              <w:top w:val="single" w:sz="4" w:space="0" w:color="auto"/>
              <w:left w:val="single" w:sz="4" w:space="0" w:color="auto"/>
              <w:bottom w:val="single" w:sz="4" w:space="0" w:color="auto"/>
              <w:right w:val="single" w:sz="4" w:space="0" w:color="auto"/>
            </w:tcBorders>
            <w:shd w:val="clear" w:color="auto" w:fill="auto"/>
            <w:noWrap/>
            <w:vAlign w:val="bottom"/>
          </w:tcPr>
          <w:p w14:paraId="50FBAFBF" w14:textId="77777777" w:rsidR="00445AD5" w:rsidRDefault="00EA4B12">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总评价得分</w:t>
            </w:r>
          </w:p>
        </w:tc>
        <w:tc>
          <w:tcPr>
            <w:tcW w:w="1609" w:type="pct"/>
            <w:gridSpan w:val="10"/>
            <w:tcBorders>
              <w:top w:val="single" w:sz="4" w:space="0" w:color="auto"/>
              <w:left w:val="nil"/>
              <w:bottom w:val="single" w:sz="4" w:space="0" w:color="auto"/>
              <w:right w:val="single" w:sz="4" w:space="0" w:color="000000"/>
            </w:tcBorders>
            <w:shd w:val="clear" w:color="auto" w:fill="auto"/>
            <w:noWrap/>
            <w:vAlign w:val="bottom"/>
          </w:tcPr>
          <w:p w14:paraId="63D493D3" w14:textId="77777777" w:rsidR="00445AD5" w:rsidRDefault="00EA4B12">
            <w:pPr>
              <w:widowControl/>
              <w:jc w:val="center"/>
              <w:rPr>
                <w:rFonts w:ascii="宋体" w:hAnsi="宋体" w:cs="宋体"/>
                <w:color w:val="000000"/>
                <w:kern w:val="0"/>
                <w:sz w:val="22"/>
                <w:szCs w:val="22"/>
              </w:rPr>
            </w:pPr>
            <w:r>
              <w:rPr>
                <w:rFonts w:ascii="宋体" w:hAnsi="宋体" w:cs="宋体" w:hint="eastAsia"/>
                <w:color w:val="000000"/>
                <w:kern w:val="0"/>
                <w:sz w:val="22"/>
                <w:szCs w:val="22"/>
              </w:rPr>
              <w:t>90.3</w:t>
            </w:r>
          </w:p>
        </w:tc>
      </w:tr>
      <w:tr w:rsidR="00445AD5" w14:paraId="7623722B" w14:textId="77777777">
        <w:trPr>
          <w:gridAfter w:val="4"/>
          <w:wAfter w:w="1390" w:type="pct"/>
          <w:trHeight w:val="285"/>
        </w:trPr>
        <w:tc>
          <w:tcPr>
            <w:tcW w:w="43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ACCCC8D"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结果应用建议</w:t>
            </w:r>
          </w:p>
        </w:tc>
        <w:tc>
          <w:tcPr>
            <w:tcW w:w="1559" w:type="pct"/>
            <w:gridSpan w:val="10"/>
            <w:tcBorders>
              <w:top w:val="single" w:sz="4" w:space="0" w:color="auto"/>
              <w:left w:val="nil"/>
              <w:bottom w:val="single" w:sz="4" w:space="0" w:color="auto"/>
              <w:right w:val="single" w:sz="4" w:space="0" w:color="auto"/>
            </w:tcBorders>
            <w:shd w:val="clear" w:color="000000" w:fill="FFFFFF"/>
            <w:vAlign w:val="center"/>
          </w:tcPr>
          <w:p w14:paraId="26A47961"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结果应用建议选项</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73B97C06"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具体建议内容</w:t>
            </w:r>
          </w:p>
        </w:tc>
      </w:tr>
      <w:tr w:rsidR="00445AD5" w14:paraId="7F9C38AF"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02E31FDC"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3011D1FE"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建议进一步规范预算管理</w:t>
            </w:r>
          </w:p>
        </w:tc>
        <w:tc>
          <w:tcPr>
            <w:tcW w:w="182" w:type="pct"/>
            <w:gridSpan w:val="2"/>
            <w:tcBorders>
              <w:top w:val="nil"/>
              <w:left w:val="nil"/>
              <w:bottom w:val="single" w:sz="4" w:space="0" w:color="auto"/>
              <w:right w:val="single" w:sz="4" w:space="0" w:color="auto"/>
            </w:tcBorders>
            <w:shd w:val="clear" w:color="000000" w:fill="FFFFFF"/>
            <w:vAlign w:val="center"/>
          </w:tcPr>
          <w:p w14:paraId="18507D85"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35DA65E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770E7816"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3F6A5605"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28DE2936"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建议改进业务管理</w:t>
            </w:r>
          </w:p>
        </w:tc>
        <w:tc>
          <w:tcPr>
            <w:tcW w:w="182" w:type="pct"/>
            <w:gridSpan w:val="2"/>
            <w:tcBorders>
              <w:top w:val="nil"/>
              <w:left w:val="nil"/>
              <w:bottom w:val="single" w:sz="4" w:space="0" w:color="auto"/>
              <w:right w:val="single" w:sz="4" w:space="0" w:color="auto"/>
            </w:tcBorders>
            <w:shd w:val="clear" w:color="000000" w:fill="FFFFFF"/>
            <w:vAlign w:val="center"/>
          </w:tcPr>
          <w:p w14:paraId="00E427DF"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31DB703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690722A7"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635F9038"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30737555"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建议改进预算编制管理</w:t>
            </w:r>
          </w:p>
        </w:tc>
        <w:tc>
          <w:tcPr>
            <w:tcW w:w="182" w:type="pct"/>
            <w:gridSpan w:val="2"/>
            <w:tcBorders>
              <w:top w:val="nil"/>
              <w:left w:val="nil"/>
              <w:bottom w:val="single" w:sz="4" w:space="0" w:color="auto"/>
              <w:right w:val="single" w:sz="4" w:space="0" w:color="auto"/>
            </w:tcBorders>
            <w:shd w:val="clear" w:color="000000" w:fill="FFFFFF"/>
            <w:vAlign w:val="center"/>
          </w:tcPr>
          <w:p w14:paraId="387128C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35585CC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6F505CE"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6FC727D1"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60432B3E"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建议进一步提升预算执行效率和效益</w:t>
            </w:r>
          </w:p>
        </w:tc>
        <w:tc>
          <w:tcPr>
            <w:tcW w:w="182" w:type="pct"/>
            <w:gridSpan w:val="2"/>
            <w:tcBorders>
              <w:top w:val="nil"/>
              <w:left w:val="nil"/>
              <w:bottom w:val="single" w:sz="4" w:space="0" w:color="auto"/>
              <w:right w:val="single" w:sz="4" w:space="0" w:color="auto"/>
            </w:tcBorders>
            <w:shd w:val="clear" w:color="000000" w:fill="FFFFFF"/>
            <w:vAlign w:val="center"/>
          </w:tcPr>
          <w:p w14:paraId="560A4604"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02D1BA2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建议进一步规范预算管理，严格预算编制管理，增强预算执行的法律约束力，健全预算编制程序。</w:t>
            </w:r>
          </w:p>
        </w:tc>
      </w:tr>
      <w:tr w:rsidR="00445AD5" w14:paraId="260D17EA"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751527AA"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6F034F83"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建议改进资产管理</w:t>
            </w:r>
          </w:p>
        </w:tc>
        <w:tc>
          <w:tcPr>
            <w:tcW w:w="182" w:type="pct"/>
            <w:gridSpan w:val="2"/>
            <w:tcBorders>
              <w:top w:val="nil"/>
              <w:left w:val="nil"/>
              <w:bottom w:val="single" w:sz="4" w:space="0" w:color="auto"/>
              <w:right w:val="single" w:sz="4" w:space="0" w:color="auto"/>
            </w:tcBorders>
            <w:shd w:val="clear" w:color="000000" w:fill="FFFFFF"/>
            <w:vAlign w:val="center"/>
          </w:tcPr>
          <w:p w14:paraId="4EDA80FF"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53EC65F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018F325D"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3B3FF20C"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7BC46386"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建议改进政府采购管理</w:t>
            </w:r>
          </w:p>
        </w:tc>
        <w:tc>
          <w:tcPr>
            <w:tcW w:w="182" w:type="pct"/>
            <w:gridSpan w:val="2"/>
            <w:tcBorders>
              <w:top w:val="nil"/>
              <w:left w:val="nil"/>
              <w:bottom w:val="single" w:sz="4" w:space="0" w:color="auto"/>
              <w:right w:val="single" w:sz="4" w:space="0" w:color="auto"/>
            </w:tcBorders>
            <w:shd w:val="clear" w:color="000000" w:fill="FFFFFF"/>
            <w:vAlign w:val="center"/>
          </w:tcPr>
          <w:p w14:paraId="27039A61"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14E1D1B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00E69BA2"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1B6E985E"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3843D029"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建议调整公共服务标准</w:t>
            </w:r>
          </w:p>
        </w:tc>
        <w:tc>
          <w:tcPr>
            <w:tcW w:w="182" w:type="pct"/>
            <w:gridSpan w:val="2"/>
            <w:tcBorders>
              <w:top w:val="nil"/>
              <w:left w:val="nil"/>
              <w:bottom w:val="single" w:sz="4" w:space="0" w:color="auto"/>
              <w:right w:val="single" w:sz="4" w:space="0" w:color="auto"/>
            </w:tcBorders>
            <w:shd w:val="clear" w:color="000000" w:fill="FFFFFF"/>
            <w:vAlign w:val="center"/>
          </w:tcPr>
          <w:p w14:paraId="5C3B8A3B"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7B4DED22"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BC5A106"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69F1C3FF"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332D3983"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结果应用建议</w:t>
            </w:r>
            <w:r>
              <w:rPr>
                <w:rFonts w:ascii="宋体" w:hAnsi="宋体" w:cs="宋体" w:hint="eastAsia"/>
                <w:b/>
                <w:bCs/>
                <w:color w:val="000000"/>
                <w:kern w:val="0"/>
                <w:sz w:val="20"/>
                <w:szCs w:val="20"/>
              </w:rPr>
              <w:t>_</w:t>
            </w:r>
            <w:r>
              <w:rPr>
                <w:rFonts w:ascii="宋体" w:hAnsi="宋体" w:cs="宋体" w:hint="eastAsia"/>
                <w:b/>
                <w:bCs/>
                <w:color w:val="000000"/>
                <w:kern w:val="0"/>
                <w:sz w:val="20"/>
                <w:szCs w:val="20"/>
              </w:rPr>
              <w:t>建议核减下一年度经费数额</w:t>
            </w:r>
          </w:p>
        </w:tc>
        <w:tc>
          <w:tcPr>
            <w:tcW w:w="182" w:type="pct"/>
            <w:gridSpan w:val="2"/>
            <w:tcBorders>
              <w:top w:val="nil"/>
              <w:left w:val="nil"/>
              <w:bottom w:val="single" w:sz="4" w:space="0" w:color="auto"/>
              <w:right w:val="single" w:sz="4" w:space="0" w:color="auto"/>
            </w:tcBorders>
            <w:shd w:val="clear" w:color="000000" w:fill="FFFFFF"/>
            <w:vAlign w:val="center"/>
          </w:tcPr>
          <w:p w14:paraId="7A467681"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17CE55E0"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3A2258B5"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0859298B"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102D6CC1"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建议消减低效、无效资金或结构调整</w:t>
            </w:r>
          </w:p>
        </w:tc>
        <w:tc>
          <w:tcPr>
            <w:tcW w:w="182" w:type="pct"/>
            <w:gridSpan w:val="2"/>
            <w:tcBorders>
              <w:top w:val="nil"/>
              <w:left w:val="nil"/>
              <w:bottom w:val="single" w:sz="4" w:space="0" w:color="auto"/>
              <w:right w:val="single" w:sz="4" w:space="0" w:color="auto"/>
            </w:tcBorders>
            <w:shd w:val="clear" w:color="000000" w:fill="FFFFFF"/>
            <w:vAlign w:val="center"/>
          </w:tcPr>
          <w:p w14:paraId="4A371977"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69AC410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1FABDD43"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09734E27"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13C12595"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建议回收长期沉淀的资金</w:t>
            </w:r>
          </w:p>
        </w:tc>
        <w:tc>
          <w:tcPr>
            <w:tcW w:w="182" w:type="pct"/>
            <w:gridSpan w:val="2"/>
            <w:tcBorders>
              <w:top w:val="nil"/>
              <w:left w:val="nil"/>
              <w:bottom w:val="single" w:sz="4" w:space="0" w:color="auto"/>
              <w:right w:val="single" w:sz="4" w:space="0" w:color="auto"/>
            </w:tcBorders>
            <w:shd w:val="clear" w:color="000000" w:fill="FFFFFF"/>
            <w:vAlign w:val="center"/>
          </w:tcPr>
          <w:p w14:paraId="0CDEBAC3"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66097A7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454FB4A5"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76B10ADA"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0F6A4B6F"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其他建议</w:t>
            </w:r>
          </w:p>
        </w:tc>
        <w:tc>
          <w:tcPr>
            <w:tcW w:w="182" w:type="pct"/>
            <w:gridSpan w:val="2"/>
            <w:tcBorders>
              <w:top w:val="nil"/>
              <w:left w:val="nil"/>
              <w:bottom w:val="single" w:sz="4" w:space="0" w:color="auto"/>
              <w:right w:val="single" w:sz="4" w:space="0" w:color="auto"/>
            </w:tcBorders>
            <w:shd w:val="clear" w:color="000000" w:fill="FFFFFF"/>
            <w:vAlign w:val="center"/>
          </w:tcPr>
          <w:p w14:paraId="151C918A"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7DE820D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4717EF15" w14:textId="77777777">
        <w:trPr>
          <w:gridAfter w:val="4"/>
          <w:wAfter w:w="1390" w:type="pct"/>
          <w:trHeight w:val="285"/>
        </w:trPr>
        <w:tc>
          <w:tcPr>
            <w:tcW w:w="43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EE010E8"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主管部门审核意见</w:t>
            </w: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7B39963D"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建议继续全额安排</w:t>
            </w:r>
          </w:p>
        </w:tc>
        <w:tc>
          <w:tcPr>
            <w:tcW w:w="182" w:type="pct"/>
            <w:gridSpan w:val="2"/>
            <w:tcBorders>
              <w:top w:val="nil"/>
              <w:left w:val="nil"/>
              <w:bottom w:val="single" w:sz="4" w:space="0" w:color="auto"/>
              <w:right w:val="single" w:sz="4" w:space="0" w:color="auto"/>
            </w:tcBorders>
            <w:shd w:val="clear" w:color="000000" w:fill="FFFFFF"/>
            <w:vAlign w:val="center"/>
          </w:tcPr>
          <w:p w14:paraId="558C90D7"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32AC18CF"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6F20CE5A"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74BAA7CF"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3A7D9B9E"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建议继续安排，按规定调整下一年度预算金额</w:t>
            </w:r>
          </w:p>
        </w:tc>
        <w:tc>
          <w:tcPr>
            <w:tcW w:w="182" w:type="pct"/>
            <w:gridSpan w:val="2"/>
            <w:tcBorders>
              <w:top w:val="nil"/>
              <w:left w:val="nil"/>
              <w:bottom w:val="single" w:sz="4" w:space="0" w:color="auto"/>
              <w:right w:val="single" w:sz="4" w:space="0" w:color="auto"/>
            </w:tcBorders>
            <w:shd w:val="clear" w:color="000000" w:fill="FFFFFF"/>
            <w:vAlign w:val="center"/>
          </w:tcPr>
          <w:p w14:paraId="589B453F"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67D6336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3A74CA96"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68DFF809"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435038D4"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规范预算管理</w:t>
            </w:r>
          </w:p>
        </w:tc>
        <w:tc>
          <w:tcPr>
            <w:tcW w:w="182" w:type="pct"/>
            <w:gridSpan w:val="2"/>
            <w:tcBorders>
              <w:top w:val="nil"/>
              <w:left w:val="nil"/>
              <w:bottom w:val="single" w:sz="4" w:space="0" w:color="auto"/>
              <w:right w:val="single" w:sz="4" w:space="0" w:color="auto"/>
            </w:tcBorders>
            <w:shd w:val="clear" w:color="000000" w:fill="FFFFFF"/>
            <w:vAlign w:val="center"/>
          </w:tcPr>
          <w:p w14:paraId="123C7F24"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5B6E1CFA"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48600560"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380F3A99"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73A1C7AB"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改进业务管理</w:t>
            </w:r>
          </w:p>
        </w:tc>
        <w:tc>
          <w:tcPr>
            <w:tcW w:w="182" w:type="pct"/>
            <w:gridSpan w:val="2"/>
            <w:tcBorders>
              <w:top w:val="nil"/>
              <w:left w:val="nil"/>
              <w:bottom w:val="single" w:sz="4" w:space="0" w:color="auto"/>
              <w:right w:val="single" w:sz="4" w:space="0" w:color="auto"/>
            </w:tcBorders>
            <w:shd w:val="clear" w:color="000000" w:fill="FFFFFF"/>
            <w:vAlign w:val="center"/>
          </w:tcPr>
          <w:p w14:paraId="50F6840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322805F3"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064EC760"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180B1B57"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49F6D9FC"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改进预算编制管理</w:t>
            </w:r>
          </w:p>
        </w:tc>
        <w:tc>
          <w:tcPr>
            <w:tcW w:w="182" w:type="pct"/>
            <w:gridSpan w:val="2"/>
            <w:tcBorders>
              <w:top w:val="nil"/>
              <w:left w:val="nil"/>
              <w:bottom w:val="single" w:sz="4" w:space="0" w:color="auto"/>
              <w:right w:val="single" w:sz="4" w:space="0" w:color="auto"/>
            </w:tcBorders>
            <w:shd w:val="clear" w:color="000000" w:fill="FFFFFF"/>
            <w:vAlign w:val="center"/>
          </w:tcPr>
          <w:p w14:paraId="4C96C9CB"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64060F5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75C098AD"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4247D9D0"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297747E1"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提升预算执行效率和效益</w:t>
            </w:r>
          </w:p>
        </w:tc>
        <w:tc>
          <w:tcPr>
            <w:tcW w:w="182" w:type="pct"/>
            <w:gridSpan w:val="2"/>
            <w:tcBorders>
              <w:top w:val="nil"/>
              <w:left w:val="nil"/>
              <w:bottom w:val="single" w:sz="4" w:space="0" w:color="auto"/>
              <w:right w:val="single" w:sz="4" w:space="0" w:color="auto"/>
            </w:tcBorders>
            <w:shd w:val="clear" w:color="000000" w:fill="FFFFFF"/>
            <w:vAlign w:val="center"/>
          </w:tcPr>
          <w:p w14:paraId="72FBD51D"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1C5E26A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7199068B"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0E54CA14"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4F58D695"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改进资产管理</w:t>
            </w:r>
          </w:p>
        </w:tc>
        <w:tc>
          <w:tcPr>
            <w:tcW w:w="182" w:type="pct"/>
            <w:gridSpan w:val="2"/>
            <w:tcBorders>
              <w:top w:val="nil"/>
              <w:left w:val="nil"/>
              <w:bottom w:val="single" w:sz="4" w:space="0" w:color="auto"/>
              <w:right w:val="single" w:sz="4" w:space="0" w:color="auto"/>
            </w:tcBorders>
            <w:shd w:val="clear" w:color="000000" w:fill="FFFFFF"/>
            <w:vAlign w:val="center"/>
          </w:tcPr>
          <w:p w14:paraId="4E7D0F5B"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1E5E0D4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05DDF2C"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4A032B73"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58FBD8BD"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改进政府采购管理</w:t>
            </w:r>
          </w:p>
        </w:tc>
        <w:tc>
          <w:tcPr>
            <w:tcW w:w="182" w:type="pct"/>
            <w:gridSpan w:val="2"/>
            <w:tcBorders>
              <w:top w:val="nil"/>
              <w:left w:val="nil"/>
              <w:bottom w:val="single" w:sz="4" w:space="0" w:color="auto"/>
              <w:right w:val="single" w:sz="4" w:space="0" w:color="auto"/>
            </w:tcBorders>
            <w:shd w:val="clear" w:color="000000" w:fill="FFFFFF"/>
            <w:vAlign w:val="center"/>
          </w:tcPr>
          <w:p w14:paraId="10B9F92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12398A2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771DC9C6"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32DF5BB5"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66530977"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调整公共服务标准</w:t>
            </w:r>
          </w:p>
        </w:tc>
        <w:tc>
          <w:tcPr>
            <w:tcW w:w="182" w:type="pct"/>
            <w:gridSpan w:val="2"/>
            <w:tcBorders>
              <w:top w:val="nil"/>
              <w:left w:val="nil"/>
              <w:bottom w:val="single" w:sz="4" w:space="0" w:color="auto"/>
              <w:right w:val="single" w:sz="4" w:space="0" w:color="auto"/>
            </w:tcBorders>
            <w:shd w:val="clear" w:color="000000" w:fill="FFFFFF"/>
            <w:vAlign w:val="center"/>
          </w:tcPr>
          <w:p w14:paraId="747BA4BA"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4DA25A1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F9851D8"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181470D5"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4345A5A3"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削减低效、无效资金</w:t>
            </w:r>
          </w:p>
        </w:tc>
        <w:tc>
          <w:tcPr>
            <w:tcW w:w="182" w:type="pct"/>
            <w:gridSpan w:val="2"/>
            <w:tcBorders>
              <w:top w:val="nil"/>
              <w:left w:val="nil"/>
              <w:bottom w:val="single" w:sz="4" w:space="0" w:color="auto"/>
              <w:right w:val="single" w:sz="4" w:space="0" w:color="auto"/>
            </w:tcBorders>
            <w:shd w:val="clear" w:color="000000" w:fill="FFFFFF"/>
            <w:vAlign w:val="center"/>
          </w:tcPr>
          <w:p w14:paraId="14F1ABC7"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0B0A572C"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13689BFF"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519A2C2E"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5D1FEDD1"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对资金结构进行调整</w:t>
            </w:r>
          </w:p>
        </w:tc>
        <w:tc>
          <w:tcPr>
            <w:tcW w:w="182" w:type="pct"/>
            <w:gridSpan w:val="2"/>
            <w:tcBorders>
              <w:top w:val="nil"/>
              <w:left w:val="nil"/>
              <w:bottom w:val="single" w:sz="4" w:space="0" w:color="auto"/>
              <w:right w:val="single" w:sz="4" w:space="0" w:color="auto"/>
            </w:tcBorders>
            <w:shd w:val="clear" w:color="000000" w:fill="FFFFFF"/>
            <w:vAlign w:val="center"/>
          </w:tcPr>
          <w:p w14:paraId="1C975C0C"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661CDF3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61777CA7"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7450116D"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42F52461"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收回长期沉淀的资金</w:t>
            </w:r>
          </w:p>
        </w:tc>
        <w:tc>
          <w:tcPr>
            <w:tcW w:w="182" w:type="pct"/>
            <w:gridSpan w:val="2"/>
            <w:tcBorders>
              <w:top w:val="nil"/>
              <w:left w:val="nil"/>
              <w:bottom w:val="single" w:sz="4" w:space="0" w:color="auto"/>
              <w:right w:val="single" w:sz="4" w:space="0" w:color="auto"/>
            </w:tcBorders>
            <w:shd w:val="clear" w:color="000000" w:fill="FFFFFF"/>
            <w:vAlign w:val="center"/>
          </w:tcPr>
          <w:p w14:paraId="025FAC91"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507F298D"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60ACEA5"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0E5718F9"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6934D523"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其他意见</w:t>
            </w:r>
          </w:p>
        </w:tc>
        <w:tc>
          <w:tcPr>
            <w:tcW w:w="182" w:type="pct"/>
            <w:gridSpan w:val="2"/>
            <w:tcBorders>
              <w:top w:val="nil"/>
              <w:left w:val="nil"/>
              <w:bottom w:val="single" w:sz="4" w:space="0" w:color="auto"/>
              <w:right w:val="single" w:sz="4" w:space="0" w:color="auto"/>
            </w:tcBorders>
            <w:shd w:val="clear" w:color="000000" w:fill="FFFFFF"/>
            <w:vAlign w:val="center"/>
          </w:tcPr>
          <w:p w14:paraId="06ED6C1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68B9777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09BD51BA" w14:textId="77777777">
        <w:trPr>
          <w:gridAfter w:val="4"/>
          <w:wAfter w:w="1390" w:type="pct"/>
          <w:trHeight w:val="285"/>
        </w:trPr>
        <w:tc>
          <w:tcPr>
            <w:tcW w:w="43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7DA38E4B"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主管部门总体意见</w:t>
            </w:r>
          </w:p>
        </w:tc>
        <w:tc>
          <w:tcPr>
            <w:tcW w:w="3169" w:type="pct"/>
            <w:gridSpan w:val="20"/>
            <w:tcBorders>
              <w:top w:val="single" w:sz="4" w:space="0" w:color="auto"/>
              <w:left w:val="nil"/>
              <w:bottom w:val="single" w:sz="4" w:space="0" w:color="auto"/>
              <w:right w:val="single" w:sz="4" w:space="0" w:color="000000"/>
            </w:tcBorders>
            <w:shd w:val="clear" w:color="000000" w:fill="FFFFFF"/>
            <w:vAlign w:val="center"/>
          </w:tcPr>
          <w:p w14:paraId="069285D6"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667F603D" w14:textId="77777777">
        <w:trPr>
          <w:gridAfter w:val="4"/>
          <w:wAfter w:w="1390" w:type="pct"/>
          <w:trHeight w:val="285"/>
        </w:trPr>
        <w:tc>
          <w:tcPr>
            <w:tcW w:w="439"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12F523"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财政部门审核意见</w:t>
            </w: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41368B0B"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建议继续全额安排</w:t>
            </w:r>
          </w:p>
        </w:tc>
        <w:tc>
          <w:tcPr>
            <w:tcW w:w="182" w:type="pct"/>
            <w:gridSpan w:val="2"/>
            <w:tcBorders>
              <w:top w:val="nil"/>
              <w:left w:val="nil"/>
              <w:bottom w:val="single" w:sz="4" w:space="0" w:color="auto"/>
              <w:right w:val="single" w:sz="4" w:space="0" w:color="auto"/>
            </w:tcBorders>
            <w:shd w:val="clear" w:color="000000" w:fill="FFFFFF"/>
            <w:vAlign w:val="center"/>
          </w:tcPr>
          <w:p w14:paraId="6FF4F02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6FCD03C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122D33F1"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3B309C20"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4FD3A34E"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建议继续安排，按规定调整下一年度预算金额</w:t>
            </w:r>
          </w:p>
        </w:tc>
        <w:tc>
          <w:tcPr>
            <w:tcW w:w="182" w:type="pct"/>
            <w:gridSpan w:val="2"/>
            <w:tcBorders>
              <w:top w:val="nil"/>
              <w:left w:val="nil"/>
              <w:bottom w:val="single" w:sz="4" w:space="0" w:color="auto"/>
              <w:right w:val="single" w:sz="4" w:space="0" w:color="auto"/>
            </w:tcBorders>
            <w:shd w:val="clear" w:color="000000" w:fill="FFFFFF"/>
            <w:vAlign w:val="center"/>
          </w:tcPr>
          <w:p w14:paraId="3D67EE6C"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484F56A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建议继续安排，并按照规定安排好下一年经费数额</w:t>
            </w:r>
          </w:p>
        </w:tc>
      </w:tr>
      <w:tr w:rsidR="00445AD5" w14:paraId="5825E0CB"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0AC61868"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7C5F28F6"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规范预算管理</w:t>
            </w:r>
          </w:p>
        </w:tc>
        <w:tc>
          <w:tcPr>
            <w:tcW w:w="182" w:type="pct"/>
            <w:gridSpan w:val="2"/>
            <w:tcBorders>
              <w:top w:val="nil"/>
              <w:left w:val="nil"/>
              <w:bottom w:val="single" w:sz="4" w:space="0" w:color="auto"/>
              <w:right w:val="single" w:sz="4" w:space="0" w:color="auto"/>
            </w:tcBorders>
            <w:shd w:val="clear" w:color="000000" w:fill="FFFFFF"/>
            <w:vAlign w:val="center"/>
          </w:tcPr>
          <w:p w14:paraId="19DBCFAA"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13B2F6B9"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19C9692B"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43AEF6B2"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0888CE64"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改进业务管理</w:t>
            </w:r>
          </w:p>
        </w:tc>
        <w:tc>
          <w:tcPr>
            <w:tcW w:w="182" w:type="pct"/>
            <w:gridSpan w:val="2"/>
            <w:tcBorders>
              <w:top w:val="nil"/>
              <w:left w:val="nil"/>
              <w:bottom w:val="single" w:sz="4" w:space="0" w:color="auto"/>
              <w:right w:val="single" w:sz="4" w:space="0" w:color="auto"/>
            </w:tcBorders>
            <w:shd w:val="clear" w:color="000000" w:fill="FFFFFF"/>
            <w:vAlign w:val="center"/>
          </w:tcPr>
          <w:p w14:paraId="54AF539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688C4D4E"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4B5A72A2"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43B0CB01"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7031B9D5"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改进预算编制管理</w:t>
            </w:r>
          </w:p>
        </w:tc>
        <w:tc>
          <w:tcPr>
            <w:tcW w:w="182" w:type="pct"/>
            <w:gridSpan w:val="2"/>
            <w:tcBorders>
              <w:top w:val="nil"/>
              <w:left w:val="nil"/>
              <w:bottom w:val="single" w:sz="4" w:space="0" w:color="auto"/>
              <w:right w:val="single" w:sz="4" w:space="0" w:color="auto"/>
            </w:tcBorders>
            <w:shd w:val="clear" w:color="000000" w:fill="FFFFFF"/>
            <w:vAlign w:val="center"/>
          </w:tcPr>
          <w:p w14:paraId="41AF0538"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1879D45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6212D816"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22975FCE"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04125D17"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提升预算执行效率和效益</w:t>
            </w:r>
          </w:p>
        </w:tc>
        <w:tc>
          <w:tcPr>
            <w:tcW w:w="182" w:type="pct"/>
            <w:gridSpan w:val="2"/>
            <w:tcBorders>
              <w:top w:val="nil"/>
              <w:left w:val="nil"/>
              <w:bottom w:val="single" w:sz="4" w:space="0" w:color="auto"/>
              <w:right w:val="single" w:sz="4" w:space="0" w:color="auto"/>
            </w:tcBorders>
            <w:shd w:val="clear" w:color="000000" w:fill="FFFFFF"/>
            <w:vAlign w:val="center"/>
          </w:tcPr>
          <w:p w14:paraId="4B4C3280"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2B9C6FFB"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234641F3"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0567D2DE"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508E9FF1"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改进资产管理</w:t>
            </w:r>
          </w:p>
        </w:tc>
        <w:tc>
          <w:tcPr>
            <w:tcW w:w="182" w:type="pct"/>
            <w:gridSpan w:val="2"/>
            <w:tcBorders>
              <w:top w:val="nil"/>
              <w:left w:val="nil"/>
              <w:bottom w:val="single" w:sz="4" w:space="0" w:color="auto"/>
              <w:right w:val="single" w:sz="4" w:space="0" w:color="auto"/>
            </w:tcBorders>
            <w:shd w:val="clear" w:color="000000" w:fill="FFFFFF"/>
            <w:vAlign w:val="center"/>
          </w:tcPr>
          <w:p w14:paraId="61FF8CE4"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308F5F8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7B2FF749"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2AA5687E"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130906F3"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改进政府采购管理</w:t>
            </w:r>
          </w:p>
        </w:tc>
        <w:tc>
          <w:tcPr>
            <w:tcW w:w="182" w:type="pct"/>
            <w:gridSpan w:val="2"/>
            <w:tcBorders>
              <w:top w:val="nil"/>
              <w:left w:val="nil"/>
              <w:bottom w:val="single" w:sz="4" w:space="0" w:color="auto"/>
              <w:right w:val="single" w:sz="4" w:space="0" w:color="auto"/>
            </w:tcBorders>
            <w:shd w:val="clear" w:color="000000" w:fill="FFFFFF"/>
            <w:vAlign w:val="center"/>
          </w:tcPr>
          <w:p w14:paraId="617A8342"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5453389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8397E88"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612E4320"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1D6C49FC"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调整公共服务标准</w:t>
            </w:r>
          </w:p>
        </w:tc>
        <w:tc>
          <w:tcPr>
            <w:tcW w:w="182" w:type="pct"/>
            <w:gridSpan w:val="2"/>
            <w:tcBorders>
              <w:top w:val="nil"/>
              <w:left w:val="nil"/>
              <w:bottom w:val="single" w:sz="4" w:space="0" w:color="auto"/>
              <w:right w:val="single" w:sz="4" w:space="0" w:color="auto"/>
            </w:tcBorders>
            <w:shd w:val="clear" w:color="000000" w:fill="FFFFFF"/>
            <w:vAlign w:val="center"/>
          </w:tcPr>
          <w:p w14:paraId="24D6705F"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7DFE85D8"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2D6213EB"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2CE977A8"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06F63689"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削减低效、无效资金</w:t>
            </w:r>
          </w:p>
        </w:tc>
        <w:tc>
          <w:tcPr>
            <w:tcW w:w="182" w:type="pct"/>
            <w:gridSpan w:val="2"/>
            <w:tcBorders>
              <w:top w:val="nil"/>
              <w:left w:val="nil"/>
              <w:bottom w:val="single" w:sz="4" w:space="0" w:color="auto"/>
              <w:right w:val="single" w:sz="4" w:space="0" w:color="auto"/>
            </w:tcBorders>
            <w:shd w:val="clear" w:color="000000" w:fill="FFFFFF"/>
            <w:vAlign w:val="center"/>
          </w:tcPr>
          <w:p w14:paraId="4C17CF09"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541FDB5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3E19523F"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7C35B8BE"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1E1F5624"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对资金结构进行调整</w:t>
            </w:r>
          </w:p>
        </w:tc>
        <w:tc>
          <w:tcPr>
            <w:tcW w:w="182" w:type="pct"/>
            <w:gridSpan w:val="2"/>
            <w:tcBorders>
              <w:top w:val="nil"/>
              <w:left w:val="nil"/>
              <w:bottom w:val="single" w:sz="4" w:space="0" w:color="auto"/>
              <w:right w:val="single" w:sz="4" w:space="0" w:color="auto"/>
            </w:tcBorders>
            <w:shd w:val="clear" w:color="000000" w:fill="FFFFFF"/>
            <w:vAlign w:val="center"/>
          </w:tcPr>
          <w:p w14:paraId="2E4F3351"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41508091"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033F567D"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2A5EBE79"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000000"/>
            </w:tcBorders>
            <w:shd w:val="clear" w:color="000000" w:fill="FFFFFF"/>
            <w:vAlign w:val="center"/>
          </w:tcPr>
          <w:p w14:paraId="67BB826F"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收回长期沉淀的资金</w:t>
            </w:r>
          </w:p>
        </w:tc>
        <w:tc>
          <w:tcPr>
            <w:tcW w:w="182" w:type="pct"/>
            <w:gridSpan w:val="2"/>
            <w:tcBorders>
              <w:top w:val="nil"/>
              <w:left w:val="nil"/>
              <w:bottom w:val="single" w:sz="4" w:space="0" w:color="auto"/>
              <w:right w:val="single" w:sz="4" w:space="0" w:color="auto"/>
            </w:tcBorders>
            <w:shd w:val="clear" w:color="000000" w:fill="FFFFFF"/>
            <w:vAlign w:val="center"/>
          </w:tcPr>
          <w:p w14:paraId="0A1A45AA"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5A0912E5"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47A33790" w14:textId="77777777">
        <w:trPr>
          <w:gridAfter w:val="4"/>
          <w:wAfter w:w="1390" w:type="pct"/>
          <w:trHeight w:val="285"/>
        </w:trPr>
        <w:tc>
          <w:tcPr>
            <w:tcW w:w="439" w:type="pct"/>
            <w:gridSpan w:val="3"/>
            <w:vMerge/>
            <w:tcBorders>
              <w:top w:val="single" w:sz="4" w:space="0" w:color="auto"/>
              <w:left w:val="single" w:sz="4" w:space="0" w:color="auto"/>
              <w:bottom w:val="single" w:sz="4" w:space="0" w:color="auto"/>
              <w:right w:val="single" w:sz="4" w:space="0" w:color="auto"/>
            </w:tcBorders>
            <w:vAlign w:val="center"/>
          </w:tcPr>
          <w:p w14:paraId="3B94DDDF" w14:textId="77777777" w:rsidR="00445AD5" w:rsidRDefault="00445AD5">
            <w:pPr>
              <w:widowControl/>
              <w:jc w:val="left"/>
              <w:rPr>
                <w:rFonts w:ascii="宋体" w:hAnsi="宋体" w:cs="宋体"/>
                <w:b/>
                <w:bCs/>
                <w:color w:val="000000"/>
                <w:kern w:val="0"/>
                <w:sz w:val="20"/>
                <w:szCs w:val="20"/>
              </w:rPr>
            </w:pPr>
          </w:p>
        </w:tc>
        <w:tc>
          <w:tcPr>
            <w:tcW w:w="1376" w:type="pct"/>
            <w:gridSpan w:val="8"/>
            <w:tcBorders>
              <w:top w:val="single" w:sz="4" w:space="0" w:color="auto"/>
              <w:left w:val="nil"/>
              <w:bottom w:val="single" w:sz="4" w:space="0" w:color="auto"/>
              <w:right w:val="single" w:sz="4" w:space="0" w:color="auto"/>
            </w:tcBorders>
            <w:shd w:val="clear" w:color="000000" w:fill="FFFFFF"/>
            <w:vAlign w:val="center"/>
          </w:tcPr>
          <w:p w14:paraId="69560767" w14:textId="77777777" w:rsidR="00445AD5" w:rsidRDefault="00EA4B12">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其他意见</w:t>
            </w:r>
          </w:p>
        </w:tc>
        <w:tc>
          <w:tcPr>
            <w:tcW w:w="182" w:type="pct"/>
            <w:gridSpan w:val="2"/>
            <w:tcBorders>
              <w:top w:val="nil"/>
              <w:left w:val="nil"/>
              <w:bottom w:val="single" w:sz="4" w:space="0" w:color="auto"/>
              <w:right w:val="single" w:sz="4" w:space="0" w:color="auto"/>
            </w:tcBorders>
            <w:shd w:val="clear" w:color="000000" w:fill="FFFFFF"/>
            <w:vAlign w:val="center"/>
          </w:tcPr>
          <w:p w14:paraId="1608AACB"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1609" w:type="pct"/>
            <w:gridSpan w:val="10"/>
            <w:tcBorders>
              <w:top w:val="single" w:sz="4" w:space="0" w:color="auto"/>
              <w:left w:val="nil"/>
              <w:bottom w:val="single" w:sz="4" w:space="0" w:color="auto"/>
              <w:right w:val="single" w:sz="4" w:space="0" w:color="000000"/>
            </w:tcBorders>
            <w:shd w:val="clear" w:color="000000" w:fill="FFFFFF"/>
            <w:vAlign w:val="center"/>
          </w:tcPr>
          <w:p w14:paraId="4DA262A4"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445AD5" w14:paraId="59D3E328" w14:textId="77777777">
        <w:trPr>
          <w:gridAfter w:val="4"/>
          <w:wAfter w:w="1390" w:type="pct"/>
          <w:trHeight w:val="698"/>
        </w:trPr>
        <w:tc>
          <w:tcPr>
            <w:tcW w:w="439"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2970B2B" w14:textId="77777777" w:rsidR="00445AD5" w:rsidRDefault="00EA4B12">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财政部门总体意见</w:t>
            </w:r>
          </w:p>
        </w:tc>
        <w:tc>
          <w:tcPr>
            <w:tcW w:w="3169" w:type="pct"/>
            <w:gridSpan w:val="20"/>
            <w:tcBorders>
              <w:top w:val="single" w:sz="4" w:space="0" w:color="auto"/>
              <w:left w:val="nil"/>
              <w:bottom w:val="single" w:sz="4" w:space="0" w:color="auto"/>
              <w:right w:val="single" w:sz="4" w:space="0" w:color="000000"/>
            </w:tcBorders>
            <w:shd w:val="clear" w:color="000000" w:fill="FFFFFF"/>
            <w:vAlign w:val="center"/>
          </w:tcPr>
          <w:p w14:paraId="4315E277" w14:textId="77777777" w:rsidR="00445AD5" w:rsidRDefault="00EA4B12">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完成较好，审核通过</w:t>
            </w:r>
          </w:p>
        </w:tc>
      </w:tr>
    </w:tbl>
    <w:p w14:paraId="2694DDC1" w14:textId="77777777" w:rsidR="00445AD5" w:rsidRDefault="00445AD5" w:rsidP="00872F9C">
      <w:pPr>
        <w:spacing w:line="540" w:lineRule="exact"/>
        <w:rPr>
          <w:rFonts w:ascii="宋体" w:hAnsi="宋体" w:hint="eastAsia"/>
          <w:b/>
          <w:sz w:val="36"/>
          <w:szCs w:val="36"/>
        </w:rPr>
        <w:sectPr w:rsidR="00445AD5">
          <w:pgSz w:w="16838" w:h="11906" w:orient="landscape"/>
          <w:pgMar w:top="1701" w:right="1418" w:bottom="1701" w:left="1418" w:header="851" w:footer="992" w:gutter="0"/>
          <w:cols w:space="720"/>
          <w:docGrid w:type="lines" w:linePitch="312"/>
        </w:sectPr>
      </w:pPr>
    </w:p>
    <w:p w14:paraId="549FF2A2" w14:textId="77777777" w:rsidR="00445AD5" w:rsidRDefault="00445AD5">
      <w:pPr>
        <w:rPr>
          <w:rFonts w:ascii="宋体" w:hAnsi="宋体" w:hint="eastAsia"/>
          <w:b/>
          <w:sz w:val="36"/>
          <w:szCs w:val="36"/>
        </w:rPr>
      </w:pPr>
    </w:p>
    <w:p w14:paraId="0B286E06" w14:textId="77777777" w:rsidR="00445AD5" w:rsidRDefault="00EA4B12">
      <w:pPr>
        <w:spacing w:line="540" w:lineRule="exact"/>
        <w:jc w:val="center"/>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名词解释</w:t>
      </w:r>
    </w:p>
    <w:p w14:paraId="5DEC5523" w14:textId="77777777" w:rsidR="00445AD5" w:rsidRDefault="00445AD5">
      <w:pPr>
        <w:spacing w:line="540" w:lineRule="exact"/>
        <w:jc w:val="center"/>
        <w:rPr>
          <w:rFonts w:ascii="宋体" w:hAnsi="宋体"/>
          <w:b/>
          <w:sz w:val="36"/>
          <w:szCs w:val="36"/>
        </w:rPr>
      </w:pPr>
    </w:p>
    <w:p w14:paraId="701E8697"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14:paraId="1E183AE7"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14:paraId="198BF94D"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14:paraId="67981C82"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14:paraId="2865905E"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14:paraId="2B41133C"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w:t>
      </w:r>
      <w:r>
        <w:rPr>
          <w:rFonts w:ascii="仿宋_GB2312" w:eastAsia="仿宋_GB2312" w:hint="eastAsia"/>
          <w:sz w:val="32"/>
          <w:szCs w:val="32"/>
        </w:rPr>
        <w:t>、“附属单位上缴收入”等以外的收入。</w:t>
      </w:r>
    </w:p>
    <w:p w14:paraId="5CC4515C"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 xml:space="preserve">7. </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14:paraId="66266B23" w14:textId="77777777" w:rsidR="00445AD5" w:rsidRDefault="00445AD5">
      <w:pPr>
        <w:spacing w:line="540" w:lineRule="exact"/>
        <w:ind w:firstLineChars="200" w:firstLine="643"/>
        <w:rPr>
          <w:rFonts w:ascii="仿宋_GB2312" w:eastAsia="仿宋_GB2312"/>
          <w:b/>
          <w:sz w:val="32"/>
          <w:szCs w:val="32"/>
        </w:rPr>
      </w:pPr>
    </w:p>
    <w:p w14:paraId="5EB811EE"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 xml:space="preserve"> 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14:paraId="14B7AC50"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14:paraId="43DB2B41"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14:paraId="26238A04"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14:paraId="74A16027"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14:paraId="348D78B6" w14:textId="77777777" w:rsidR="00445AD5" w:rsidRDefault="00EA4B12">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14:paraId="7DE0CB34" w14:textId="77777777" w:rsidR="00445AD5" w:rsidRDefault="00EA4B12">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r>
        <w:rPr>
          <w:rFonts w:ascii="仿宋_GB2312" w:eastAsia="仿宋_GB2312" w:hint="eastAsia"/>
          <w:sz w:val="32"/>
          <w:szCs w:val="32"/>
        </w:rPr>
        <w:t>。</w:t>
      </w:r>
    </w:p>
    <w:p w14:paraId="46FCE2CB" w14:textId="77777777" w:rsidR="00445AD5" w:rsidRDefault="00EA4B12">
      <w:pPr>
        <w:spacing w:line="540" w:lineRule="exact"/>
        <w:ind w:firstLineChars="200" w:firstLine="643"/>
        <w:rPr>
          <w:rFonts w:ascii="仿宋" w:eastAsia="仿宋" w:hAnsi="仿宋"/>
          <w:sz w:val="32"/>
          <w:szCs w:val="32"/>
        </w:rPr>
      </w:pPr>
      <w:r>
        <w:rPr>
          <w:rFonts w:ascii="仿宋" w:eastAsia="仿宋" w:hAnsi="仿宋" w:hint="eastAsia"/>
          <w:b/>
          <w:bCs/>
          <w:sz w:val="32"/>
          <w:szCs w:val="32"/>
        </w:rPr>
        <w:t>15.</w:t>
      </w:r>
      <w:r>
        <w:rPr>
          <w:rFonts w:ascii="仿宋" w:eastAsia="仿宋" w:hAnsi="仿宋" w:hint="eastAsia"/>
          <w:b/>
          <w:bCs/>
          <w:sz w:val="32"/>
          <w:szCs w:val="32"/>
        </w:rPr>
        <w:t>机关运行经费：</w:t>
      </w:r>
      <w:r>
        <w:rPr>
          <w:rFonts w:ascii="仿宋" w:eastAsia="仿宋" w:hAnsi="仿宋"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33AC01D" w14:textId="77777777" w:rsidR="00445AD5" w:rsidRDefault="00EA4B12">
      <w:pPr>
        <w:spacing w:line="540" w:lineRule="exact"/>
        <w:ind w:firstLineChars="200" w:firstLine="643"/>
        <w:rPr>
          <w:rFonts w:ascii="仿宋" w:eastAsia="仿宋" w:hAnsi="仿宋"/>
          <w:sz w:val="32"/>
          <w:szCs w:val="32"/>
        </w:rPr>
      </w:pPr>
      <w:r>
        <w:rPr>
          <w:rFonts w:ascii="仿宋" w:eastAsia="仿宋" w:hAnsi="仿宋" w:hint="eastAsia"/>
          <w:b/>
          <w:sz w:val="32"/>
          <w:szCs w:val="32"/>
        </w:rPr>
        <w:t>16.</w:t>
      </w:r>
      <w:r>
        <w:rPr>
          <w:rFonts w:ascii="仿宋" w:eastAsia="仿宋" w:hAnsi="仿宋" w:hint="eastAsia"/>
          <w:b/>
          <w:sz w:val="32"/>
          <w:szCs w:val="32"/>
        </w:rPr>
        <w:t>一般公共服务支出（类）商贸事务（款）事业运行（项）：</w:t>
      </w:r>
      <w:r>
        <w:rPr>
          <w:rFonts w:ascii="仿宋" w:eastAsia="仿宋" w:hAnsi="仿宋" w:hint="eastAsia"/>
          <w:sz w:val="32"/>
          <w:szCs w:val="32"/>
        </w:rPr>
        <w:t>反映事业单位的基本支出，不包括行政单位（包括实行公务员管理的事业单位）后勤服务中心、医务室等附属事业单位。</w:t>
      </w:r>
    </w:p>
    <w:p w14:paraId="6E579CD6" w14:textId="77777777" w:rsidR="00445AD5" w:rsidRDefault="00EA4B12">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17</w:t>
      </w:r>
      <w:r>
        <w:rPr>
          <w:rFonts w:ascii="仿宋_GB2312" w:eastAsia="仿宋_GB2312" w:cs="黑体" w:hint="eastAsia"/>
          <w:b/>
          <w:bCs/>
          <w:sz w:val="32"/>
          <w:szCs w:val="32"/>
        </w:rPr>
        <w:t>.</w:t>
      </w:r>
      <w:bookmarkStart w:id="2" w:name="_Hlk83134263"/>
      <w:r>
        <w:rPr>
          <w:rFonts w:ascii="仿宋_GB2312" w:eastAsia="仿宋_GB2312" w:cs="黑体" w:hint="eastAsia"/>
          <w:b/>
          <w:bCs/>
          <w:sz w:val="32"/>
          <w:szCs w:val="32"/>
        </w:rPr>
        <w:t>社会保障和就业支出（类</w:t>
      </w:r>
      <w:r>
        <w:rPr>
          <w:rFonts w:ascii="仿宋_GB2312" w:eastAsia="仿宋_GB2312" w:cs="黑体" w:hint="eastAsia"/>
          <w:b/>
          <w:bCs/>
          <w:sz w:val="32"/>
          <w:szCs w:val="32"/>
        </w:rPr>
        <w:t>）行政事业单位养老支出（款）事业单位离退休（项）</w:t>
      </w:r>
      <w:bookmarkEnd w:id="2"/>
      <w:r>
        <w:rPr>
          <w:rFonts w:ascii="仿宋_GB2312" w:eastAsia="仿宋_GB2312" w:cs="黑体" w:hint="eastAsia"/>
          <w:b/>
          <w:bCs/>
          <w:sz w:val="32"/>
          <w:szCs w:val="32"/>
        </w:rPr>
        <w:t>：</w:t>
      </w:r>
      <w:r>
        <w:rPr>
          <w:rFonts w:ascii="仿宋_GB2312" w:eastAsia="仿宋_GB2312" w:cs="黑体" w:hint="eastAsia"/>
          <w:sz w:val="32"/>
          <w:szCs w:val="32"/>
        </w:rPr>
        <w:t>反映事业单位开支的离退休经费。</w:t>
      </w:r>
    </w:p>
    <w:p w14:paraId="47D16B56" w14:textId="77777777" w:rsidR="00445AD5" w:rsidRDefault="00EA4B12">
      <w:pPr>
        <w:spacing w:line="540" w:lineRule="exact"/>
        <w:ind w:firstLineChars="200" w:firstLine="643"/>
        <w:rPr>
          <w:rFonts w:ascii="仿宋" w:eastAsia="仿宋" w:hAnsi="仿宋"/>
          <w:sz w:val="32"/>
          <w:szCs w:val="32"/>
        </w:rPr>
      </w:pPr>
      <w:r>
        <w:rPr>
          <w:rFonts w:ascii="仿宋_GB2312" w:eastAsia="仿宋_GB2312" w:cs="黑体"/>
          <w:b/>
          <w:bCs/>
          <w:sz w:val="32"/>
          <w:szCs w:val="32"/>
        </w:rPr>
        <w:lastRenderedPageBreak/>
        <w:t>18</w:t>
      </w:r>
      <w:r>
        <w:rPr>
          <w:rFonts w:ascii="仿宋_GB2312" w:eastAsia="仿宋_GB2312" w:cs="黑体" w:hint="eastAsia"/>
          <w:b/>
          <w:bCs/>
          <w:sz w:val="32"/>
          <w:szCs w:val="32"/>
        </w:rPr>
        <w:t>.</w:t>
      </w:r>
      <w:r>
        <w:rPr>
          <w:rFonts w:ascii="仿宋_GB2312" w:eastAsia="仿宋_GB2312" w:cs="黑体" w:hint="eastAsia"/>
          <w:b/>
          <w:bCs/>
          <w:sz w:val="32"/>
          <w:szCs w:val="32"/>
        </w:rPr>
        <w:t>社会保障和就业支出（类）行政事业单位养老支出（款）机关事业单位基本养老保险缴费支出（项）：</w:t>
      </w:r>
      <w:r>
        <w:rPr>
          <w:rFonts w:ascii="仿宋_GB2312" w:eastAsia="仿宋_GB2312" w:cs="黑体" w:hint="eastAsia"/>
          <w:sz w:val="32"/>
          <w:szCs w:val="32"/>
        </w:rPr>
        <w:t>反映机关事业单位实施养老保险制度由单位缴纳的基本养老保险费支出。</w:t>
      </w:r>
    </w:p>
    <w:p w14:paraId="17E220F1" w14:textId="77777777" w:rsidR="00445AD5" w:rsidRDefault="00EA4B12">
      <w:pPr>
        <w:spacing w:line="540" w:lineRule="exact"/>
        <w:ind w:firstLineChars="200" w:firstLine="643"/>
        <w:rPr>
          <w:rFonts w:ascii="仿宋_GB2312" w:eastAsia="仿宋_GB2312" w:cs="黑体"/>
          <w:sz w:val="32"/>
          <w:szCs w:val="32"/>
        </w:rPr>
      </w:pPr>
      <w:r>
        <w:rPr>
          <w:rFonts w:ascii="仿宋_GB2312" w:eastAsia="仿宋_GB2312" w:cs="黑体"/>
          <w:b/>
          <w:bCs/>
          <w:sz w:val="32"/>
          <w:szCs w:val="32"/>
        </w:rPr>
        <w:t>19</w:t>
      </w:r>
      <w:r>
        <w:rPr>
          <w:rFonts w:ascii="仿宋_GB2312" w:eastAsia="仿宋_GB2312" w:cs="黑体" w:hint="eastAsia"/>
          <w:b/>
          <w:bCs/>
          <w:sz w:val="32"/>
          <w:szCs w:val="32"/>
        </w:rPr>
        <w:t>.</w:t>
      </w:r>
      <w:r>
        <w:rPr>
          <w:rFonts w:ascii="仿宋_GB2312" w:eastAsia="仿宋_GB2312" w:cs="黑体" w:hint="eastAsia"/>
          <w:b/>
          <w:bCs/>
          <w:sz w:val="32"/>
          <w:szCs w:val="32"/>
        </w:rPr>
        <w:t>社会保障和就业支出（类）行政事业单位养老支出（款）机关事业单位职业年金缴费支出（项）：</w:t>
      </w:r>
      <w:r>
        <w:rPr>
          <w:rFonts w:ascii="仿宋_GB2312" w:eastAsia="仿宋_GB2312" w:cs="黑体" w:hint="eastAsia"/>
          <w:sz w:val="32"/>
          <w:szCs w:val="32"/>
        </w:rPr>
        <w:t>反映机关事业单位实施养老保险制度由单位实际缴纳的职业年金支出。</w:t>
      </w:r>
    </w:p>
    <w:p w14:paraId="12A6F0C3" w14:textId="77777777" w:rsidR="00445AD5" w:rsidRDefault="00EA4B12">
      <w:pPr>
        <w:spacing w:line="540" w:lineRule="exact"/>
        <w:ind w:firstLineChars="200" w:firstLine="643"/>
        <w:rPr>
          <w:rFonts w:ascii="仿宋_GB2312" w:eastAsia="仿宋_GB2312" w:cs="黑体"/>
          <w:sz w:val="32"/>
          <w:szCs w:val="32"/>
        </w:rPr>
      </w:pPr>
      <w:r>
        <w:rPr>
          <w:rFonts w:ascii="仿宋_GB2312" w:eastAsia="仿宋_GB2312" w:cs="黑体"/>
          <w:b/>
          <w:bCs/>
          <w:sz w:val="32"/>
          <w:szCs w:val="32"/>
        </w:rPr>
        <w:t>20</w:t>
      </w:r>
      <w:r>
        <w:rPr>
          <w:rFonts w:ascii="仿宋_GB2312" w:eastAsia="仿宋_GB2312" w:cs="黑体" w:hint="eastAsia"/>
          <w:b/>
          <w:bCs/>
          <w:sz w:val="32"/>
          <w:szCs w:val="32"/>
        </w:rPr>
        <w:t>.</w:t>
      </w:r>
      <w:r>
        <w:rPr>
          <w:rFonts w:ascii="仿宋_GB2312" w:eastAsia="仿宋_GB2312" w:cs="黑体" w:hint="eastAsia"/>
          <w:b/>
          <w:bCs/>
          <w:sz w:val="32"/>
          <w:szCs w:val="32"/>
        </w:rPr>
        <w:t>社会保障和就业支出（类）抚恤（款）伤残抚恤（项）：</w:t>
      </w:r>
      <w:r>
        <w:rPr>
          <w:rFonts w:ascii="仿宋_GB2312" w:eastAsia="仿宋_GB2312" w:cs="黑体" w:hint="eastAsia"/>
          <w:sz w:val="32"/>
          <w:szCs w:val="32"/>
        </w:rPr>
        <w:t>反映按规定用于伤残人员的抚恤金和按规定开支的各种伤残补助费。</w:t>
      </w:r>
    </w:p>
    <w:p w14:paraId="0FCE0AD6" w14:textId="77777777" w:rsidR="00445AD5" w:rsidRDefault="00EA4B12">
      <w:pPr>
        <w:spacing w:line="540" w:lineRule="exact"/>
        <w:ind w:firstLineChars="200" w:firstLine="643"/>
        <w:rPr>
          <w:rFonts w:ascii="仿宋_GB2312" w:eastAsia="仿宋_GB2312" w:cs="黑体"/>
          <w:sz w:val="32"/>
          <w:szCs w:val="32"/>
        </w:rPr>
      </w:pPr>
      <w:r>
        <w:rPr>
          <w:rFonts w:ascii="仿宋_GB2312" w:eastAsia="仿宋_GB2312" w:cs="黑体"/>
          <w:b/>
          <w:bCs/>
          <w:sz w:val="32"/>
          <w:szCs w:val="32"/>
        </w:rPr>
        <w:t>21</w:t>
      </w:r>
      <w:r>
        <w:rPr>
          <w:rFonts w:ascii="仿宋_GB2312" w:eastAsia="仿宋_GB2312" w:cs="黑体" w:hint="eastAsia"/>
          <w:b/>
          <w:bCs/>
          <w:sz w:val="32"/>
          <w:szCs w:val="32"/>
        </w:rPr>
        <w:t>.</w:t>
      </w:r>
      <w:r>
        <w:rPr>
          <w:rFonts w:ascii="仿宋_GB2312" w:eastAsia="仿宋_GB2312" w:cs="黑体" w:hint="eastAsia"/>
          <w:b/>
          <w:bCs/>
          <w:sz w:val="32"/>
          <w:szCs w:val="32"/>
        </w:rPr>
        <w:t>社会保障和就业支出（类）其他社会保障和就业支出（款）其他社会保障和就业支出（项）：</w:t>
      </w:r>
      <w:r>
        <w:rPr>
          <w:rFonts w:ascii="仿宋_GB2312" w:eastAsia="仿宋_GB2312" w:cs="黑体" w:hint="eastAsia"/>
          <w:sz w:val="32"/>
          <w:szCs w:val="32"/>
        </w:rPr>
        <w:t>反映除上述项目以外其他用于社会保障和就业方面的支出。</w:t>
      </w:r>
    </w:p>
    <w:p w14:paraId="124BEE4A" w14:textId="77777777" w:rsidR="00445AD5" w:rsidRDefault="00EA4B12">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hint="eastAsia"/>
          <w:b/>
          <w:bCs/>
          <w:sz w:val="32"/>
          <w:szCs w:val="32"/>
        </w:rPr>
        <w:t>2</w:t>
      </w:r>
      <w:r>
        <w:rPr>
          <w:rFonts w:ascii="仿宋_GB2312" w:eastAsia="仿宋_GB2312" w:cs="黑体"/>
          <w:b/>
          <w:bCs/>
          <w:sz w:val="32"/>
          <w:szCs w:val="32"/>
        </w:rPr>
        <w:t>2</w:t>
      </w:r>
      <w:r>
        <w:rPr>
          <w:rFonts w:ascii="仿宋_GB2312" w:eastAsia="仿宋_GB2312" w:cs="黑体" w:hint="eastAsia"/>
          <w:b/>
          <w:bCs/>
          <w:sz w:val="32"/>
          <w:szCs w:val="32"/>
        </w:rPr>
        <w:t>.</w:t>
      </w:r>
      <w:r>
        <w:rPr>
          <w:rFonts w:ascii="仿宋_GB2312" w:eastAsia="仿宋_GB2312" w:cs="黑体" w:hint="eastAsia"/>
          <w:b/>
          <w:bCs/>
          <w:sz w:val="32"/>
          <w:szCs w:val="32"/>
        </w:rPr>
        <w:t>卫生健康支出（类）</w:t>
      </w:r>
      <w:bookmarkStart w:id="3" w:name="_Hlk83135488"/>
      <w:r>
        <w:rPr>
          <w:rFonts w:ascii="仿宋_GB2312" w:eastAsia="仿宋_GB2312" w:cs="黑体" w:hint="eastAsia"/>
          <w:b/>
          <w:bCs/>
          <w:sz w:val="32"/>
          <w:szCs w:val="32"/>
        </w:rPr>
        <w:t>行政事业单位医疗</w:t>
      </w:r>
      <w:bookmarkEnd w:id="3"/>
      <w:r>
        <w:rPr>
          <w:rFonts w:ascii="仿宋_GB2312" w:eastAsia="仿宋_GB2312" w:cs="黑体" w:hint="eastAsia"/>
          <w:b/>
          <w:bCs/>
          <w:sz w:val="32"/>
          <w:szCs w:val="32"/>
        </w:rPr>
        <w:t>（款）事业单位医疗（项）：</w:t>
      </w:r>
      <w:r>
        <w:rPr>
          <w:rFonts w:ascii="仿宋_GB2312" w:eastAsia="仿宋_GB2312" w:cs="黑体" w:hint="eastAsia"/>
          <w:sz w:val="32"/>
          <w:szCs w:val="32"/>
        </w:rPr>
        <w:t>反映财政部门安排的事业单位基本医疗保险缴费经费，未参加医疗保险的事业单位的公费医疗经费，按国家规定享受离休人员待遇的医疗经费。</w:t>
      </w:r>
    </w:p>
    <w:p w14:paraId="0E5E6A4C" w14:textId="77777777" w:rsidR="00445AD5" w:rsidRDefault="00EA4B12">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hint="eastAsia"/>
          <w:b/>
          <w:bCs/>
          <w:sz w:val="32"/>
          <w:szCs w:val="32"/>
        </w:rPr>
        <w:t>2</w:t>
      </w:r>
      <w:r>
        <w:rPr>
          <w:rFonts w:ascii="仿宋_GB2312" w:eastAsia="仿宋_GB2312" w:cs="黑体"/>
          <w:b/>
          <w:bCs/>
          <w:sz w:val="32"/>
          <w:szCs w:val="32"/>
        </w:rPr>
        <w:t>3</w:t>
      </w:r>
      <w:r>
        <w:rPr>
          <w:rFonts w:ascii="仿宋_GB2312" w:eastAsia="仿宋_GB2312" w:cs="黑体" w:hint="eastAsia"/>
          <w:b/>
          <w:bCs/>
          <w:sz w:val="32"/>
          <w:szCs w:val="32"/>
        </w:rPr>
        <w:t xml:space="preserve">. </w:t>
      </w:r>
      <w:r>
        <w:rPr>
          <w:rFonts w:ascii="仿宋_GB2312" w:eastAsia="仿宋_GB2312" w:cs="黑体" w:hint="eastAsia"/>
          <w:b/>
          <w:bCs/>
          <w:sz w:val="32"/>
          <w:szCs w:val="32"/>
        </w:rPr>
        <w:t>卫生健康支出（类）行政事业单位医疗（款）其他行政事业单位医疗支出（项）：</w:t>
      </w:r>
      <w:r>
        <w:rPr>
          <w:rFonts w:ascii="仿宋_GB2312" w:eastAsia="仿宋_GB2312" w:cs="黑体" w:hint="eastAsia"/>
          <w:sz w:val="32"/>
          <w:szCs w:val="32"/>
        </w:rPr>
        <w:t>反映除上述项目以外的其他用于行政事</w:t>
      </w:r>
      <w:r>
        <w:rPr>
          <w:rFonts w:ascii="仿宋_GB2312" w:eastAsia="仿宋_GB2312" w:cs="黑体" w:hint="eastAsia"/>
          <w:sz w:val="32"/>
          <w:szCs w:val="32"/>
        </w:rPr>
        <w:t>业单位医疗方面的支出。</w:t>
      </w:r>
      <w:bookmarkStart w:id="4" w:name="_Hlk83135859"/>
    </w:p>
    <w:p w14:paraId="21F9258B" w14:textId="77777777" w:rsidR="00445AD5" w:rsidRDefault="00EA4B12">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24</w:t>
      </w:r>
      <w:r>
        <w:rPr>
          <w:rFonts w:ascii="仿宋_GB2312" w:eastAsia="仿宋_GB2312" w:cs="黑体" w:hint="eastAsia"/>
          <w:b/>
          <w:bCs/>
          <w:sz w:val="32"/>
          <w:szCs w:val="32"/>
        </w:rPr>
        <w:t>.</w:t>
      </w:r>
      <w:r>
        <w:rPr>
          <w:rFonts w:ascii="仿宋_GB2312" w:eastAsia="仿宋_GB2312" w:cs="黑体" w:hint="eastAsia"/>
          <w:b/>
          <w:bCs/>
          <w:sz w:val="32"/>
          <w:szCs w:val="32"/>
        </w:rPr>
        <w:t>住房保障支出（类）住房改革支出（款）住房公积金（项）：</w:t>
      </w:r>
      <w:r>
        <w:rPr>
          <w:rFonts w:ascii="仿宋_GB2312" w:eastAsia="仿宋_GB2312" w:cs="黑体" w:hint="eastAsia"/>
          <w:sz w:val="32"/>
          <w:szCs w:val="32"/>
        </w:rPr>
        <w:t>反映行政事业单位按人力资源和社会保障部、财政部规定的基本工资和津贴补贴以及规定比例为职工缴纳的住房公积金。</w:t>
      </w:r>
    </w:p>
    <w:bookmarkEnd w:id="4"/>
    <w:p w14:paraId="2CBB5087" w14:textId="77777777" w:rsidR="00445AD5" w:rsidRDefault="00EA4B12">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25</w:t>
      </w:r>
      <w:r>
        <w:rPr>
          <w:rFonts w:ascii="仿宋_GB2312" w:eastAsia="仿宋_GB2312" w:cs="黑体" w:hint="eastAsia"/>
          <w:b/>
          <w:bCs/>
          <w:sz w:val="32"/>
          <w:szCs w:val="32"/>
        </w:rPr>
        <w:t>.</w:t>
      </w:r>
      <w:r>
        <w:rPr>
          <w:rFonts w:ascii="仿宋_GB2312" w:eastAsia="仿宋_GB2312" w:cs="黑体" w:hint="eastAsia"/>
          <w:b/>
          <w:bCs/>
          <w:sz w:val="32"/>
          <w:szCs w:val="32"/>
        </w:rPr>
        <w:t>商业服务业（类）商业流通事务（款）事业运行（项）：</w:t>
      </w:r>
      <w:r>
        <w:rPr>
          <w:rFonts w:ascii="仿宋_GB2312" w:eastAsia="仿宋_GB2312" w:cs="黑体" w:hint="eastAsia"/>
          <w:sz w:val="32"/>
          <w:szCs w:val="32"/>
        </w:rPr>
        <w:t>反映事业单位的基本支出，不包括行政单位（包括实</w:t>
      </w:r>
      <w:r>
        <w:rPr>
          <w:rFonts w:ascii="仿宋_GB2312" w:eastAsia="仿宋_GB2312" w:cs="黑体" w:hint="eastAsia"/>
          <w:sz w:val="32"/>
          <w:szCs w:val="32"/>
        </w:rPr>
        <w:lastRenderedPageBreak/>
        <w:t>行公务员管理的事业单位）后勤服务中心、医务室等附属事业单位。</w:t>
      </w:r>
    </w:p>
    <w:p w14:paraId="7935B727" w14:textId="77777777" w:rsidR="00445AD5" w:rsidRDefault="00EA4B12">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26</w:t>
      </w:r>
      <w:r>
        <w:rPr>
          <w:rFonts w:ascii="仿宋_GB2312" w:eastAsia="仿宋_GB2312" w:cs="黑体" w:hint="eastAsia"/>
          <w:b/>
          <w:bCs/>
          <w:sz w:val="32"/>
          <w:szCs w:val="32"/>
        </w:rPr>
        <w:t>.</w:t>
      </w:r>
      <w:r>
        <w:rPr>
          <w:rFonts w:ascii="仿宋_GB2312" w:eastAsia="仿宋_GB2312" w:cs="黑体" w:hint="eastAsia"/>
          <w:b/>
          <w:bCs/>
          <w:sz w:val="32"/>
          <w:szCs w:val="32"/>
        </w:rPr>
        <w:t>商业服务业（类）商业流通事务（款）其他商业流通事务支出（项）：</w:t>
      </w:r>
      <w:r>
        <w:rPr>
          <w:rFonts w:ascii="仿宋_GB2312" w:eastAsia="仿宋_GB2312" w:cs="黑体" w:hint="eastAsia"/>
          <w:sz w:val="32"/>
          <w:szCs w:val="32"/>
        </w:rPr>
        <w:t>反映其他商业服务业等支出中除上述项目以外的其他支出。</w:t>
      </w:r>
    </w:p>
    <w:p w14:paraId="5B3A4D9F" w14:textId="77777777" w:rsidR="00445AD5" w:rsidRDefault="00EA4B1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27.</w:t>
      </w:r>
      <w:r>
        <w:rPr>
          <w:rFonts w:ascii="仿宋" w:eastAsia="仿宋" w:hAnsi="仿宋" w:hint="eastAsia"/>
          <w:b/>
          <w:bCs/>
          <w:sz w:val="32"/>
          <w:szCs w:val="32"/>
        </w:rPr>
        <w:t>社会保障和就业支出（类）抚恤</w:t>
      </w:r>
      <w:r>
        <w:rPr>
          <w:rFonts w:ascii="仿宋" w:eastAsia="仿宋" w:hAnsi="仿宋" w:hint="eastAsia"/>
          <w:b/>
          <w:bCs/>
          <w:sz w:val="32"/>
          <w:szCs w:val="32"/>
        </w:rPr>
        <w:t>（款）死亡抚恤（项）：</w:t>
      </w:r>
      <w:r>
        <w:rPr>
          <w:rFonts w:ascii="仿宋" w:eastAsia="仿宋" w:hAnsi="仿宋" w:hint="eastAsia"/>
          <w:sz w:val="32"/>
          <w:szCs w:val="32"/>
        </w:rPr>
        <w:t>反映按规定用于烈士和牺牲、病故人员家属的一次性和定期抚恤金以及丧葬补助费。</w:t>
      </w:r>
    </w:p>
    <w:p w14:paraId="21C0ADB7" w14:textId="77777777" w:rsidR="00445AD5" w:rsidRDefault="00EA4B1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28.</w:t>
      </w:r>
      <w:r>
        <w:rPr>
          <w:rFonts w:ascii="仿宋" w:eastAsia="仿宋" w:hAnsi="仿宋" w:hint="eastAsia"/>
          <w:b/>
          <w:bCs/>
          <w:sz w:val="32"/>
          <w:szCs w:val="32"/>
        </w:rPr>
        <w:t>工资福利支出：</w:t>
      </w:r>
      <w:r>
        <w:rPr>
          <w:rFonts w:ascii="仿宋" w:eastAsia="仿宋" w:hAnsi="仿宋" w:hint="eastAsia"/>
          <w:sz w:val="32"/>
          <w:szCs w:val="32"/>
        </w:rPr>
        <w:t>反映单位开支的在职职工和编制外长期聘用人员的各类劳动报酬，以及为上述人员缴纳的各项社会保险费等。</w:t>
      </w:r>
    </w:p>
    <w:p w14:paraId="76596787" w14:textId="77777777" w:rsidR="00445AD5" w:rsidRDefault="00EA4B1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29.</w:t>
      </w:r>
      <w:r>
        <w:rPr>
          <w:rFonts w:ascii="仿宋" w:eastAsia="仿宋" w:hAnsi="仿宋" w:hint="eastAsia"/>
          <w:b/>
          <w:bCs/>
          <w:sz w:val="32"/>
          <w:szCs w:val="32"/>
        </w:rPr>
        <w:t>商品和服务支出：</w:t>
      </w:r>
      <w:r>
        <w:rPr>
          <w:rFonts w:ascii="仿宋" w:eastAsia="仿宋" w:hAnsi="仿宋" w:hint="eastAsia"/>
          <w:sz w:val="32"/>
          <w:szCs w:val="32"/>
        </w:rPr>
        <w:t>反映单位购买商品和服务的支出，不包括用于购置固定资产、战略性和应急性物资储备等资本性支出。</w:t>
      </w:r>
    </w:p>
    <w:p w14:paraId="25BE6854" w14:textId="77777777" w:rsidR="00445AD5" w:rsidRDefault="00EA4B1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30.</w:t>
      </w:r>
      <w:r>
        <w:rPr>
          <w:rFonts w:ascii="仿宋" w:eastAsia="仿宋" w:hAnsi="仿宋" w:hint="eastAsia"/>
          <w:b/>
          <w:bCs/>
          <w:sz w:val="32"/>
          <w:szCs w:val="32"/>
        </w:rPr>
        <w:t>对个人和家庭补助：</w:t>
      </w:r>
      <w:r>
        <w:rPr>
          <w:rFonts w:ascii="仿宋" w:eastAsia="仿宋" w:hAnsi="仿宋" w:hint="eastAsia"/>
          <w:sz w:val="32"/>
          <w:szCs w:val="32"/>
        </w:rPr>
        <w:t>反映政府用于对个人和家庭的补助支出。</w:t>
      </w:r>
    </w:p>
    <w:p w14:paraId="408993C0" w14:textId="77777777" w:rsidR="00445AD5" w:rsidRDefault="00EA4B12">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31.</w:t>
      </w:r>
      <w:r>
        <w:rPr>
          <w:rFonts w:ascii="仿宋" w:eastAsia="仿宋" w:hAnsi="仿宋" w:hint="eastAsia"/>
          <w:b/>
          <w:bCs/>
          <w:sz w:val="32"/>
          <w:szCs w:val="32"/>
        </w:rPr>
        <w:t>资本性支出：</w:t>
      </w:r>
      <w:r>
        <w:rPr>
          <w:rFonts w:ascii="仿宋" w:eastAsia="仿宋" w:hAnsi="仿宋" w:hint="eastAsia"/>
          <w:sz w:val="32"/>
          <w:szCs w:val="32"/>
        </w:rPr>
        <w:t>反映各单位安排的资本性支出。切块由发展改革部门安排的基本建设支出不在此科目反映。</w:t>
      </w:r>
    </w:p>
    <w:p w14:paraId="6555B6BE" w14:textId="77777777" w:rsidR="00445AD5" w:rsidRDefault="00EA4B12">
      <w:pPr>
        <w:spacing w:line="540" w:lineRule="exact"/>
        <w:ind w:firstLineChars="200" w:firstLine="640"/>
        <w:rPr>
          <w:rFonts w:ascii="仿宋" w:eastAsia="仿宋" w:hAnsi="仿宋"/>
          <w:sz w:val="32"/>
          <w:szCs w:val="32"/>
          <w:highlight w:val="yellow"/>
        </w:rPr>
      </w:pPr>
      <w:r>
        <w:rPr>
          <w:rFonts w:hint="eastAsia"/>
          <w:sz w:val="32"/>
          <w:szCs w:val="32"/>
        </w:rPr>
        <w:t>32.</w:t>
      </w:r>
      <w:r>
        <w:rPr>
          <w:rFonts w:ascii="仿宋" w:eastAsia="仿宋" w:hAnsi="仿宋" w:hint="eastAsia"/>
          <w:b/>
          <w:sz w:val="32"/>
          <w:szCs w:val="32"/>
        </w:rPr>
        <w:t>其他支出（类）</w:t>
      </w:r>
      <w:r>
        <w:rPr>
          <w:rFonts w:ascii="仿宋" w:eastAsia="仿宋" w:hAnsi="仿宋" w:hint="eastAsia"/>
          <w:b/>
          <w:sz w:val="32"/>
          <w:szCs w:val="32"/>
        </w:rPr>
        <w:t>其他支出（款）其他支出（项）</w:t>
      </w:r>
      <w:r>
        <w:rPr>
          <w:rFonts w:ascii="仿宋" w:eastAsia="仿宋" w:hAnsi="仿宋" w:hint="eastAsia"/>
          <w:sz w:val="32"/>
          <w:szCs w:val="32"/>
        </w:rPr>
        <w:t>反映除上述项目以外其他不能划分到具体功能科目的支出项目。</w:t>
      </w:r>
    </w:p>
    <w:p w14:paraId="2FE021A4" w14:textId="77777777" w:rsidR="00445AD5" w:rsidRDefault="00445AD5">
      <w:pPr>
        <w:spacing w:line="540" w:lineRule="exact"/>
        <w:rPr>
          <w:rFonts w:ascii="仿宋" w:eastAsia="仿宋" w:hAnsi="仿宋"/>
          <w:b/>
          <w:sz w:val="36"/>
          <w:szCs w:val="36"/>
          <w:highlight w:val="yellow"/>
        </w:rPr>
      </w:pPr>
    </w:p>
    <w:p w14:paraId="3F373D19" w14:textId="77777777" w:rsidR="00445AD5" w:rsidRDefault="00445AD5">
      <w:pPr>
        <w:spacing w:line="540" w:lineRule="exact"/>
        <w:ind w:firstLineChars="200" w:firstLine="640"/>
        <w:rPr>
          <w:rFonts w:ascii="仿宋" w:eastAsia="仿宋" w:hAnsi="仿宋"/>
          <w:sz w:val="32"/>
          <w:szCs w:val="32"/>
        </w:rPr>
      </w:pPr>
    </w:p>
    <w:p w14:paraId="041D0BB1" w14:textId="77777777" w:rsidR="00445AD5" w:rsidRDefault="00445AD5">
      <w:pPr>
        <w:spacing w:line="540" w:lineRule="exact"/>
        <w:ind w:firstLineChars="200" w:firstLine="640"/>
        <w:rPr>
          <w:rFonts w:ascii="仿宋" w:eastAsia="仿宋" w:hAnsi="仿宋"/>
          <w:sz w:val="32"/>
          <w:szCs w:val="32"/>
        </w:rPr>
      </w:pPr>
    </w:p>
    <w:p w14:paraId="1144414C" w14:textId="77777777" w:rsidR="00445AD5" w:rsidRDefault="00445AD5">
      <w:pPr>
        <w:spacing w:line="540" w:lineRule="exact"/>
        <w:ind w:firstLineChars="200" w:firstLine="643"/>
        <w:rPr>
          <w:rFonts w:ascii="仿宋" w:eastAsia="仿宋" w:hAnsi="仿宋"/>
          <w:b/>
          <w:sz w:val="32"/>
          <w:szCs w:val="32"/>
        </w:rPr>
        <w:sectPr w:rsidR="00445AD5">
          <w:pgSz w:w="11906" w:h="16838"/>
          <w:pgMar w:top="1418" w:right="1701" w:bottom="1418" w:left="1701" w:header="851" w:footer="992" w:gutter="0"/>
          <w:cols w:space="720"/>
          <w:docGrid w:type="lines" w:linePitch="312"/>
        </w:sectPr>
      </w:pPr>
    </w:p>
    <w:p w14:paraId="0855D0E2" w14:textId="56077D49" w:rsidR="00445AD5" w:rsidRPr="00872F9C" w:rsidRDefault="00EA4B12">
      <w:pPr>
        <w:autoSpaceDE w:val="0"/>
        <w:autoSpaceDN w:val="0"/>
        <w:adjustRightInd w:val="0"/>
        <w:spacing w:line="540" w:lineRule="exact"/>
        <w:ind w:firstLineChars="650" w:firstLine="2349"/>
        <w:jc w:val="left"/>
        <w:rPr>
          <w:rFonts w:asciiTheme="minorEastAsia" w:eastAsiaTheme="minorEastAsia" w:hAnsiTheme="minorEastAsia" w:cs="黑体"/>
          <w:b/>
          <w:sz w:val="36"/>
          <w:szCs w:val="36"/>
        </w:rPr>
      </w:pPr>
      <w:r w:rsidRPr="00872F9C">
        <w:rPr>
          <w:rFonts w:asciiTheme="minorEastAsia" w:eastAsiaTheme="minorEastAsia" w:hAnsiTheme="minorEastAsia" w:cs="黑体" w:hint="eastAsia"/>
          <w:b/>
          <w:sz w:val="36"/>
          <w:szCs w:val="36"/>
        </w:rPr>
        <w:lastRenderedPageBreak/>
        <w:t>第四部分</w:t>
      </w:r>
      <w:r w:rsidR="00872F9C">
        <w:rPr>
          <w:rFonts w:asciiTheme="minorEastAsia" w:eastAsiaTheme="minorEastAsia" w:hAnsiTheme="minorEastAsia" w:cs="黑体" w:hint="eastAsia"/>
          <w:b/>
          <w:sz w:val="36"/>
          <w:szCs w:val="36"/>
        </w:rPr>
        <w:t xml:space="preserve">  </w:t>
      </w:r>
      <w:r w:rsidRPr="00872F9C">
        <w:rPr>
          <w:rFonts w:asciiTheme="minorEastAsia" w:eastAsiaTheme="minorEastAsia" w:hAnsiTheme="minorEastAsia" w:cs="黑体" w:hint="eastAsia"/>
          <w:b/>
          <w:sz w:val="36"/>
          <w:szCs w:val="36"/>
        </w:rPr>
        <w:t>2021</w:t>
      </w:r>
      <w:r w:rsidRPr="00872F9C">
        <w:rPr>
          <w:rFonts w:asciiTheme="minorEastAsia" w:eastAsiaTheme="minorEastAsia" w:hAnsiTheme="minorEastAsia" w:cs="黑体" w:hint="eastAsia"/>
          <w:b/>
          <w:sz w:val="36"/>
          <w:szCs w:val="36"/>
        </w:rPr>
        <w:t>年度部门决算表</w:t>
      </w:r>
    </w:p>
    <w:p w14:paraId="0E8CB7A8" w14:textId="77777777" w:rsidR="00445AD5" w:rsidRDefault="00445AD5">
      <w:pPr>
        <w:autoSpaceDE w:val="0"/>
        <w:autoSpaceDN w:val="0"/>
        <w:adjustRightInd w:val="0"/>
        <w:spacing w:line="540" w:lineRule="exact"/>
        <w:ind w:firstLineChars="650" w:firstLine="2349"/>
        <w:jc w:val="left"/>
        <w:rPr>
          <w:rFonts w:ascii="仿宋_GB2312" w:eastAsia="仿宋_GB2312" w:cs="黑体"/>
          <w:b/>
          <w:sz w:val="36"/>
          <w:szCs w:val="36"/>
        </w:rPr>
      </w:pPr>
    </w:p>
    <w:p w14:paraId="37E40C07" w14:textId="6F6A5A21" w:rsidR="00445AD5" w:rsidRPr="00872F9C" w:rsidRDefault="00872F9C">
      <w:pPr>
        <w:autoSpaceDE w:val="0"/>
        <w:autoSpaceDN w:val="0"/>
        <w:adjustRightInd w:val="0"/>
        <w:spacing w:line="540" w:lineRule="exact"/>
        <w:ind w:leftChars="250" w:left="1805" w:hangingChars="400" w:hanging="1280"/>
        <w:jc w:val="left"/>
        <w:rPr>
          <w:rFonts w:ascii="仿宋_GB2312" w:eastAsia="仿宋_GB2312" w:cs="黑体"/>
          <w:sz w:val="32"/>
          <w:szCs w:val="32"/>
        </w:rPr>
      </w:pPr>
      <w:r>
        <w:rPr>
          <w:rFonts w:ascii="仿宋_GB2312" w:eastAsia="仿宋_GB2312" w:cs="黑体" w:hint="eastAsia"/>
          <w:sz w:val="32"/>
          <w:szCs w:val="32"/>
        </w:rPr>
        <w:t>详见：</w:t>
      </w:r>
      <w:r w:rsidR="00EA4B12" w:rsidRPr="00872F9C">
        <w:rPr>
          <w:rFonts w:ascii="仿宋_GB2312" w:eastAsia="仿宋_GB2312" w:cs="黑体" w:hint="eastAsia"/>
          <w:sz w:val="32"/>
          <w:szCs w:val="32"/>
        </w:rPr>
        <w:t>盘锦市商贸物流基地建设服务中心</w:t>
      </w:r>
      <w:r w:rsidR="00EA4B12" w:rsidRPr="00872F9C">
        <w:rPr>
          <w:rFonts w:ascii="仿宋_GB2312" w:eastAsia="仿宋_GB2312" w:cs="黑体" w:hint="eastAsia"/>
          <w:sz w:val="32"/>
          <w:szCs w:val="32"/>
        </w:rPr>
        <w:t>2021</w:t>
      </w:r>
      <w:r w:rsidR="00EA4B12" w:rsidRPr="00872F9C">
        <w:rPr>
          <w:rFonts w:ascii="仿宋_GB2312" w:eastAsia="仿宋_GB2312" w:cs="黑体" w:hint="eastAsia"/>
          <w:sz w:val="32"/>
          <w:szCs w:val="32"/>
        </w:rPr>
        <w:t>年度部门决算公开表</w:t>
      </w:r>
      <w:bookmarkStart w:id="5" w:name="_GoBack"/>
      <w:bookmarkEnd w:id="5"/>
    </w:p>
    <w:sectPr w:rsidR="00445AD5" w:rsidRPr="00872F9C">
      <w:footerReference w:type="default" r:id="rId10"/>
      <w:pgSz w:w="11906" w:h="16838"/>
      <w:pgMar w:top="1701" w:right="1418" w:bottom="170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BF338" w14:textId="77777777" w:rsidR="00EA4B12" w:rsidRDefault="00EA4B12">
      <w:r>
        <w:separator/>
      </w:r>
    </w:p>
  </w:endnote>
  <w:endnote w:type="continuationSeparator" w:id="0">
    <w:p w14:paraId="6DC5DACE" w14:textId="77777777" w:rsidR="00EA4B12" w:rsidRDefault="00EA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CDE2" w14:textId="77777777" w:rsidR="00445AD5" w:rsidRDefault="00EA4B12">
    <w:pPr>
      <w:pStyle w:val="a5"/>
      <w:framePr w:wrap="around" w:vAnchor="text" w:hAnchor="margin" w:xAlign="center" w:y="1"/>
      <w:rPr>
        <w:rStyle w:val="a8"/>
      </w:rPr>
    </w:pPr>
    <w:r>
      <w:fldChar w:fldCharType="begin"/>
    </w:r>
    <w:r>
      <w:rPr>
        <w:rStyle w:val="a8"/>
      </w:rPr>
      <w:instrText xml:space="preserve">PAGE  </w:instrText>
    </w:r>
    <w:r>
      <w:fldChar w:fldCharType="end"/>
    </w:r>
  </w:p>
  <w:p w14:paraId="3FFAD552" w14:textId="77777777" w:rsidR="00445AD5" w:rsidRDefault="00445AD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E61A" w14:textId="3D434936" w:rsidR="00445AD5" w:rsidRDefault="00EA4B12">
    <w:pPr>
      <w:pStyle w:val="a5"/>
      <w:framePr w:wrap="around" w:vAnchor="text" w:hAnchor="margin" w:xAlign="center" w:y="1"/>
      <w:rPr>
        <w:rStyle w:val="a8"/>
      </w:rPr>
    </w:pPr>
    <w:r>
      <w:fldChar w:fldCharType="begin"/>
    </w:r>
    <w:r>
      <w:rPr>
        <w:rStyle w:val="a8"/>
      </w:rPr>
      <w:instrText xml:space="preserve">PAGE  </w:instrText>
    </w:r>
    <w:r>
      <w:fldChar w:fldCharType="separate"/>
    </w:r>
    <w:r w:rsidR="00872F9C">
      <w:rPr>
        <w:rStyle w:val="a8"/>
        <w:noProof/>
      </w:rPr>
      <w:t>33</w:t>
    </w:r>
    <w:r>
      <w:fldChar w:fldCharType="end"/>
    </w:r>
  </w:p>
  <w:p w14:paraId="6961BC01" w14:textId="77777777" w:rsidR="00445AD5" w:rsidRDefault="00445AD5">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0E8" w14:textId="49CDD9EE" w:rsidR="00445AD5" w:rsidRDefault="00EA4B12">
    <w:pPr>
      <w:pStyle w:val="a5"/>
      <w:framePr w:wrap="around" w:vAnchor="text" w:hAnchor="margin" w:xAlign="center" w:y="1"/>
      <w:rPr>
        <w:rStyle w:val="a8"/>
      </w:rPr>
    </w:pPr>
    <w:r>
      <w:fldChar w:fldCharType="begin"/>
    </w:r>
    <w:r>
      <w:rPr>
        <w:rStyle w:val="a8"/>
      </w:rPr>
      <w:instrText xml:space="preserve">PAGE  </w:instrText>
    </w:r>
    <w:r>
      <w:fldChar w:fldCharType="separate"/>
    </w:r>
    <w:r w:rsidR="00872F9C">
      <w:rPr>
        <w:rStyle w:val="a8"/>
        <w:noProof/>
      </w:rPr>
      <w:t>34</w:t>
    </w:r>
    <w:r>
      <w:fldChar w:fldCharType="end"/>
    </w:r>
  </w:p>
  <w:p w14:paraId="7C54538A" w14:textId="77777777" w:rsidR="00445AD5" w:rsidRDefault="00445A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E1DC7" w14:textId="77777777" w:rsidR="00EA4B12" w:rsidRDefault="00EA4B12">
      <w:r>
        <w:separator/>
      </w:r>
    </w:p>
  </w:footnote>
  <w:footnote w:type="continuationSeparator" w:id="0">
    <w:p w14:paraId="3B985689" w14:textId="77777777" w:rsidR="00EA4B12" w:rsidRDefault="00EA4B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228DA9"/>
    <w:multiLevelType w:val="singleLevel"/>
    <w:tmpl w:val="D6228DA9"/>
    <w:lvl w:ilvl="0">
      <w:start w:val="2"/>
      <w:numFmt w:val="chineseCounting"/>
      <w:suff w:val="space"/>
      <w:lvlText w:val="第%1部分"/>
      <w:lvlJc w:val="left"/>
      <w:rPr>
        <w:rFonts w:hint="eastAsia"/>
      </w:rPr>
    </w:lvl>
  </w:abstractNum>
  <w:abstractNum w:abstractNumId="1" w15:restartNumberingAfterBreak="0">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4ZTBlMGZlNmJlOThkYzIxOGViMjlmMjZmYWIxNzgifQ=="/>
  </w:docVars>
  <w:rsids>
    <w:rsidRoot w:val="00BE62AD"/>
    <w:rsid w:val="00032E9E"/>
    <w:rsid w:val="00041540"/>
    <w:rsid w:val="00060115"/>
    <w:rsid w:val="000658A3"/>
    <w:rsid w:val="00072D02"/>
    <w:rsid w:val="000B3DEA"/>
    <w:rsid w:val="000B6122"/>
    <w:rsid w:val="000D0E89"/>
    <w:rsid w:val="000D22BA"/>
    <w:rsid w:val="000D240A"/>
    <w:rsid w:val="000D2D6D"/>
    <w:rsid w:val="000F765E"/>
    <w:rsid w:val="001032C2"/>
    <w:rsid w:val="00127166"/>
    <w:rsid w:val="00154EA5"/>
    <w:rsid w:val="00163B6F"/>
    <w:rsid w:val="001758D9"/>
    <w:rsid w:val="00180B70"/>
    <w:rsid w:val="00197AF9"/>
    <w:rsid w:val="001C1C90"/>
    <w:rsid w:val="001C1CA6"/>
    <w:rsid w:val="001C6690"/>
    <w:rsid w:val="001D2A6F"/>
    <w:rsid w:val="001E08A3"/>
    <w:rsid w:val="001F06E5"/>
    <w:rsid w:val="001F4827"/>
    <w:rsid w:val="001F4D56"/>
    <w:rsid w:val="00207D64"/>
    <w:rsid w:val="0022212D"/>
    <w:rsid w:val="002377E0"/>
    <w:rsid w:val="00282D77"/>
    <w:rsid w:val="00290AFF"/>
    <w:rsid w:val="002B55FD"/>
    <w:rsid w:val="002C4B1E"/>
    <w:rsid w:val="003203A0"/>
    <w:rsid w:val="003203C6"/>
    <w:rsid w:val="00321141"/>
    <w:rsid w:val="00323084"/>
    <w:rsid w:val="003240F6"/>
    <w:rsid w:val="00332D2F"/>
    <w:rsid w:val="00336596"/>
    <w:rsid w:val="0035450D"/>
    <w:rsid w:val="00354967"/>
    <w:rsid w:val="00360D68"/>
    <w:rsid w:val="00367CAA"/>
    <w:rsid w:val="00387D22"/>
    <w:rsid w:val="00393A92"/>
    <w:rsid w:val="003B6717"/>
    <w:rsid w:val="003D1122"/>
    <w:rsid w:val="003F6668"/>
    <w:rsid w:val="003F6BEE"/>
    <w:rsid w:val="004041E3"/>
    <w:rsid w:val="00411F62"/>
    <w:rsid w:val="00434F09"/>
    <w:rsid w:val="00437C71"/>
    <w:rsid w:val="00445AD5"/>
    <w:rsid w:val="00456D37"/>
    <w:rsid w:val="00460C62"/>
    <w:rsid w:val="004732D7"/>
    <w:rsid w:val="004A23C9"/>
    <w:rsid w:val="004B0299"/>
    <w:rsid w:val="004D61EA"/>
    <w:rsid w:val="004F2A87"/>
    <w:rsid w:val="0050710B"/>
    <w:rsid w:val="005116A6"/>
    <w:rsid w:val="00524803"/>
    <w:rsid w:val="00534C2B"/>
    <w:rsid w:val="00564067"/>
    <w:rsid w:val="005948B6"/>
    <w:rsid w:val="005D57A0"/>
    <w:rsid w:val="00604DF5"/>
    <w:rsid w:val="00631CB0"/>
    <w:rsid w:val="00662644"/>
    <w:rsid w:val="006644B5"/>
    <w:rsid w:val="0066716F"/>
    <w:rsid w:val="00671A28"/>
    <w:rsid w:val="00691121"/>
    <w:rsid w:val="00697685"/>
    <w:rsid w:val="006A684B"/>
    <w:rsid w:val="006C40CE"/>
    <w:rsid w:val="006E587F"/>
    <w:rsid w:val="007121E9"/>
    <w:rsid w:val="00726A72"/>
    <w:rsid w:val="00733E6D"/>
    <w:rsid w:val="00750153"/>
    <w:rsid w:val="00780DF3"/>
    <w:rsid w:val="007B04F4"/>
    <w:rsid w:val="007B6B61"/>
    <w:rsid w:val="007C52D7"/>
    <w:rsid w:val="007D2BBC"/>
    <w:rsid w:val="007D6F23"/>
    <w:rsid w:val="007F2DFA"/>
    <w:rsid w:val="007F4AF8"/>
    <w:rsid w:val="008137CD"/>
    <w:rsid w:val="00822085"/>
    <w:rsid w:val="00822199"/>
    <w:rsid w:val="008339AA"/>
    <w:rsid w:val="00872F9C"/>
    <w:rsid w:val="00881DD9"/>
    <w:rsid w:val="00884AC9"/>
    <w:rsid w:val="0089145A"/>
    <w:rsid w:val="00894620"/>
    <w:rsid w:val="008B3CCB"/>
    <w:rsid w:val="008D1604"/>
    <w:rsid w:val="008F7276"/>
    <w:rsid w:val="00913A16"/>
    <w:rsid w:val="00985733"/>
    <w:rsid w:val="009B4D1E"/>
    <w:rsid w:val="009B79E2"/>
    <w:rsid w:val="009C703B"/>
    <w:rsid w:val="009E4E30"/>
    <w:rsid w:val="009E76BC"/>
    <w:rsid w:val="009F0A40"/>
    <w:rsid w:val="009F2380"/>
    <w:rsid w:val="00A0483E"/>
    <w:rsid w:val="00A7262F"/>
    <w:rsid w:val="00A80804"/>
    <w:rsid w:val="00AB4DD1"/>
    <w:rsid w:val="00AF3E3D"/>
    <w:rsid w:val="00AF5725"/>
    <w:rsid w:val="00B13FB0"/>
    <w:rsid w:val="00B515A4"/>
    <w:rsid w:val="00B70A86"/>
    <w:rsid w:val="00B869C4"/>
    <w:rsid w:val="00BB3AF8"/>
    <w:rsid w:val="00BD0675"/>
    <w:rsid w:val="00BD2B23"/>
    <w:rsid w:val="00BE4E88"/>
    <w:rsid w:val="00BE62AD"/>
    <w:rsid w:val="00BF04D3"/>
    <w:rsid w:val="00C0683D"/>
    <w:rsid w:val="00C102DC"/>
    <w:rsid w:val="00C24AD8"/>
    <w:rsid w:val="00C30DAE"/>
    <w:rsid w:val="00C524CB"/>
    <w:rsid w:val="00C52BC7"/>
    <w:rsid w:val="00C63AF4"/>
    <w:rsid w:val="00C9510A"/>
    <w:rsid w:val="00CB5AB6"/>
    <w:rsid w:val="00CD5373"/>
    <w:rsid w:val="00CD6864"/>
    <w:rsid w:val="00CD6878"/>
    <w:rsid w:val="00CD6DCF"/>
    <w:rsid w:val="00CE6EE4"/>
    <w:rsid w:val="00CF12E5"/>
    <w:rsid w:val="00D152C5"/>
    <w:rsid w:val="00D3228A"/>
    <w:rsid w:val="00D60970"/>
    <w:rsid w:val="00D67601"/>
    <w:rsid w:val="00D7682F"/>
    <w:rsid w:val="00D93016"/>
    <w:rsid w:val="00D9740F"/>
    <w:rsid w:val="00DB5F6B"/>
    <w:rsid w:val="00DC6895"/>
    <w:rsid w:val="00DE7633"/>
    <w:rsid w:val="00E029F0"/>
    <w:rsid w:val="00E20F61"/>
    <w:rsid w:val="00E30744"/>
    <w:rsid w:val="00E36863"/>
    <w:rsid w:val="00E51358"/>
    <w:rsid w:val="00E632F0"/>
    <w:rsid w:val="00E93FAF"/>
    <w:rsid w:val="00EA177D"/>
    <w:rsid w:val="00EA4B12"/>
    <w:rsid w:val="00EE1982"/>
    <w:rsid w:val="00F12957"/>
    <w:rsid w:val="00F130D6"/>
    <w:rsid w:val="00F24450"/>
    <w:rsid w:val="00F54C5F"/>
    <w:rsid w:val="00F622B4"/>
    <w:rsid w:val="00F65298"/>
    <w:rsid w:val="00F72460"/>
    <w:rsid w:val="00F77836"/>
    <w:rsid w:val="00F932BE"/>
    <w:rsid w:val="00FB5F7B"/>
    <w:rsid w:val="00FE3E9D"/>
    <w:rsid w:val="02C75003"/>
    <w:rsid w:val="066C23CB"/>
    <w:rsid w:val="07407016"/>
    <w:rsid w:val="088A3942"/>
    <w:rsid w:val="096C2C1D"/>
    <w:rsid w:val="096F3472"/>
    <w:rsid w:val="0BA20273"/>
    <w:rsid w:val="0DB57A75"/>
    <w:rsid w:val="0F937648"/>
    <w:rsid w:val="11CE7718"/>
    <w:rsid w:val="11F149FF"/>
    <w:rsid w:val="12AC17DA"/>
    <w:rsid w:val="13F064CE"/>
    <w:rsid w:val="14780A91"/>
    <w:rsid w:val="15A915E6"/>
    <w:rsid w:val="17F90BDE"/>
    <w:rsid w:val="19FA6C9B"/>
    <w:rsid w:val="1B041CDE"/>
    <w:rsid w:val="1CEB449F"/>
    <w:rsid w:val="1D825E0F"/>
    <w:rsid w:val="1DEF0A8E"/>
    <w:rsid w:val="21774F32"/>
    <w:rsid w:val="24605429"/>
    <w:rsid w:val="24E52DB0"/>
    <w:rsid w:val="27876F3B"/>
    <w:rsid w:val="2A2930B1"/>
    <w:rsid w:val="2F975391"/>
    <w:rsid w:val="31C821FE"/>
    <w:rsid w:val="359D3694"/>
    <w:rsid w:val="36470779"/>
    <w:rsid w:val="38287260"/>
    <w:rsid w:val="3D6A74B5"/>
    <w:rsid w:val="418412E2"/>
    <w:rsid w:val="41C03018"/>
    <w:rsid w:val="43397CB0"/>
    <w:rsid w:val="44985ED4"/>
    <w:rsid w:val="49E33B11"/>
    <w:rsid w:val="4ACF5564"/>
    <w:rsid w:val="4B8F3D00"/>
    <w:rsid w:val="4D6E1B30"/>
    <w:rsid w:val="4F041B97"/>
    <w:rsid w:val="4FDB754F"/>
    <w:rsid w:val="51813663"/>
    <w:rsid w:val="54515AA1"/>
    <w:rsid w:val="55505A3F"/>
    <w:rsid w:val="5AB0711C"/>
    <w:rsid w:val="5C711389"/>
    <w:rsid w:val="5F061713"/>
    <w:rsid w:val="6032320B"/>
    <w:rsid w:val="616624F7"/>
    <w:rsid w:val="61AF2525"/>
    <w:rsid w:val="61E079D7"/>
    <w:rsid w:val="621D774B"/>
    <w:rsid w:val="63644522"/>
    <w:rsid w:val="66A01205"/>
    <w:rsid w:val="68332603"/>
    <w:rsid w:val="698C40C1"/>
    <w:rsid w:val="6D0D0F9D"/>
    <w:rsid w:val="6F297F8F"/>
    <w:rsid w:val="730E7DB0"/>
    <w:rsid w:val="75A81F82"/>
    <w:rsid w:val="789917D0"/>
    <w:rsid w:val="7CDA7356"/>
    <w:rsid w:val="7D742106"/>
    <w:rsid w:val="7F96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B9266"/>
  <w15:docId w15:val="{D9396024-A1E2-4748-B514-172E2E7C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a4">
    <w:name w:val="批注框文本 字符"/>
    <w:link w:val="a3"/>
    <w:qFormat/>
    <w:rPr>
      <w:kern w:val="2"/>
      <w:sz w:val="18"/>
      <w:szCs w:val="18"/>
    </w:rPr>
  </w:style>
  <w:style w:type="character" w:customStyle="1" w:styleId="a7">
    <w:name w:val="页眉 字符"/>
    <w:link w:val="a6"/>
    <w:rPr>
      <w:kern w:val="2"/>
      <w:sz w:val="18"/>
      <w:szCs w:val="18"/>
    </w:rPr>
  </w:style>
  <w:style w:type="paragraph" w:customStyle="1" w:styleId="Char">
    <w:name w:val="Char"/>
    <w:basedOn w:val="a"/>
    <w:qFormat/>
    <w:pPr>
      <w:widowControl/>
      <w:jc w:val="left"/>
    </w:pPr>
    <w:rPr>
      <w:rFonts w:ascii="Verdana" w:eastAsia="仿宋_GB2312" w:hAnsi="Verdana"/>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7C30095-FBC4-46BE-8532-1273E807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1975</Words>
  <Characters>11258</Characters>
  <Application>Microsoft Office Word</Application>
  <DocSecurity>0</DocSecurity>
  <Lines>93</Lines>
  <Paragraphs>26</Paragraphs>
  <ScaleCrop>false</ScaleCrop>
  <Company>Microsoft</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巴丽</cp:lastModifiedBy>
  <cp:revision>3</cp:revision>
  <cp:lastPrinted>2022-09-08T01:07:00Z</cp:lastPrinted>
  <dcterms:created xsi:type="dcterms:W3CDTF">2025-04-09T02:03:00Z</dcterms:created>
  <dcterms:modified xsi:type="dcterms:W3CDTF">2025-04-09T02:03:00Z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C033D778A7114C8BB25F86FBF0ABB858_13</vt:lpwstr>
  </property>
  <property fmtid="{D5CDD505-2E9C-101B-9397-08002B2CF9AE}" pid="4" name="KSOTemplateDocerSaveRecord">
    <vt:lpwstr>eyJoZGlkIjoiM2NlZDFjNWVmZTU0MWQxOTMxYjhjMzY0OGFlYWUzMTMiLCJ1c2VySWQiOiIzMDkzNDUxNzIifQ==</vt:lpwstr>
  </property>
</Properties>
</file>