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7" w:lineRule="auto"/>
        <w:rPr>
          <w:rFonts w:ascii="Arial"/>
          <w:sz w:val="21"/>
        </w:rPr>
      </w:pPr>
    </w:p>
    <w:p>
      <w:pPr>
        <w:spacing w:line="328"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140" w:line="225" w:lineRule="auto"/>
        <w:ind w:firstLine="988" w:firstLineChars="200"/>
        <w:jc w:val="both"/>
        <w:rPr>
          <w:rFonts w:hint="eastAsia" w:ascii="宋体" w:hAnsi="宋体" w:eastAsia="宋体" w:cs="宋体"/>
          <w:b/>
          <w:bCs/>
          <w:spacing w:val="7"/>
          <w:sz w:val="48"/>
          <w:szCs w:val="48"/>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盘锦市双台子区退役军人</w:t>
      </w:r>
    </w:p>
    <w:p>
      <w:pPr>
        <w:spacing w:before="140" w:line="225" w:lineRule="auto"/>
        <w:ind w:firstLine="1488" w:firstLineChars="300"/>
        <w:jc w:val="both"/>
        <w:rPr>
          <w:rFonts w:hint="eastAsia" w:ascii="宋体" w:hAnsi="宋体" w:eastAsia="宋体" w:cs="宋体"/>
          <w:sz w:val="40"/>
          <w:szCs w:val="40"/>
          <w:lang w:eastAsia="zh-CN"/>
        </w:rPr>
      </w:pPr>
      <w:r>
        <w:rPr>
          <w:rFonts w:hint="eastAsia" w:ascii="宋体" w:hAnsi="宋体" w:eastAsia="宋体" w:cs="宋体"/>
          <w:b/>
          <w:bCs/>
          <w:spacing w:val="7"/>
          <w:sz w:val="48"/>
          <w:szCs w:val="48"/>
          <w:lang w:eastAsia="zh-CN"/>
        </w:rPr>
        <w:t>事务局本级部门</w:t>
      </w:r>
      <w:r>
        <w:rPr>
          <w:rFonts w:ascii="宋体" w:hAnsi="宋体" w:eastAsia="宋体" w:cs="宋体"/>
          <w:b/>
          <w:bCs/>
          <w:spacing w:val="7"/>
          <w:sz w:val="48"/>
          <w:szCs w:val="48"/>
        </w:rPr>
        <w:t>预</w:t>
      </w:r>
      <w:bookmarkStart w:id="0" w:name="_GoBack"/>
      <w:bookmarkEnd w:id="0"/>
      <w:r>
        <w:rPr>
          <w:rFonts w:ascii="宋体" w:hAnsi="宋体" w:eastAsia="宋体" w:cs="宋体"/>
          <w:b/>
          <w:bCs/>
          <w:spacing w:val="7"/>
          <w:sz w:val="48"/>
          <w:szCs w:val="48"/>
        </w:rPr>
        <w:t>算</w:t>
      </w:r>
      <w:r>
        <w:rPr>
          <w:rFonts w:hint="eastAsia" w:ascii="宋体" w:hAnsi="宋体" w:eastAsia="宋体" w:cs="宋体"/>
          <w:b/>
          <w:bCs/>
          <w:spacing w:val="7"/>
          <w:sz w:val="48"/>
          <w:szCs w:val="48"/>
          <w:lang w:eastAsia="zh-CN"/>
        </w:rPr>
        <w:t>公开表</w:t>
      </w:r>
    </w:p>
    <w:p>
      <w:pPr>
        <w:spacing w:line="225" w:lineRule="auto"/>
        <w:jc w:val="center"/>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盘锦市双台子区退役军人事务局</w:t>
      </w:r>
      <w:r>
        <w:rPr>
          <w:rFonts w:ascii="黑体" w:hAnsi="黑体" w:eastAsia="黑体" w:cs="黑体"/>
          <w:spacing w:val="10"/>
          <w:sz w:val="31"/>
          <w:szCs w:val="31"/>
        </w:rPr>
        <w:t>概况</w:t>
      </w:r>
    </w:p>
    <w:p>
      <w:pPr>
        <w:pStyle w:val="2"/>
        <w:spacing w:before="234" w:line="219" w:lineRule="auto"/>
        <w:ind w:left="583"/>
        <w:rPr>
          <w:spacing w:val="5"/>
          <w:lang w:val="en-US" w:eastAsia="en-US"/>
        </w:rPr>
      </w:pPr>
      <w:r>
        <w:rPr>
          <w:spacing w:val="5"/>
          <w:lang w:val="en-US" w:eastAsia="en-US"/>
        </w:rPr>
        <w:t>一、部门职责</w:t>
      </w:r>
    </w:p>
    <w:p>
      <w:pPr>
        <w:pStyle w:val="2"/>
        <w:spacing w:before="234" w:line="219" w:lineRule="auto"/>
        <w:ind w:left="583"/>
        <w:rPr>
          <w:spacing w:val="5"/>
        </w:rPr>
      </w:pPr>
      <w:r>
        <w:rPr>
          <w:spacing w:val="5"/>
        </w:rPr>
        <w:t>二、机构设置</w:t>
      </w:r>
    </w:p>
    <w:p>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pacing w:val="11"/>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盘锦市双台子区退役军人事务局</w:t>
            </w:r>
            <w:r>
              <w:rPr>
                <w:rFonts w:ascii="黑体" w:hAnsi="黑体" w:eastAsia="黑体" w:cs="黑体"/>
                <w:spacing w:val="11"/>
                <w:sz w:val="31"/>
                <w:szCs w:val="31"/>
              </w:rPr>
              <w:t>预算</w:t>
            </w:r>
          </w:p>
          <w:p>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ascii="黑体" w:hAnsi="黑体" w:eastAsia="黑体" w:cs="黑体"/>
                <w:spacing w:val="11"/>
                <w:sz w:val="31"/>
                <w:szCs w:val="31"/>
              </w:rPr>
              <w:t>情况说明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pacing w:val="11"/>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盘锦市双台子区退役军人事务局</w:t>
            </w:r>
            <w:r>
              <w:rPr>
                <w:rFonts w:ascii="黑体" w:hAnsi="黑体" w:eastAsia="黑体" w:cs="黑体"/>
                <w:spacing w:val="11"/>
                <w:sz w:val="31"/>
                <w:szCs w:val="31"/>
              </w:rPr>
              <w:t>预算</w:t>
            </w:r>
          </w:p>
          <w:p>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pPr>
        <w:pStyle w:val="2"/>
        <w:spacing w:before="234" w:line="219" w:lineRule="auto"/>
        <w:ind w:left="583"/>
        <w:rPr>
          <w:spacing w:val="5"/>
          <w:lang w:val="en-US" w:eastAsia="en-US"/>
        </w:rPr>
      </w:pPr>
      <w:r>
        <w:rPr>
          <w:spacing w:val="5"/>
          <w:lang w:val="en-US" w:eastAsia="en-US"/>
        </w:rPr>
        <w:t>一、收支预算总表</w:t>
      </w:r>
    </w:p>
    <w:p>
      <w:pPr>
        <w:pStyle w:val="2"/>
        <w:spacing w:before="234" w:line="219" w:lineRule="auto"/>
        <w:ind w:left="583"/>
        <w:rPr>
          <w:spacing w:val="5"/>
          <w:lang w:val="en-US" w:eastAsia="en-US"/>
        </w:rPr>
      </w:pPr>
      <w:r>
        <w:rPr>
          <w:spacing w:val="5"/>
          <w:lang w:val="en-US" w:eastAsia="en-US"/>
        </w:rPr>
        <w:t>二、收入预算总表</w:t>
      </w:r>
    </w:p>
    <w:p>
      <w:pPr>
        <w:pStyle w:val="2"/>
        <w:spacing w:before="234" w:line="219" w:lineRule="auto"/>
        <w:ind w:left="583"/>
        <w:rPr>
          <w:spacing w:val="5"/>
          <w:lang w:val="en-US" w:eastAsia="en-US"/>
        </w:rPr>
      </w:pPr>
      <w:r>
        <w:rPr>
          <w:spacing w:val="5"/>
          <w:lang w:val="en-US" w:eastAsia="en-US"/>
        </w:rPr>
        <w:t>三、支出预算总表</w:t>
      </w:r>
    </w:p>
    <w:p>
      <w:pPr>
        <w:pStyle w:val="2"/>
        <w:spacing w:before="234" w:line="219" w:lineRule="auto"/>
        <w:ind w:left="583"/>
        <w:rPr>
          <w:spacing w:val="5"/>
          <w:lang w:val="en-US" w:eastAsia="en-US"/>
        </w:rPr>
      </w:pPr>
      <w:r>
        <w:rPr>
          <w:spacing w:val="5"/>
          <w:lang w:val="en-US" w:eastAsia="en-US"/>
        </w:rPr>
        <w:t>四、财政拨款收支预算总表</w:t>
      </w:r>
    </w:p>
    <w:p>
      <w:pPr>
        <w:pStyle w:val="2"/>
        <w:spacing w:before="234" w:line="219" w:lineRule="auto"/>
        <w:ind w:left="583"/>
        <w:rPr>
          <w:spacing w:val="5"/>
          <w:lang w:val="en-US" w:eastAsia="en-US"/>
        </w:rPr>
      </w:pPr>
      <w:r>
        <w:rPr>
          <w:spacing w:val="5"/>
          <w:lang w:val="en-US" w:eastAsia="en-US"/>
        </w:rPr>
        <w:t>五、一般公共预算支出表</w:t>
      </w:r>
    </w:p>
    <w:p>
      <w:pPr>
        <w:pStyle w:val="2"/>
        <w:spacing w:before="234" w:line="219" w:lineRule="auto"/>
        <w:ind w:left="583"/>
        <w:rPr>
          <w:spacing w:val="5"/>
          <w:lang w:val="en-US" w:eastAsia="en-US"/>
        </w:rPr>
      </w:pPr>
      <w:r>
        <w:rPr>
          <w:spacing w:val="5"/>
          <w:lang w:val="en-US" w:eastAsia="en-US"/>
        </w:rPr>
        <w:t>六、一般公共预算基本支出表</w:t>
      </w:r>
    </w:p>
    <w:p>
      <w:pPr>
        <w:pStyle w:val="2"/>
        <w:spacing w:before="234" w:line="219" w:lineRule="auto"/>
        <w:ind w:left="583"/>
        <w:rPr>
          <w:spacing w:val="5"/>
          <w:lang w:val="en-US" w:eastAsia="en-US"/>
        </w:rPr>
      </w:pPr>
      <w:r>
        <w:rPr>
          <w:spacing w:val="5"/>
          <w:lang w:val="en-US" w:eastAsia="en-US"/>
        </w:rPr>
        <w:t>七、财政拨款预算“三公”经费支出表</w:t>
      </w:r>
    </w:p>
    <w:p>
      <w:pPr>
        <w:pStyle w:val="2"/>
        <w:spacing w:before="234" w:line="219" w:lineRule="auto"/>
        <w:ind w:left="583"/>
        <w:rPr>
          <w:spacing w:val="5"/>
          <w:lang w:val="en-US" w:eastAsia="en-US"/>
        </w:rPr>
      </w:pPr>
      <w:r>
        <w:rPr>
          <w:spacing w:val="5"/>
          <w:lang w:val="en-US" w:eastAsia="en-US"/>
        </w:rPr>
        <w:t>八、政府性基金预算支出表</w:t>
      </w:r>
    </w:p>
    <w:p>
      <w:pPr>
        <w:pStyle w:val="2"/>
        <w:spacing w:before="234" w:line="219" w:lineRule="auto"/>
        <w:ind w:left="583"/>
        <w:rPr>
          <w:spacing w:val="5"/>
          <w:lang w:val="en-US" w:eastAsia="en-US"/>
        </w:rPr>
      </w:pPr>
      <w:r>
        <w:rPr>
          <w:spacing w:val="5"/>
          <w:lang w:val="en-US" w:eastAsia="en-US"/>
        </w:rPr>
        <w:t>九、项目支出预算表</w:t>
      </w:r>
    </w:p>
    <w:p>
      <w:pPr>
        <w:pStyle w:val="2"/>
        <w:spacing w:before="234" w:line="219" w:lineRule="auto"/>
        <w:ind w:left="583"/>
        <w:rPr>
          <w:spacing w:val="5"/>
          <w:lang w:val="en-US" w:eastAsia="en-US"/>
        </w:rPr>
      </w:pPr>
      <w:r>
        <w:rPr>
          <w:spacing w:val="5"/>
          <w:lang w:val="en-US" w:eastAsia="en-US"/>
        </w:rPr>
        <w:t>十、支出功能分类预算表</w:t>
      </w:r>
    </w:p>
    <w:p>
      <w:pPr>
        <w:pStyle w:val="2"/>
        <w:spacing w:before="234" w:line="219" w:lineRule="auto"/>
        <w:ind w:left="583"/>
        <w:rPr>
          <w:spacing w:val="5"/>
          <w:lang w:val="en-US" w:eastAsia="en-US"/>
        </w:rPr>
      </w:pPr>
      <w:r>
        <w:rPr>
          <w:spacing w:val="5"/>
          <w:lang w:val="en-US" w:eastAsia="en-US"/>
        </w:rPr>
        <w:t>十一、支出经济分类预算表（政府预算）</w:t>
      </w:r>
    </w:p>
    <w:p>
      <w:pPr>
        <w:pStyle w:val="2"/>
        <w:spacing w:before="234" w:line="219" w:lineRule="auto"/>
        <w:ind w:left="583"/>
        <w:rPr>
          <w:spacing w:val="5"/>
          <w:lang w:val="en-US" w:eastAsia="en-US"/>
        </w:rPr>
      </w:pPr>
      <w:r>
        <w:rPr>
          <w:spacing w:val="5"/>
          <w:lang w:val="en-US" w:eastAsia="en-US"/>
        </w:rPr>
        <w:t>十二、支出经济分类预算表（部门预算）</w:t>
      </w:r>
    </w:p>
    <w:p>
      <w:pPr>
        <w:pStyle w:val="2"/>
        <w:spacing w:before="234" w:line="219" w:lineRule="auto"/>
        <w:ind w:left="583"/>
        <w:rPr>
          <w:spacing w:val="5"/>
          <w:lang w:val="en-US" w:eastAsia="en-US"/>
        </w:rPr>
      </w:pPr>
      <w:r>
        <w:rPr>
          <w:spacing w:val="5"/>
          <w:lang w:val="en-US" w:eastAsia="en-US"/>
        </w:rPr>
        <w:t>十三、债务支出预算表</w:t>
      </w:r>
    </w:p>
    <w:p>
      <w:pPr>
        <w:pStyle w:val="2"/>
        <w:spacing w:before="234" w:line="219" w:lineRule="auto"/>
        <w:ind w:left="583"/>
        <w:rPr>
          <w:spacing w:val="5"/>
          <w:lang w:val="en-US" w:eastAsia="en-US"/>
        </w:rPr>
      </w:pPr>
      <w:r>
        <w:rPr>
          <w:spacing w:val="5"/>
          <w:lang w:val="en-US" w:eastAsia="en-US"/>
        </w:rPr>
        <w:t>十四、政府采购支出预算表</w:t>
      </w:r>
    </w:p>
    <w:p>
      <w:pPr>
        <w:pStyle w:val="2"/>
        <w:spacing w:before="234" w:line="219" w:lineRule="auto"/>
        <w:ind w:left="583"/>
        <w:rPr>
          <w:spacing w:val="5"/>
          <w:lang w:val="en-US" w:eastAsia="en-US"/>
        </w:rPr>
      </w:pPr>
      <w:r>
        <w:rPr>
          <w:spacing w:val="5"/>
          <w:lang w:val="en-US" w:eastAsia="en-US"/>
        </w:rPr>
        <w:t>十五、政府购买服务支出预算表</w:t>
      </w:r>
    </w:p>
    <w:p>
      <w:pPr>
        <w:pStyle w:val="2"/>
        <w:spacing w:before="234" w:line="219" w:lineRule="auto"/>
        <w:ind w:left="583"/>
        <w:rPr>
          <w:spacing w:val="5"/>
          <w:lang w:val="en-US" w:eastAsia="en-US"/>
        </w:rPr>
      </w:pPr>
      <w:r>
        <w:rPr>
          <w:spacing w:val="5"/>
          <w:lang w:val="en-US" w:eastAsia="en-US"/>
        </w:rPr>
        <w:t>十六、部门（单位）整体绩效目标表</w:t>
      </w:r>
    </w:p>
    <w:p>
      <w:pPr>
        <w:pStyle w:val="2"/>
        <w:spacing w:before="234" w:line="219" w:lineRule="auto"/>
        <w:ind w:left="583"/>
        <w:rPr>
          <w:spacing w:val="5"/>
          <w:lang w:val="en-US" w:eastAsia="en-US"/>
        </w:rPr>
      </w:pPr>
      <w:r>
        <w:rPr>
          <w:spacing w:val="5"/>
          <w:lang w:val="en-US" w:eastAsia="en-US"/>
        </w:rPr>
        <w:t>十七、部门预算项目（政策）绩效目标表</w:t>
      </w:r>
    </w:p>
    <w:p>
      <w:pPr>
        <w:pStyle w:val="2"/>
        <w:spacing w:before="234" w:line="219" w:lineRule="auto"/>
        <w:ind w:left="583"/>
      </w:pPr>
      <w:r>
        <w:rPr>
          <w:spacing w:val="5"/>
          <w:lang w:val="en-US" w:eastAsia="en-US"/>
        </w:rPr>
        <w:t>十八、部门管理专项资金预算表</w:t>
      </w:r>
    </w:p>
    <w:p>
      <w:pPr>
        <w:spacing w:line="220" w:lineRule="auto"/>
        <w:sectPr>
          <w:footerReference r:id="rId6" w:type="default"/>
          <w:pgSz w:w="11905" w:h="16840"/>
          <w:pgMar w:top="1431" w:right="1785" w:bottom="1156" w:left="1785" w:header="0" w:footer="995" w:gutter="0"/>
          <w:cols w:space="720" w:num="1"/>
        </w:sectPr>
      </w:pPr>
    </w:p>
    <w:p>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pPr>
        <w:spacing w:line="301" w:lineRule="auto"/>
        <w:rPr>
          <w:rFonts w:ascii="Arial"/>
          <w:sz w:val="21"/>
        </w:rPr>
      </w:pPr>
    </w:p>
    <w:p>
      <w:pPr>
        <w:spacing w:line="301" w:lineRule="auto"/>
        <w:rPr>
          <w:rFonts w:ascii="Arial"/>
          <w:sz w:val="21"/>
        </w:rPr>
      </w:pPr>
    </w:p>
    <w:p>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pPr>
        <w:pStyle w:val="2"/>
        <w:spacing w:before="44" w:line="222" w:lineRule="auto"/>
        <w:ind w:left="1324"/>
        <w:sectPr>
          <w:footerReference r:id="rId7" w:type="default"/>
          <w:pgSz w:w="11905" w:h="16840"/>
          <w:pgMar w:top="1431" w:right="1785" w:bottom="1156" w:left="1785" w:header="0" w:footer="995" w:gutter="0"/>
          <w:cols w:space="720" w:num="1"/>
        </w:sectPr>
      </w:pPr>
    </w:p>
    <w:p>
      <w:pPr>
        <w:spacing w:line="240" w:lineRule="auto"/>
        <w:ind w:left="0"/>
        <w:jc w:val="center"/>
        <w:outlineLvl w:val="3"/>
        <w:rPr>
          <w:rFonts w:hint="eastAsia" w:ascii="宋体" w:hAnsi="宋体" w:eastAsia="宋体" w:cs="宋体"/>
          <w:b/>
          <w:bCs/>
          <w:spacing w:val="-1"/>
          <w:sz w:val="36"/>
          <w:szCs w:val="36"/>
          <w:lang w:eastAsia="zh-CN"/>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盘锦市双台子区退役军人事务局本级部门</w:t>
      </w:r>
    </w:p>
    <w:p>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概况</w:t>
      </w:r>
    </w:p>
    <w:p>
      <w:pPr>
        <w:spacing w:line="311" w:lineRule="auto"/>
        <w:rPr>
          <w:rFonts w:ascii="Arial"/>
          <w:sz w:val="21"/>
        </w:rPr>
      </w:pPr>
    </w:p>
    <w:p>
      <w:pPr>
        <w:spacing w:line="311" w:lineRule="auto"/>
        <w:rPr>
          <w:rFonts w:ascii="Arial"/>
          <w:sz w:val="21"/>
        </w:rPr>
      </w:pPr>
    </w:p>
    <w:p>
      <w:pPr>
        <w:numPr>
          <w:ilvl w:val="0"/>
          <w:numId w:val="1"/>
        </w:numPr>
        <w:spacing w:before="100" w:line="227" w:lineRule="auto"/>
        <w:ind w:left="676"/>
        <w:outlineLvl w:val="4"/>
        <w:rPr>
          <w:rFonts w:ascii="黑体" w:hAnsi="黑体" w:eastAsia="黑体" w:cs="黑体"/>
          <w:spacing w:val="6"/>
          <w:sz w:val="31"/>
          <w:szCs w:val="31"/>
        </w:rPr>
      </w:pPr>
      <w:r>
        <w:rPr>
          <w:rFonts w:ascii="黑体" w:hAnsi="黑体" w:eastAsia="黑体" w:cs="黑体"/>
          <w:spacing w:val="6"/>
          <w:sz w:val="31"/>
          <w:szCs w:val="31"/>
        </w:rPr>
        <w:t>部门职责</w:t>
      </w:r>
    </w:p>
    <w:p>
      <w:pPr>
        <w:spacing w:line="540" w:lineRule="exact"/>
        <w:ind w:left="640"/>
        <w:jc w:val="left"/>
        <w:rPr>
          <w:rFonts w:ascii="仿宋" w:hAnsi="仿宋" w:eastAsia="仿宋" w:cs="等线"/>
          <w:sz w:val="32"/>
          <w:szCs w:val="32"/>
        </w:rPr>
      </w:pPr>
      <w:r>
        <w:rPr>
          <w:rFonts w:hint="eastAsia" w:ascii="仿宋" w:hAnsi="仿宋" w:eastAsia="仿宋" w:cs="仿宋"/>
          <w:sz w:val="32"/>
          <w:szCs w:val="32"/>
        </w:rPr>
        <w:t>区退役军人事务局</w:t>
      </w:r>
      <w:r>
        <w:rPr>
          <w:rFonts w:hint="eastAsia" w:ascii="仿宋" w:hAnsi="仿宋" w:eastAsia="仿宋" w:cs="仿宋"/>
          <w:sz w:val="32"/>
          <w:szCs w:val="32"/>
          <w:lang w:eastAsia="zh-CN"/>
        </w:rPr>
        <w:t>组建于</w:t>
      </w:r>
      <w:r>
        <w:rPr>
          <w:rFonts w:hint="eastAsia" w:ascii="仿宋" w:hAnsi="仿宋" w:eastAsia="仿宋" w:cs="仿宋"/>
          <w:sz w:val="32"/>
          <w:szCs w:val="32"/>
        </w:rPr>
        <w:t>2019年2月20日,成立综合办公室（含财务室）、双拥工作</w:t>
      </w:r>
      <w:r>
        <w:rPr>
          <w:rFonts w:hint="eastAsia" w:ascii="仿宋" w:hAnsi="仿宋" w:eastAsia="仿宋" w:cs="仿宋"/>
          <w:sz w:val="32"/>
          <w:szCs w:val="32"/>
          <w:lang w:eastAsia="zh-CN"/>
        </w:rPr>
        <w:t>办公室</w:t>
      </w:r>
      <w:r>
        <w:rPr>
          <w:rFonts w:hint="eastAsia" w:ascii="仿宋" w:hAnsi="仿宋" w:eastAsia="仿宋" w:cs="仿宋"/>
          <w:sz w:val="32"/>
          <w:szCs w:val="32"/>
        </w:rPr>
        <w:t>、安置</w:t>
      </w:r>
      <w:r>
        <w:rPr>
          <w:rFonts w:hint="eastAsia" w:ascii="仿宋" w:hAnsi="仿宋" w:eastAsia="仿宋" w:cs="仿宋"/>
          <w:sz w:val="32"/>
          <w:szCs w:val="32"/>
          <w:lang w:eastAsia="zh-CN"/>
        </w:rPr>
        <w:t>移交办公室，</w:t>
      </w:r>
      <w:r>
        <w:rPr>
          <w:rFonts w:hint="eastAsia" w:ascii="仿宋" w:hAnsi="仿宋" w:eastAsia="仿宋" w:cs="仿宋"/>
          <w:sz w:val="32"/>
          <w:szCs w:val="32"/>
        </w:rPr>
        <w:t>3个业务</w:t>
      </w:r>
      <w:r>
        <w:rPr>
          <w:rFonts w:hint="eastAsia" w:ascii="仿宋" w:hAnsi="仿宋" w:eastAsia="仿宋" w:cs="仿宋"/>
          <w:sz w:val="32"/>
          <w:szCs w:val="32"/>
          <w:lang w:eastAsia="zh-CN"/>
        </w:rPr>
        <w:t>办公室</w:t>
      </w:r>
      <w:r>
        <w:rPr>
          <w:rFonts w:hint="eastAsia" w:ascii="仿宋" w:hAnsi="仿宋" w:eastAsia="仿宋" w:cs="仿宋"/>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（一）组织实施我区关于退役军人思想政治、管理保障和安置优抚等工作的政策措施，组织起草相关的规范性文件，褒扬彰显退役军人为党、国家和人民牺牲奉献的精神风范和价值导向。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（二）负责军队转业干部、复员干部、离休退休干部、退役士兵和无军籍退休退职职工的移交安置工作和自主择业、就业退役军人服务管理工作。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（三）组织指导退役军人教育培训工作，协调扶持退役军人和随军随调家属就业创业。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（四）贯彻落实国家、省、市关于退役军人特殊保障政策，会同有关部门制定我区落实措施办法并组织实施。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（五）组织协调落实移交地方的离休退休军人，符合条件的其他退役军人和无军籍退休退职职工的住房保障工作，以及退役军人医疗保障、社会保险等待遇保障工作。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（六）组织指导伤病残退役军人服务管理和抚恤工作，贯彻落实退役军人医疗、疗养、养老等机构的规划政策并组织实施。承担不适宜继续服役的伤病残军人相关工作。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（七）负责现役军人、退役军人、军队文职人员和军属优待、抚恤等工作，落实国家关于国民党抗战老兵等有关人员优待政策。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负责烈士及退役军人荣誉奖励、军人公墓管理维护、纪念活动等工作，依法承担英雄烈士保护相关工作，审核拟列入全区重点保护单位的烈士纪念建筑物名录，承办烈士纪念设施保护事宜，总结表彰和宣扬退役军人、退役军人工作单位和个人先进典型事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（九）指导并监督检查退役军人相关法律法规和政策措施的落实，组织开展退役军人权益维护和有关人员的帮扶援助工作。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（十）组织指导全区拥军优属工作。承担区双拥工作领导小组和区军队转业干部安置工作领导小组的日常工作。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（十一）负责机关财务、安全、人才队伍建设与管理等工作。</w:t>
      </w:r>
    </w:p>
    <w:p>
      <w:pPr>
        <w:ind w:firstLine="640" w:firstLineChars="200"/>
        <w:rPr>
          <w:rFonts w:ascii="Times New Roman" w:hAnsi="Times New Roman" w:eastAsia="Times New Roman" w:cs="Times New Roman"/>
          <w:sz w:val="31"/>
          <w:szCs w:val="31"/>
        </w:rPr>
      </w:pPr>
      <w:r>
        <w:rPr>
          <w:rFonts w:hint="eastAsia" w:ascii="仿宋_GB2312" w:hAnsi="仿宋_GB2312" w:eastAsia="仿宋_GB2312" w:cs="仿宋_GB2312"/>
          <w:sz w:val="32"/>
          <w:szCs w:val="32"/>
        </w:rPr>
        <w:t>（十二）完成区委、区政府交办的其他任务。</w:t>
      </w:r>
    </w:p>
    <w:p>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pPr>
        <w:pStyle w:val="2"/>
        <w:spacing w:before="179" w:line="317" w:lineRule="auto"/>
        <w:ind w:left="338" w:leftChars="161" w:right="301" w:firstLine="685" w:firstLineChars="208"/>
        <w:rPr>
          <w:rFonts w:hint="eastAsia" w:ascii="黑体" w:hAnsi="黑体" w:eastAsia="黑体" w:cs="黑体"/>
          <w:spacing w:val="10"/>
          <w:sz w:val="31"/>
          <w:szCs w:val="31"/>
          <w:lang w:eastAsia="zh-CN"/>
        </w:rPr>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盘锦市双台子区退役军人事务局本级</w:t>
      </w:r>
    </w:p>
    <w:p>
      <w:pPr>
        <w:pStyle w:val="2"/>
        <w:spacing w:before="179" w:line="317" w:lineRule="auto"/>
        <w:ind w:right="301" w:firstLine="330" w:firstLineChars="100"/>
      </w:pPr>
      <w:r>
        <w:rPr>
          <w:rFonts w:hint="eastAsia" w:ascii="黑体" w:hAnsi="黑体" w:eastAsia="黑体" w:cs="黑体"/>
          <w:spacing w:val="10"/>
          <w:sz w:val="31"/>
          <w:szCs w:val="31"/>
          <w:lang w:val="en-US" w:eastAsia="zh-CN"/>
        </w:rPr>
        <w:t>部门</w:t>
      </w:r>
      <w:r>
        <w:rPr>
          <w:b/>
          <w:bCs/>
          <w:spacing w:val="9"/>
        </w:rPr>
        <w:t>预算编制范围的二级预算</w:t>
      </w:r>
      <w:r>
        <w:rPr>
          <w:b/>
          <w:bCs/>
          <w:spacing w:val="-11"/>
        </w:rPr>
        <w:t>单位包括：</w:t>
      </w:r>
    </w:p>
    <w:p>
      <w:pPr>
        <w:pStyle w:val="2"/>
        <w:spacing w:before="194" w:line="295" w:lineRule="auto"/>
        <w:ind w:left="27" w:firstLine="636"/>
        <w:sectPr>
          <w:footerReference r:id="rId8" w:type="default"/>
          <w:pgSz w:w="11905" w:h="16840"/>
          <w:pgMar w:top="1431" w:right="1702" w:bottom="1153" w:left="1785" w:header="0" w:footer="995" w:gutter="0"/>
          <w:cols w:space="720" w:num="1"/>
        </w:sectPr>
      </w:pPr>
      <w:r>
        <w:rPr>
          <w:spacing w:val="8"/>
        </w:rPr>
        <w:t>1.</w:t>
      </w:r>
      <w:r>
        <w:rPr>
          <w:rFonts w:hint="eastAsia"/>
          <w:spacing w:val="8"/>
          <w:lang w:eastAsia="zh-CN"/>
        </w:rPr>
        <w:t>盘锦市双台子区退役军人事务服务中心</w:t>
      </w:r>
    </w:p>
    <w:p>
      <w:pPr>
        <w:spacing w:line="240" w:lineRule="auto"/>
        <w:ind w:left="2516" w:hanging="2516" w:hangingChars="70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盘锦市双台子区退役军人事务局本级部门</w:t>
      </w:r>
      <w:r>
        <w:rPr>
          <w:rFonts w:ascii="宋体" w:hAnsi="宋体" w:eastAsia="宋体" w:cs="宋体"/>
          <w:b/>
          <w:bCs/>
          <w:spacing w:val="-1"/>
          <w:sz w:val="36"/>
          <w:szCs w:val="36"/>
        </w:rPr>
        <w:t>预算情况说明</w:t>
      </w:r>
    </w:p>
    <w:p>
      <w:pPr>
        <w:spacing w:line="310" w:lineRule="auto"/>
        <w:rPr>
          <w:rFonts w:ascii="Arial"/>
          <w:sz w:val="21"/>
        </w:rPr>
      </w:pPr>
    </w:p>
    <w:p>
      <w:pPr>
        <w:spacing w:line="311" w:lineRule="auto"/>
        <w:rPr>
          <w:rFonts w:ascii="Arial"/>
          <w:sz w:val="21"/>
        </w:rPr>
      </w:pPr>
    </w:p>
    <w:p>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730.84</w:t>
      </w:r>
      <w:r>
        <w:rPr>
          <w:rFonts w:ascii="楷体" w:hAnsi="楷体" w:eastAsia="楷体" w:cs="楷体"/>
          <w:b/>
          <w:bCs/>
          <w:spacing w:val="-1"/>
        </w:rPr>
        <w:t>万元，</w:t>
      </w:r>
      <w:r>
        <w:rPr>
          <w:spacing w:val="-1"/>
        </w:rPr>
        <w:t>其中：</w:t>
      </w:r>
    </w:p>
    <w:p>
      <w:pPr>
        <w:pStyle w:val="2"/>
        <w:spacing w:before="180" w:line="220" w:lineRule="auto"/>
        <w:ind w:left="703"/>
      </w:pPr>
      <w:r>
        <w:rPr>
          <w:spacing w:val="3"/>
        </w:rPr>
        <w:t>1.一般公共预算拨款收入</w:t>
      </w:r>
      <w:r>
        <w:rPr>
          <w:rFonts w:hint="eastAsia"/>
          <w:spacing w:val="3"/>
          <w:lang w:val="en-US" w:eastAsia="zh-CN"/>
        </w:rPr>
        <w:t>730.84</w:t>
      </w:r>
      <w:r>
        <w:rPr>
          <w:spacing w:val="3"/>
        </w:rPr>
        <w:t>万元；</w:t>
      </w:r>
    </w:p>
    <w:p>
      <w:pPr>
        <w:pStyle w:val="2"/>
        <w:spacing w:before="191" w:line="220" w:lineRule="auto"/>
        <w:ind w:left="695"/>
      </w:pPr>
      <w:r>
        <w:rPr>
          <w:spacing w:val="4"/>
        </w:rPr>
        <w:t>2.政府性基金预算拨款收入</w:t>
      </w:r>
      <w:r>
        <w:rPr>
          <w:rFonts w:hint="eastAsia"/>
          <w:spacing w:val="4"/>
          <w:lang w:val="en-US" w:eastAsia="zh-CN"/>
        </w:rPr>
        <w:t>0</w:t>
      </w:r>
      <w:r>
        <w:rPr>
          <w:spacing w:val="4"/>
        </w:rPr>
        <w:t>万元；</w:t>
      </w:r>
    </w:p>
    <w:p>
      <w:pPr>
        <w:pStyle w:val="2"/>
        <w:spacing w:before="190" w:line="317" w:lineRule="auto"/>
        <w:ind w:left="698" w:right="2099" w:firstLine="13"/>
        <w:rPr>
          <w:spacing w:val="2"/>
        </w:rPr>
      </w:pPr>
      <w:r>
        <w:rPr>
          <w:spacing w:val="2"/>
        </w:rPr>
        <w:t>3.国有资本经营预算拨款收入</w:t>
      </w:r>
      <w:r>
        <w:rPr>
          <w:rFonts w:hint="eastAsia"/>
          <w:spacing w:val="2"/>
          <w:lang w:val="en-US" w:eastAsia="zh-CN"/>
        </w:rPr>
        <w:t>0</w:t>
      </w:r>
      <w:r>
        <w:rPr>
          <w:spacing w:val="2"/>
        </w:rPr>
        <w:t>万元；</w:t>
      </w:r>
    </w:p>
    <w:p>
      <w:pPr>
        <w:pStyle w:val="2"/>
        <w:spacing w:before="190" w:line="317" w:lineRule="auto"/>
        <w:ind w:left="698" w:right="2099" w:firstLine="13"/>
      </w:pPr>
      <w:r>
        <w:rPr>
          <w:spacing w:val="4"/>
        </w:rPr>
        <w:t>4.财政专户管理资金收入</w:t>
      </w:r>
      <w:r>
        <w:rPr>
          <w:rFonts w:hint="eastAsia"/>
          <w:spacing w:val="4"/>
          <w:lang w:val="en-US" w:eastAsia="zh-CN"/>
        </w:rPr>
        <w:t>0</w:t>
      </w:r>
      <w:r>
        <w:rPr>
          <w:spacing w:val="4"/>
        </w:rPr>
        <w:t>万元；</w:t>
      </w:r>
    </w:p>
    <w:p>
      <w:pPr>
        <w:pStyle w:val="2"/>
        <w:spacing w:before="59" w:line="322" w:lineRule="auto"/>
        <w:ind w:left="30" w:right="7" w:firstLine="656"/>
      </w:pPr>
      <w:r>
        <w:rPr>
          <w:spacing w:val="4"/>
        </w:rPr>
        <w:t>5.单位资金收入</w:t>
      </w:r>
      <w:r>
        <w:rPr>
          <w:rFonts w:hint="eastAsia"/>
          <w:spacing w:val="4"/>
          <w:lang w:val="en-US" w:eastAsia="zh-CN"/>
        </w:rPr>
        <w:t>0</w:t>
      </w:r>
      <w:r>
        <w:rPr>
          <w:spacing w:val="4"/>
        </w:rPr>
        <w:t>万元，其中：事业收入</w:t>
      </w:r>
      <w:r>
        <w:rPr>
          <w:rFonts w:hint="eastAsia"/>
          <w:spacing w:val="4"/>
          <w:lang w:val="en-US" w:eastAsia="zh-CN"/>
        </w:rPr>
        <w:t>0</w:t>
      </w:r>
      <w:r>
        <w:rPr>
          <w:spacing w:val="4"/>
        </w:rPr>
        <w:t>万元，事</w:t>
      </w:r>
      <w:r>
        <w:rPr>
          <w:spacing w:val="5"/>
        </w:rPr>
        <w:t>业单位经营收入</w:t>
      </w:r>
      <w:r>
        <w:rPr>
          <w:rFonts w:hint="eastAsia"/>
          <w:spacing w:val="5"/>
          <w:lang w:val="en-US" w:eastAsia="zh-CN"/>
        </w:rPr>
        <w:t>0</w:t>
      </w:r>
      <w:r>
        <w:rPr>
          <w:spacing w:val="5"/>
        </w:rPr>
        <w:t>万元，上级补助收入</w:t>
      </w:r>
      <w:r>
        <w:rPr>
          <w:rFonts w:hint="eastAsia"/>
          <w:spacing w:val="5"/>
          <w:lang w:val="en-US" w:eastAsia="zh-CN"/>
        </w:rPr>
        <w:t>0</w:t>
      </w:r>
      <w:r>
        <w:rPr>
          <w:spacing w:val="5"/>
        </w:rPr>
        <w:t>万元，附属单位</w:t>
      </w:r>
      <w:r>
        <w:rPr>
          <w:spacing w:val="2"/>
        </w:rPr>
        <w:t>上缴收入</w:t>
      </w:r>
      <w:r>
        <w:rPr>
          <w:rFonts w:hint="eastAsia"/>
          <w:spacing w:val="2"/>
          <w:lang w:val="en-US" w:eastAsia="zh-CN"/>
        </w:rPr>
        <w:t>0</w:t>
      </w:r>
      <w:r>
        <w:rPr>
          <w:spacing w:val="2"/>
        </w:rPr>
        <w:t>万元，其他收入</w:t>
      </w:r>
      <w:r>
        <w:rPr>
          <w:rFonts w:hint="eastAsia"/>
          <w:spacing w:val="2"/>
          <w:lang w:val="en-US" w:eastAsia="zh-CN"/>
        </w:rPr>
        <w:t>0</w:t>
      </w:r>
      <w:r>
        <w:rPr>
          <w:spacing w:val="2"/>
        </w:rPr>
        <w:t>万元；</w:t>
      </w:r>
    </w:p>
    <w:p>
      <w:pPr>
        <w:pStyle w:val="2"/>
        <w:spacing w:before="58" w:line="322" w:lineRule="auto"/>
        <w:ind w:left="17" w:right="7" w:firstLine="669"/>
      </w:pPr>
      <w:r>
        <w:rPr>
          <w:spacing w:val="12"/>
        </w:rPr>
        <w:t>6.上年结转结余</w:t>
      </w:r>
      <w:r>
        <w:rPr>
          <w:rFonts w:hint="eastAsia"/>
          <w:spacing w:val="12"/>
          <w:lang w:val="en-US" w:eastAsia="zh-CN"/>
        </w:rPr>
        <w:t>0</w:t>
      </w:r>
      <w:r>
        <w:rPr>
          <w:spacing w:val="12"/>
        </w:rPr>
        <w:t>万元，其中上年财政专户管理资金</w:t>
      </w:r>
      <w:r>
        <w:rPr>
          <w:spacing w:val="6"/>
        </w:rPr>
        <w:t>超收收入</w:t>
      </w:r>
      <w:r>
        <w:rPr>
          <w:rFonts w:hint="eastAsia"/>
          <w:spacing w:val="6"/>
          <w:lang w:val="en-US" w:eastAsia="zh-CN"/>
        </w:rPr>
        <w:t>0</w:t>
      </w:r>
      <w:r>
        <w:rPr>
          <w:spacing w:val="6"/>
        </w:rPr>
        <w:t>万元，政府性基金预算超收收入</w:t>
      </w:r>
      <w:r>
        <w:rPr>
          <w:rFonts w:hint="eastAsia"/>
          <w:spacing w:val="6"/>
          <w:lang w:val="en-US" w:eastAsia="zh-CN"/>
        </w:rPr>
        <w:t>0</w:t>
      </w:r>
      <w:r>
        <w:rPr>
          <w:spacing w:val="6"/>
        </w:rPr>
        <w:t>万元，单位</w:t>
      </w:r>
      <w:r>
        <w:rPr>
          <w:spacing w:val="2"/>
        </w:rPr>
        <w:t>资金超收收入</w:t>
      </w:r>
      <w:r>
        <w:rPr>
          <w:rFonts w:hint="eastAsia"/>
          <w:spacing w:val="2"/>
          <w:lang w:val="en-US" w:eastAsia="zh-CN"/>
        </w:rPr>
        <w:t>0</w:t>
      </w:r>
      <w:r>
        <w:rPr>
          <w:spacing w:val="2"/>
        </w:rPr>
        <w:t>万元。</w:t>
      </w:r>
    </w:p>
    <w:p>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730.84</w:t>
      </w:r>
      <w:r>
        <w:rPr>
          <w:rFonts w:ascii="楷体" w:hAnsi="楷体" w:eastAsia="楷体" w:cs="楷体"/>
          <w:b/>
          <w:bCs/>
          <w:spacing w:val="-1"/>
        </w:rPr>
        <w:t>万元，</w:t>
      </w:r>
      <w:r>
        <w:rPr>
          <w:spacing w:val="-1"/>
        </w:rPr>
        <w:t>其中：</w:t>
      </w:r>
    </w:p>
    <w:p>
      <w:pPr>
        <w:pStyle w:val="2"/>
        <w:spacing w:before="180" w:line="219" w:lineRule="auto"/>
        <w:ind w:left="691"/>
      </w:pPr>
      <w:r>
        <w:rPr>
          <w:spacing w:val="1"/>
        </w:rPr>
        <w:t>1.基本支出</w:t>
      </w:r>
      <w:r>
        <w:rPr>
          <w:rFonts w:hint="eastAsia"/>
          <w:spacing w:val="1"/>
          <w:lang w:val="en-US" w:eastAsia="zh-CN"/>
        </w:rPr>
        <w:t>50.32</w:t>
      </w:r>
      <w:r>
        <w:rPr>
          <w:spacing w:val="1"/>
        </w:rPr>
        <w:t>万元；</w:t>
      </w:r>
    </w:p>
    <w:p>
      <w:pPr>
        <w:pStyle w:val="2"/>
        <w:spacing w:before="192" w:line="219" w:lineRule="auto"/>
        <w:ind w:left="683"/>
      </w:pPr>
      <w:r>
        <w:rPr>
          <w:spacing w:val="3"/>
        </w:rPr>
        <w:t>2.项目支出</w:t>
      </w:r>
      <w:r>
        <w:rPr>
          <w:rFonts w:hint="eastAsia"/>
          <w:spacing w:val="3"/>
          <w:lang w:val="en-US" w:eastAsia="zh-CN"/>
        </w:rPr>
        <w:t>680.52</w:t>
      </w:r>
      <w:r>
        <w:rPr>
          <w:spacing w:val="3"/>
        </w:rPr>
        <w:t>万元。</w:t>
      </w:r>
    </w:p>
    <w:p>
      <w:pPr>
        <w:pStyle w:val="2"/>
        <w:spacing w:before="189" w:line="323" w:lineRule="auto"/>
        <w:ind w:left="23" w:firstLine="651"/>
      </w:pPr>
      <w:r>
        <w:rPr>
          <w:spacing w:val="48"/>
        </w:rPr>
        <w:t>在支出预算中债务支出</w:t>
      </w:r>
      <w:r>
        <w:rPr>
          <w:rFonts w:hint="eastAsia"/>
          <w:spacing w:val="48"/>
          <w:lang w:val="en-US" w:eastAsia="zh-CN"/>
        </w:rPr>
        <w:t>0</w:t>
      </w:r>
      <w:r>
        <w:rPr>
          <w:spacing w:val="48"/>
        </w:rPr>
        <w:t>万元；政府采购支出</w:t>
      </w:r>
      <w:r>
        <w:rPr>
          <w:rFonts w:hint="eastAsia"/>
          <w:spacing w:val="48"/>
          <w:lang w:val="en-US" w:eastAsia="zh-CN"/>
        </w:rPr>
        <w:t>0</w:t>
      </w:r>
      <w:r>
        <w:rPr>
          <w:spacing w:val="10"/>
        </w:rPr>
        <w:t>万元；政府购买服务支出</w:t>
      </w:r>
      <w:r>
        <w:rPr>
          <w:rFonts w:hint="eastAsia"/>
          <w:spacing w:val="10"/>
          <w:lang w:val="en-US" w:eastAsia="zh-CN"/>
        </w:rPr>
        <w:t>0</w:t>
      </w:r>
      <w:r>
        <w:rPr>
          <w:spacing w:val="10"/>
        </w:rPr>
        <w:t>万元；纳入预算绩效管理的</w:t>
      </w:r>
      <w:r>
        <w:rPr>
          <w:spacing w:val="7"/>
        </w:rPr>
        <w:t>特定目标类和其他运转类项目共</w:t>
      </w:r>
      <w:r>
        <w:rPr>
          <w:rFonts w:hint="eastAsia"/>
          <w:spacing w:val="7"/>
          <w:lang w:val="en-US" w:eastAsia="zh-CN"/>
        </w:rPr>
        <w:t>0</w:t>
      </w:r>
      <w:r>
        <w:rPr>
          <w:spacing w:val="7"/>
        </w:rPr>
        <w:t>个，涉及资金</w:t>
      </w:r>
      <w:r>
        <w:rPr>
          <w:rFonts w:hint="eastAsia"/>
          <w:spacing w:val="7"/>
          <w:lang w:val="en-US" w:eastAsia="zh-CN"/>
        </w:rPr>
        <w:t>0</w:t>
      </w:r>
      <w:r>
        <w:rPr>
          <w:spacing w:val="7"/>
        </w:rPr>
        <w:t>万元。</w:t>
      </w:r>
    </w:p>
    <w:p>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291.37</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eastAsia="zh-CN"/>
        </w:rPr>
        <w:t>人员增加及退役军人补助标准提高</w:t>
      </w:r>
      <w:r>
        <w:rPr>
          <w:rFonts w:ascii="黑体" w:hAnsi="黑体" w:eastAsia="黑体" w:cs="黑体"/>
          <w:spacing w:val="7"/>
          <w:sz w:val="31"/>
          <w:szCs w:val="31"/>
        </w:rPr>
        <w:t>。</w:t>
      </w:r>
    </w:p>
    <w:p>
      <w:pPr>
        <w:numPr>
          <w:ilvl w:val="0"/>
          <w:numId w:val="2"/>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2025年，盘锦市双台子区退役军人事务局部门管理专项资金共四个，涉及资金680.52万元。其中：退役军人事务管理专项业务经费78万元；优抚对象抚恤补助104.02万元；退役安置补助246万元；义务兵优待金252.50万元。</w:t>
      </w:r>
    </w:p>
    <w:p>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盘锦市双台子区退役军人事务局</w:t>
      </w:r>
      <w:r>
        <w:rPr>
          <w:rFonts w:hint="eastAsia"/>
          <w:spacing w:val="12"/>
          <w:lang w:val="en-US" w:eastAsia="zh-CN"/>
        </w:rPr>
        <w:t>部门</w:t>
      </w:r>
      <w:r>
        <w:rPr>
          <w:spacing w:val="12"/>
        </w:rPr>
        <w:t>运行经费预算为</w:t>
      </w:r>
      <w:r>
        <w:rPr>
          <w:rFonts w:hint="eastAsia"/>
          <w:spacing w:val="12"/>
          <w:lang w:val="en-US" w:eastAsia="zh-CN"/>
        </w:rPr>
        <w:t>5.11</w:t>
      </w:r>
      <w:r>
        <w:rPr>
          <w:spacing w:val="12"/>
        </w:rPr>
        <w:t>万元，主要包括</w:t>
      </w:r>
      <w:r>
        <w:rPr>
          <w:rFonts w:hint="eastAsia"/>
          <w:spacing w:val="12"/>
          <w:lang w:eastAsia="zh-CN"/>
        </w:rPr>
        <w:t>办公、印刷费、委托业务费等。</w:t>
      </w:r>
    </w:p>
    <w:p>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pPr>
        <w:pStyle w:val="2"/>
        <w:spacing w:before="173" w:line="323" w:lineRule="auto"/>
        <w:ind w:left="25" w:right="5" w:firstLine="663"/>
        <w:rPr>
          <w:spacing w:val="6"/>
        </w:rPr>
      </w:pPr>
      <w:r>
        <w:rPr>
          <w:rFonts w:hint="eastAsia"/>
          <w:spacing w:val="6"/>
          <w:lang w:val="en-US" w:eastAsia="zh-CN"/>
        </w:rPr>
        <w:t>2025年盘锦市双台子区退役军人事务局部门安排政府采购预算0万元，具体为货物0万元，服务0万元，工程0万元；预留面向中小企业采购份额0万元，其中预留给小微企业0万元。</w:t>
      </w:r>
    </w:p>
    <w:p>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年，盘锦市双台子区退役军人事务局</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%。主要原因为无。</w:t>
      </w:r>
    </w:p>
    <w:p>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%。主要原因为无。</w:t>
      </w:r>
    </w:p>
    <w:p>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%。主要原因是无。</w:t>
      </w:r>
    </w:p>
    <w:p>
      <w:pPr>
        <w:pStyle w:val="2"/>
        <w:spacing w:before="181" w:line="322" w:lineRule="auto"/>
        <w:ind w:left="27" w:right="12" w:firstLine="673"/>
        <w:rPr>
          <w:spacing w:val="10"/>
        </w:rPr>
        <w:sectPr>
          <w:footerReference r:id="rId9" w:type="default"/>
          <w:pgSz w:w="11905" w:h="16840"/>
          <w:pgMar w:top="1431" w:right="1782" w:bottom="1156" w:left="1785" w:header="0" w:footer="995" w:gutter="0"/>
          <w:cols w:space="720" w:num="1"/>
        </w:sectPr>
      </w:pPr>
    </w:p>
    <w:p>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pPr>
              <w:pStyle w:val="6"/>
            </w:pPr>
          </w:p>
          <w:p>
            <w:pPr>
              <w:pStyle w:val="6"/>
            </w:pPr>
          </w:p>
          <w:p>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pPr>
              <w:pStyle w:val="6"/>
            </w:pPr>
          </w:p>
        </w:tc>
        <w:tc>
          <w:tcPr>
            <w:tcW w:w="2828" w:type="dxa"/>
            <w:vAlign w:val="top"/>
          </w:tcPr>
          <w:p>
            <w:pPr>
              <w:spacing w:before="257" w:line="220" w:lineRule="auto"/>
              <w:ind w:left="817" w:firstLine="235" w:firstLineChars="100"/>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pPr>
              <w:pStyle w:val="6"/>
              <w:jc w:val="center"/>
              <w:rPr>
                <w:rFonts w:hint="eastAsia" w:eastAsia="宋体"/>
                <w:lang w:val="en-US" w:eastAsia="zh-CN"/>
              </w:rPr>
            </w:pPr>
            <w:r>
              <w:rPr>
                <w:rFonts w:hint="eastAsia" w:eastAsia="宋体"/>
                <w:lang w:val="en-US" w:eastAsia="zh-CN"/>
              </w:rPr>
              <w:t>0</w:t>
            </w:r>
          </w:p>
        </w:tc>
        <w:tc>
          <w:tcPr>
            <w:tcW w:w="2586" w:type="dxa"/>
            <w:vAlign w:val="top"/>
          </w:tcPr>
          <w:p>
            <w:pPr>
              <w:pStyle w:val="6"/>
              <w:jc w:val="center"/>
              <w:rPr>
                <w:rFonts w:hint="eastAsia" w:eastAsia="宋体"/>
                <w:lang w:val="en-US" w:eastAsia="zh-CN"/>
              </w:rPr>
            </w:pPr>
            <w:r>
              <w:rPr>
                <w:rFonts w:hint="eastAsia" w:eastAsia="宋体"/>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pPr>
              <w:pStyle w:val="6"/>
            </w:pPr>
          </w:p>
        </w:tc>
        <w:tc>
          <w:tcPr>
            <w:tcW w:w="258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pPr>
              <w:pStyle w:val="6"/>
            </w:pPr>
          </w:p>
        </w:tc>
        <w:tc>
          <w:tcPr>
            <w:tcW w:w="258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pPr>
              <w:pStyle w:val="6"/>
            </w:pPr>
          </w:p>
        </w:tc>
        <w:tc>
          <w:tcPr>
            <w:tcW w:w="258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pPr>
              <w:pStyle w:val="6"/>
            </w:pPr>
          </w:p>
        </w:tc>
        <w:tc>
          <w:tcPr>
            <w:tcW w:w="258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pPr>
              <w:pStyle w:val="6"/>
            </w:pPr>
          </w:p>
        </w:tc>
        <w:tc>
          <w:tcPr>
            <w:tcW w:w="2586" w:type="dxa"/>
            <w:vAlign w:val="top"/>
          </w:tcPr>
          <w:p>
            <w:pPr>
              <w:pStyle w:val="6"/>
            </w:pPr>
          </w:p>
        </w:tc>
      </w:tr>
    </w:tbl>
    <w:p>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pPr>
        <w:pStyle w:val="2"/>
        <w:spacing w:before="179" w:line="323" w:lineRule="auto"/>
        <w:ind w:left="42" w:right="503" w:firstLine="640"/>
      </w:pPr>
      <w:r>
        <w:rPr>
          <w:rFonts w:hint="eastAsia"/>
          <w:spacing w:val="10"/>
          <w:lang w:eastAsia="zh-CN"/>
        </w:rPr>
        <w:t>盘锦市双台子区退役军人事务局</w:t>
      </w:r>
      <w:r>
        <w:rPr>
          <w:rFonts w:hint="eastAsia"/>
          <w:spacing w:val="10"/>
          <w:lang w:val="en-US" w:eastAsia="zh-CN"/>
        </w:rPr>
        <w:t>部门2025年</w:t>
      </w:r>
      <w:r>
        <w:rPr>
          <w:spacing w:val="2"/>
        </w:rPr>
        <w:t>年初预算购置车辆</w:t>
      </w:r>
      <w:r>
        <w:rPr>
          <w:rFonts w:hint="eastAsia"/>
          <w:spacing w:val="2"/>
          <w:lang w:val="en-US" w:eastAsia="zh-CN"/>
        </w:rPr>
        <w:t>0</w:t>
      </w:r>
      <w:r>
        <w:rPr>
          <w:spacing w:val="2"/>
        </w:rPr>
        <w:t>台，金额</w:t>
      </w:r>
      <w:r>
        <w:rPr>
          <w:rFonts w:hint="eastAsia"/>
          <w:spacing w:val="2"/>
          <w:lang w:val="en-US" w:eastAsia="zh-CN"/>
        </w:rPr>
        <w:t>0</w:t>
      </w:r>
      <w:r>
        <w:rPr>
          <w:spacing w:val="2"/>
        </w:rPr>
        <w:t>万</w:t>
      </w:r>
      <w:r>
        <w:rPr>
          <w:spacing w:val="4"/>
        </w:rPr>
        <w:t>元，单位价值50万元以上的通用设备</w:t>
      </w:r>
      <w:r>
        <w:rPr>
          <w:rFonts w:hint="eastAsia"/>
          <w:spacing w:val="4"/>
          <w:lang w:val="en-US" w:eastAsia="zh-CN"/>
        </w:rPr>
        <w:t>0</w:t>
      </w:r>
      <w:r>
        <w:rPr>
          <w:spacing w:val="4"/>
        </w:rPr>
        <w:t>台，单位价值</w:t>
      </w:r>
      <w:r>
        <w:rPr>
          <w:spacing w:val="3"/>
        </w:rPr>
        <w:t>100</w:t>
      </w:r>
      <w:r>
        <w:rPr>
          <w:spacing w:val="2"/>
        </w:rPr>
        <w:t>万元以上的专用设备</w:t>
      </w:r>
      <w:r>
        <w:rPr>
          <w:rFonts w:hint="eastAsia"/>
          <w:spacing w:val="2"/>
          <w:lang w:val="en-US" w:eastAsia="zh-CN"/>
        </w:rPr>
        <w:t>0</w:t>
      </w:r>
      <w:r>
        <w:rPr>
          <w:spacing w:val="2"/>
        </w:rPr>
        <w:t>台。</w:t>
      </w:r>
    </w:p>
    <w:p>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pPr>
        <w:pStyle w:val="2"/>
        <w:spacing w:before="180" w:line="330" w:lineRule="auto"/>
        <w:ind w:left="24" w:right="505" w:firstLine="638"/>
      </w:pPr>
      <w:r>
        <w:rPr>
          <w:spacing w:val="9"/>
        </w:rPr>
        <w:t>根据预算绩效管理要求，</w:t>
      </w:r>
      <w:r>
        <w:rPr>
          <w:rFonts w:hint="eastAsia"/>
          <w:spacing w:val="10"/>
          <w:lang w:eastAsia="zh-CN"/>
        </w:rPr>
        <w:t>盘锦市双台子区退役军人事务局</w:t>
      </w:r>
      <w:r>
        <w:rPr>
          <w:rFonts w:hint="eastAsia"/>
          <w:spacing w:val="10"/>
          <w:lang w:val="en-US" w:eastAsia="zh-CN"/>
        </w:rPr>
        <w:t>部门</w:t>
      </w:r>
      <w:r>
        <w:rPr>
          <w:rFonts w:hint="eastAsia"/>
          <w:spacing w:val="9"/>
          <w:lang w:val="en-US" w:eastAsia="zh-CN"/>
        </w:rPr>
        <w:t>2025</w:t>
      </w:r>
      <w:r>
        <w:rPr>
          <w:spacing w:val="9"/>
        </w:rPr>
        <w:t>年应编制部门</w:t>
      </w:r>
      <w:r>
        <w:rPr>
          <w:spacing w:val="12"/>
        </w:rPr>
        <w:t>（单位）整体绩效目标共</w:t>
      </w:r>
      <w:r>
        <w:rPr>
          <w:rFonts w:hint="eastAsia"/>
          <w:spacing w:val="12"/>
          <w:lang w:val="en-US" w:eastAsia="zh-CN"/>
        </w:rPr>
        <w:t>1</w:t>
      </w:r>
      <w:r>
        <w:rPr>
          <w:spacing w:val="12"/>
        </w:rPr>
        <w:t>个，实际编制部门（单位）整</w:t>
      </w:r>
      <w:r>
        <w:rPr>
          <w:spacing w:val="14"/>
        </w:rPr>
        <w:t>体绩效目标共</w:t>
      </w:r>
      <w:r>
        <w:rPr>
          <w:rFonts w:hint="eastAsia"/>
          <w:spacing w:val="14"/>
          <w:lang w:val="en-US" w:eastAsia="zh-CN"/>
        </w:rPr>
        <w:t>1</w:t>
      </w:r>
      <w:r>
        <w:rPr>
          <w:spacing w:val="14"/>
        </w:rPr>
        <w:t>个，编制部门（单位）整体绩效目标覆盖</w:t>
      </w:r>
      <w:r>
        <w:rPr>
          <w:spacing w:val="12"/>
        </w:rPr>
        <w:t>率（实际编制绩效目标的数量/应编制绩效目标的数量）为</w:t>
      </w:r>
      <w:r>
        <w:rPr>
          <w:rFonts w:hint="eastAsia"/>
          <w:spacing w:val="12"/>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spacing w:val="15"/>
          <w:lang w:val="en-US" w:eastAsia="zh-CN"/>
        </w:rPr>
        <w:t>0</w:t>
      </w:r>
      <w:r>
        <w:rPr>
          <w:spacing w:val="15"/>
        </w:rPr>
        <w:t>个，实际编制绩效目标的特定目标类和其他运转</w:t>
      </w:r>
      <w:r>
        <w:rPr>
          <w:spacing w:val="14"/>
        </w:rPr>
        <w:t>类项</w:t>
      </w:r>
      <w:r>
        <w:rPr>
          <w:spacing w:val="7"/>
        </w:rPr>
        <w:t>目共</w:t>
      </w:r>
      <w:r>
        <w:rPr>
          <w:rFonts w:hint="eastAsia"/>
          <w:spacing w:val="7"/>
          <w:lang w:val="en-US" w:eastAsia="zh-CN"/>
        </w:rPr>
        <w:t>0</w:t>
      </w:r>
      <w:r>
        <w:rPr>
          <w:spacing w:val="7"/>
        </w:rPr>
        <w:t>个，涉及资金</w:t>
      </w:r>
      <w:r>
        <w:rPr>
          <w:rFonts w:hint="eastAsia"/>
          <w:spacing w:val="7"/>
          <w:lang w:val="en-US" w:eastAsia="zh-CN"/>
        </w:rPr>
        <w:t>0</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0</w:t>
      </w:r>
      <w:r>
        <w:rPr>
          <w:spacing w:val="10"/>
        </w:rPr>
        <w:t>%。</w:t>
      </w:r>
    </w:p>
    <w:p>
      <w:pPr>
        <w:spacing w:line="330" w:lineRule="auto"/>
        <w:sectPr>
          <w:footerReference r:id="rId10" w:type="default"/>
          <w:pgSz w:w="11905" w:h="16840"/>
          <w:pgMar w:top="1431" w:right="1283" w:bottom="1156" w:left="1777" w:header="0" w:footer="995" w:gutter="0"/>
          <w:cols w:space="720" w:num="1"/>
        </w:sectPr>
      </w:pPr>
    </w:p>
    <w:p>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pPr>
        <w:spacing w:line="309" w:lineRule="auto"/>
        <w:rPr>
          <w:rFonts w:ascii="Arial"/>
          <w:sz w:val="21"/>
        </w:rPr>
      </w:pPr>
    </w:p>
    <w:p>
      <w:pPr>
        <w:spacing w:line="309" w:lineRule="auto"/>
        <w:rPr>
          <w:rFonts w:ascii="Arial"/>
          <w:sz w:val="21"/>
        </w:rPr>
      </w:pPr>
    </w:p>
    <w:p>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pPr>
        <w:spacing w:line="329" w:lineRule="auto"/>
        <w:sectPr>
          <w:footerReference r:id="rId11" w:type="default"/>
          <w:pgSz w:w="11905" w:h="16840"/>
          <w:pgMar w:top="1431" w:right="1551" w:bottom="1156" w:left="1785" w:header="0" w:footer="995" w:gutter="0"/>
          <w:cols w:space="720" w:num="1"/>
        </w:sectPr>
      </w:pPr>
    </w:p>
    <w:p>
      <w:pPr>
        <w:pStyle w:val="2"/>
        <w:spacing w:before="179" w:line="221" w:lineRule="auto"/>
        <w:jc w:val="right"/>
        <w:outlineLvl w:val="5"/>
      </w:pPr>
      <w:r>
        <w:rPr>
          <w:b/>
          <w:bCs/>
          <w:spacing w:val="-23"/>
        </w:rPr>
        <w:t>7.一般公共服务支出（类）财政事务（款）行政运行（项</w:t>
      </w:r>
      <w:r>
        <w:rPr>
          <w:b/>
          <w:bCs/>
          <w:spacing w:val="-81"/>
        </w:rPr>
        <w:t>）：</w:t>
      </w:r>
    </w:p>
    <w:p>
      <w:pPr>
        <w:pStyle w:val="2"/>
        <w:spacing w:before="194" w:line="322" w:lineRule="auto"/>
        <w:ind w:left="63" w:right="90" w:hanging="39"/>
      </w:pPr>
      <w:r>
        <w:rPr>
          <w:spacing w:val="9"/>
        </w:rPr>
        <w:t>反映行政单位（包括实行公务员管理的事业单位）的基本支</w:t>
      </w:r>
      <w:r>
        <w:rPr>
          <w:spacing w:val="-26"/>
        </w:rPr>
        <w:t>出。</w:t>
      </w:r>
    </w:p>
    <w:p>
      <w:pPr>
        <w:pStyle w:val="2"/>
        <w:spacing w:before="33" w:line="221" w:lineRule="auto"/>
        <w:ind w:left="686"/>
        <w:outlineLvl w:val="5"/>
      </w:pPr>
      <w:r>
        <w:rPr>
          <w:b/>
          <w:bCs/>
          <w:spacing w:val="4"/>
        </w:rPr>
        <w:t>8.一般公共服务支出（类）财政事务（款）一般行政管</w:t>
      </w:r>
    </w:p>
    <w:p>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pPr>
        <w:pStyle w:val="2"/>
        <w:spacing w:before="58" w:line="221" w:lineRule="auto"/>
        <w:jc w:val="right"/>
        <w:outlineLvl w:val="5"/>
      </w:pPr>
      <w:r>
        <w:rPr>
          <w:b/>
          <w:bCs/>
          <w:spacing w:val="-23"/>
        </w:rPr>
        <w:t>9.一般公共服务支出（类）财政事务（款）事业运行（项</w:t>
      </w:r>
      <w:r>
        <w:rPr>
          <w:b/>
          <w:bCs/>
          <w:spacing w:val="-81"/>
        </w:rPr>
        <w:t>）：</w:t>
      </w:r>
    </w:p>
    <w:p>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pPr>
        <w:pStyle w:val="2"/>
        <w:spacing w:before="49" w:line="219" w:lineRule="auto"/>
        <w:ind w:left="691"/>
        <w:outlineLvl w:val="5"/>
      </w:pPr>
      <w:r>
        <w:rPr>
          <w:b/>
          <w:bCs/>
          <w:spacing w:val="8"/>
        </w:rPr>
        <w:t>10.一般公共服务支出（类）财政事务（款）其他财政</w:t>
      </w:r>
    </w:p>
    <w:p>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pPr>
        <w:pStyle w:val="2"/>
        <w:spacing w:before="285" w:line="136" w:lineRule="exact"/>
        <w:ind w:left="676"/>
      </w:pPr>
      <w:r>
        <w:rPr>
          <w:b/>
          <w:bCs/>
          <w:position w:val="2"/>
        </w:rPr>
        <w:t>......</w:t>
      </w:r>
    </w:p>
    <w:p>
      <w:pPr>
        <w:spacing w:line="136" w:lineRule="exact"/>
        <w:sectPr>
          <w:footerReference r:id="rId12" w:type="default"/>
          <w:pgSz w:w="11905" w:h="16840"/>
          <w:pgMar w:top="1431" w:right="1707" w:bottom="1156" w:left="1785" w:header="0" w:footer="995" w:gutter="0"/>
          <w:cols w:space="720" w:num="1"/>
        </w:sectPr>
      </w:pPr>
    </w:p>
    <w:p>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盘锦市双台子区退役军人事务局</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shd w:val="clear" w:color="FFFFFF" w:fill="FFFFFF"/>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730.84</w:t>
            </w:r>
          </w:p>
        </w:tc>
        <w:tc>
          <w:tcPr>
            <w:tcW w:w="4521" w:type="dxa"/>
            <w:vAlign w:val="top"/>
          </w:tcPr>
          <w:p>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center"/>
          </w:tcPr>
          <w:p>
            <w:pPr>
              <w:keepNext w:val="0"/>
              <w:keepLines w:val="0"/>
              <w:widowControl/>
              <w:suppressLineNumbers w:val="0"/>
              <w:jc w:val="right"/>
              <w:textAlignment w:val="center"/>
              <w:rPr>
                <w:rFonts w:hint="eastAsia" w:ascii="宋体" w:hAnsi="宋体" w:eastAsia="宋体" w:cs="宋体"/>
                <w:sz w:val="18"/>
                <w:szCs w:val="18"/>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pPr>
              <w:pStyle w:val="6"/>
              <w:jc w:val="center"/>
            </w:pPr>
          </w:p>
        </w:tc>
        <w:tc>
          <w:tcPr>
            <w:tcW w:w="4521" w:type="dxa"/>
            <w:vAlign w:val="top"/>
          </w:tcPr>
          <w:p>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pPr>
              <w:pStyle w:val="6"/>
              <w:jc w:val="center"/>
            </w:pPr>
          </w:p>
        </w:tc>
        <w:tc>
          <w:tcPr>
            <w:tcW w:w="4521" w:type="dxa"/>
            <w:vAlign w:val="top"/>
          </w:tcPr>
          <w:p>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pPr>
              <w:pStyle w:val="6"/>
              <w:jc w:val="center"/>
            </w:pPr>
          </w:p>
        </w:tc>
        <w:tc>
          <w:tcPr>
            <w:tcW w:w="4521" w:type="dxa"/>
            <w:vAlign w:val="top"/>
          </w:tcPr>
          <w:p>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pPr>
              <w:pStyle w:val="6"/>
              <w:jc w:val="center"/>
            </w:pPr>
          </w:p>
        </w:tc>
        <w:tc>
          <w:tcPr>
            <w:tcW w:w="4521" w:type="dxa"/>
            <w:vAlign w:val="top"/>
          </w:tcPr>
          <w:p>
            <w:pPr>
              <w:pStyle w:val="6"/>
            </w:pPr>
          </w:p>
        </w:tc>
        <w:tc>
          <w:tcPr>
            <w:tcW w:w="2556" w:type="dxa"/>
            <w:vAlign w:val="top"/>
          </w:tcPr>
          <w:p>
            <w:pPr>
              <w:pStyle w:val="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pPr>
              <w:pStyle w:val="6"/>
              <w:jc w:val="center"/>
            </w:pPr>
          </w:p>
        </w:tc>
        <w:tc>
          <w:tcPr>
            <w:tcW w:w="4521" w:type="dxa"/>
            <w:vAlign w:val="top"/>
          </w:tcPr>
          <w:p>
            <w:pPr>
              <w:pStyle w:val="6"/>
            </w:pPr>
          </w:p>
        </w:tc>
        <w:tc>
          <w:tcPr>
            <w:tcW w:w="2556" w:type="dxa"/>
            <w:vAlign w:val="top"/>
          </w:tcPr>
          <w:p>
            <w:pPr>
              <w:pStyle w:val="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pPr>
              <w:pStyle w:val="6"/>
              <w:jc w:val="center"/>
            </w:pPr>
          </w:p>
        </w:tc>
        <w:tc>
          <w:tcPr>
            <w:tcW w:w="4521" w:type="dxa"/>
            <w:vAlign w:val="top"/>
          </w:tcPr>
          <w:p>
            <w:pPr>
              <w:pStyle w:val="6"/>
            </w:pPr>
          </w:p>
        </w:tc>
        <w:tc>
          <w:tcPr>
            <w:tcW w:w="2556" w:type="dxa"/>
            <w:vAlign w:val="top"/>
          </w:tcPr>
          <w:p>
            <w:pPr>
              <w:pStyle w:val="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pPr>
              <w:pStyle w:val="6"/>
              <w:jc w:val="center"/>
            </w:pPr>
          </w:p>
        </w:tc>
        <w:tc>
          <w:tcPr>
            <w:tcW w:w="4521" w:type="dxa"/>
            <w:vAlign w:val="top"/>
          </w:tcPr>
          <w:p>
            <w:pPr>
              <w:pStyle w:val="6"/>
            </w:pPr>
          </w:p>
        </w:tc>
        <w:tc>
          <w:tcPr>
            <w:tcW w:w="2556" w:type="dxa"/>
            <w:vAlign w:val="top"/>
          </w:tcPr>
          <w:p>
            <w:pPr>
              <w:pStyle w:val="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pPr>
              <w:pStyle w:val="6"/>
              <w:jc w:val="center"/>
            </w:pPr>
          </w:p>
        </w:tc>
        <w:tc>
          <w:tcPr>
            <w:tcW w:w="4521" w:type="dxa"/>
            <w:vAlign w:val="top"/>
          </w:tcPr>
          <w:p>
            <w:pPr>
              <w:pStyle w:val="6"/>
            </w:pPr>
          </w:p>
        </w:tc>
        <w:tc>
          <w:tcPr>
            <w:tcW w:w="2556" w:type="dxa"/>
            <w:vAlign w:val="top"/>
          </w:tcPr>
          <w:p>
            <w:pPr>
              <w:pStyle w:val="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pPr>
              <w:pStyle w:val="6"/>
              <w:jc w:val="center"/>
            </w:pPr>
          </w:p>
        </w:tc>
        <w:tc>
          <w:tcPr>
            <w:tcW w:w="4521" w:type="dxa"/>
            <w:vAlign w:val="top"/>
          </w:tcPr>
          <w:p>
            <w:pPr>
              <w:pStyle w:val="6"/>
            </w:pPr>
          </w:p>
        </w:tc>
        <w:tc>
          <w:tcPr>
            <w:tcW w:w="2556" w:type="dxa"/>
            <w:vAlign w:val="top"/>
          </w:tcPr>
          <w:p>
            <w:pPr>
              <w:pStyle w:val="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shd w:val="clear" w:color="FFFFFF" w:fill="FFFFFF"/>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730.84</w:t>
            </w:r>
          </w:p>
        </w:tc>
        <w:tc>
          <w:tcPr>
            <w:tcW w:w="4521" w:type="dxa"/>
            <w:vAlign w:val="top"/>
          </w:tcPr>
          <w:p>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shd w:val="clear" w:color="FFFFFF" w:fill="FFFFFF"/>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730.84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pPr>
              <w:pStyle w:val="6"/>
              <w:jc w:val="center"/>
            </w:pPr>
          </w:p>
        </w:tc>
        <w:tc>
          <w:tcPr>
            <w:tcW w:w="4521" w:type="dxa"/>
            <w:vAlign w:val="top"/>
          </w:tcPr>
          <w:p>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pPr>
              <w:pStyle w:val="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pStyle w:val="6"/>
            </w:pPr>
          </w:p>
        </w:tc>
        <w:tc>
          <w:tcPr>
            <w:tcW w:w="2546" w:type="dxa"/>
            <w:vAlign w:val="top"/>
          </w:tcPr>
          <w:p>
            <w:pPr>
              <w:pStyle w:val="6"/>
              <w:jc w:val="center"/>
            </w:pPr>
          </w:p>
        </w:tc>
        <w:tc>
          <w:tcPr>
            <w:tcW w:w="4521" w:type="dxa"/>
            <w:vAlign w:val="top"/>
          </w:tcPr>
          <w:p>
            <w:pPr>
              <w:pStyle w:val="6"/>
            </w:pPr>
          </w:p>
        </w:tc>
        <w:tc>
          <w:tcPr>
            <w:tcW w:w="2556" w:type="dxa"/>
            <w:vAlign w:val="top"/>
          </w:tcPr>
          <w:p>
            <w:pPr>
              <w:pStyle w:val="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shd w:val="clear" w:color="FFFFFF" w:fill="FFFFFF"/>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730.84</w:t>
            </w:r>
          </w:p>
        </w:tc>
        <w:tc>
          <w:tcPr>
            <w:tcW w:w="4521" w:type="dxa"/>
            <w:vAlign w:val="top"/>
          </w:tcPr>
          <w:p>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shd w:val="clear" w:color="FFFFFF" w:fill="FFFFFF"/>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730.84</w:t>
            </w:r>
          </w:p>
        </w:tc>
      </w:tr>
    </w:tbl>
    <w:p>
      <w:pPr>
        <w:rPr>
          <w:rFonts w:ascii="Arial"/>
          <w:sz w:val="21"/>
        </w:rPr>
      </w:pPr>
    </w:p>
    <w:p>
      <w:pPr>
        <w:rPr>
          <w:rFonts w:ascii="Arial" w:hAnsi="Arial" w:eastAsia="Arial" w:cs="Arial"/>
          <w:sz w:val="21"/>
          <w:szCs w:val="21"/>
        </w:rPr>
        <w:sectPr>
          <w:footerReference r:id="rId13" w:type="default"/>
          <w:pgSz w:w="16840" w:h="11905"/>
          <w:pgMar w:top="911" w:right="1344" w:bottom="400" w:left="1325" w:header="0" w:footer="0" w:gutter="0"/>
          <w:cols w:space="720" w:num="1"/>
        </w:sectPr>
      </w:pPr>
    </w:p>
    <w:p>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949"/>
        <w:gridCol w:w="475"/>
        <w:gridCol w:w="561"/>
        <w:gridCol w:w="561"/>
        <w:gridCol w:w="512"/>
        <w:gridCol w:w="512"/>
        <w:gridCol w:w="512"/>
        <w:gridCol w:w="512"/>
        <w:gridCol w:w="512"/>
        <w:gridCol w:w="512"/>
        <w:gridCol w:w="902"/>
        <w:gridCol w:w="862"/>
        <w:gridCol w:w="671"/>
        <w:gridCol w:w="561"/>
        <w:gridCol w:w="561"/>
        <w:gridCol w:w="5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pPr>
              <w:pStyle w:val="6"/>
              <w:spacing w:line="275" w:lineRule="auto"/>
            </w:pPr>
          </w:p>
          <w:p>
            <w:pPr>
              <w:pStyle w:val="6"/>
              <w:spacing w:line="275" w:lineRule="auto"/>
            </w:pPr>
          </w:p>
          <w:p>
            <w:pPr>
              <w:pStyle w:val="6"/>
              <w:spacing w:line="275" w:lineRule="auto"/>
            </w:pPr>
          </w:p>
          <w:p>
            <w:pPr>
              <w:pStyle w:val="6"/>
              <w:spacing w:line="276" w:lineRule="auto"/>
            </w:pPr>
          </w:p>
          <w:p>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pPr>
              <w:pStyle w:val="6"/>
              <w:spacing w:line="275" w:lineRule="auto"/>
            </w:pPr>
          </w:p>
          <w:p>
            <w:pPr>
              <w:pStyle w:val="6"/>
              <w:spacing w:line="275" w:lineRule="auto"/>
            </w:pPr>
          </w:p>
          <w:p>
            <w:pPr>
              <w:pStyle w:val="6"/>
              <w:spacing w:line="276" w:lineRule="auto"/>
            </w:pPr>
          </w:p>
          <w:p>
            <w:pPr>
              <w:pStyle w:val="6"/>
              <w:spacing w:line="276" w:lineRule="auto"/>
            </w:pPr>
          </w:p>
          <w:p>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pPr>
              <w:pStyle w:val="6"/>
            </w:pPr>
          </w:p>
        </w:tc>
        <w:tc>
          <w:tcPr>
            <w:tcW w:w="1043" w:type="dxa"/>
            <w:vMerge w:val="continue"/>
            <w:tcBorders>
              <w:top w:val="nil"/>
              <w:bottom w:val="nil"/>
            </w:tcBorders>
            <w:vAlign w:val="top"/>
          </w:tcPr>
          <w:p>
            <w:pPr>
              <w:pStyle w:val="6"/>
            </w:pPr>
          </w:p>
        </w:tc>
        <w:tc>
          <w:tcPr>
            <w:tcW w:w="1032" w:type="dxa"/>
            <w:vMerge w:val="restart"/>
            <w:tcBorders>
              <w:bottom w:val="nil"/>
            </w:tcBorders>
            <w:vAlign w:val="top"/>
          </w:tcPr>
          <w:p>
            <w:pPr>
              <w:pStyle w:val="6"/>
              <w:spacing w:line="261" w:lineRule="auto"/>
            </w:pPr>
          </w:p>
          <w:p>
            <w:pPr>
              <w:pStyle w:val="6"/>
              <w:spacing w:line="261" w:lineRule="auto"/>
            </w:pPr>
          </w:p>
          <w:p>
            <w:pPr>
              <w:pStyle w:val="6"/>
              <w:spacing w:line="261" w:lineRule="auto"/>
            </w:pPr>
          </w:p>
          <w:p>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949" w:type="dxa"/>
            <w:vMerge w:val="restart"/>
            <w:tcBorders>
              <w:bottom w:val="nil"/>
            </w:tcBorders>
            <w:vAlign w:val="top"/>
          </w:tcPr>
          <w:p>
            <w:pPr>
              <w:pStyle w:val="6"/>
              <w:spacing w:line="330" w:lineRule="auto"/>
            </w:pPr>
          </w:p>
          <w:p>
            <w:pPr>
              <w:pStyle w:val="6"/>
              <w:spacing w:line="330" w:lineRule="auto"/>
            </w:pPr>
          </w:p>
          <w:p>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475" w:type="dxa"/>
            <w:vMerge w:val="restart"/>
            <w:tcBorders>
              <w:bottom w:val="nil"/>
            </w:tcBorders>
            <w:vAlign w:val="top"/>
          </w:tcPr>
          <w:p>
            <w:pPr>
              <w:pStyle w:val="6"/>
              <w:spacing w:line="268" w:lineRule="auto"/>
            </w:pPr>
          </w:p>
          <w:p>
            <w:pPr>
              <w:pStyle w:val="6"/>
              <w:spacing w:line="269" w:lineRule="auto"/>
            </w:pPr>
          </w:p>
          <w:p>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pPr>
              <w:pStyle w:val="6"/>
              <w:spacing w:line="417" w:lineRule="auto"/>
            </w:pPr>
          </w:p>
          <w:p>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pPr>
              <w:pStyle w:val="6"/>
              <w:spacing w:line="414" w:lineRule="auto"/>
            </w:pPr>
          </w:p>
          <w:p>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pPr>
              <w:pStyle w:val="6"/>
              <w:spacing w:line="261" w:lineRule="auto"/>
            </w:pPr>
          </w:p>
          <w:p>
            <w:pPr>
              <w:pStyle w:val="6"/>
              <w:spacing w:line="261" w:lineRule="auto"/>
            </w:pPr>
          </w:p>
          <w:p>
            <w:pPr>
              <w:pStyle w:val="6"/>
              <w:spacing w:line="261" w:lineRule="auto"/>
            </w:pPr>
          </w:p>
          <w:p>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pPr>
              <w:pStyle w:val="6"/>
              <w:spacing w:line="330" w:lineRule="auto"/>
            </w:pPr>
          </w:p>
          <w:p>
            <w:pPr>
              <w:pStyle w:val="6"/>
              <w:spacing w:line="330" w:lineRule="auto"/>
            </w:pPr>
          </w:p>
          <w:p>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pPr>
              <w:pStyle w:val="6"/>
              <w:spacing w:line="268" w:lineRule="auto"/>
            </w:pPr>
          </w:p>
          <w:p>
            <w:pPr>
              <w:pStyle w:val="6"/>
              <w:spacing w:line="269" w:lineRule="auto"/>
            </w:pPr>
          </w:p>
          <w:p>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pPr>
              <w:pStyle w:val="6"/>
              <w:spacing w:line="417" w:lineRule="auto"/>
            </w:pPr>
          </w:p>
          <w:p>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pPr>
              <w:pStyle w:val="6"/>
              <w:spacing w:line="414" w:lineRule="auto"/>
            </w:pPr>
          </w:p>
          <w:p>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pPr>
              <w:pStyle w:val="6"/>
              <w:spacing w:line="329" w:lineRule="auto"/>
            </w:pPr>
          </w:p>
          <w:p>
            <w:pPr>
              <w:pStyle w:val="6"/>
              <w:spacing w:line="330" w:lineRule="auto"/>
            </w:pPr>
          </w:p>
          <w:p>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pPr>
              <w:pStyle w:val="6"/>
            </w:pPr>
          </w:p>
        </w:tc>
        <w:tc>
          <w:tcPr>
            <w:tcW w:w="1043" w:type="dxa"/>
            <w:vMerge w:val="continue"/>
            <w:tcBorders>
              <w:top w:val="nil"/>
            </w:tcBorders>
            <w:vAlign w:val="top"/>
          </w:tcPr>
          <w:p>
            <w:pPr>
              <w:pStyle w:val="6"/>
            </w:pPr>
          </w:p>
        </w:tc>
        <w:tc>
          <w:tcPr>
            <w:tcW w:w="1032" w:type="dxa"/>
            <w:vMerge w:val="continue"/>
            <w:tcBorders>
              <w:top w:val="nil"/>
            </w:tcBorders>
            <w:vAlign w:val="top"/>
          </w:tcPr>
          <w:p>
            <w:pPr>
              <w:pStyle w:val="6"/>
            </w:pPr>
          </w:p>
        </w:tc>
        <w:tc>
          <w:tcPr>
            <w:tcW w:w="949" w:type="dxa"/>
            <w:vMerge w:val="continue"/>
            <w:tcBorders>
              <w:top w:val="nil"/>
            </w:tcBorders>
            <w:vAlign w:val="top"/>
          </w:tcPr>
          <w:p>
            <w:pPr>
              <w:pStyle w:val="6"/>
            </w:pPr>
          </w:p>
        </w:tc>
        <w:tc>
          <w:tcPr>
            <w:tcW w:w="475" w:type="dxa"/>
            <w:vMerge w:val="continue"/>
            <w:tcBorders>
              <w:top w:val="nil"/>
            </w:tcBorders>
            <w:vAlign w:val="top"/>
          </w:tcPr>
          <w:p>
            <w:pPr>
              <w:pStyle w:val="6"/>
            </w:pPr>
          </w:p>
        </w:tc>
        <w:tc>
          <w:tcPr>
            <w:tcW w:w="561" w:type="dxa"/>
            <w:vMerge w:val="continue"/>
            <w:tcBorders>
              <w:top w:val="nil"/>
            </w:tcBorders>
            <w:vAlign w:val="top"/>
          </w:tcPr>
          <w:p>
            <w:pPr>
              <w:pStyle w:val="6"/>
            </w:pPr>
          </w:p>
        </w:tc>
        <w:tc>
          <w:tcPr>
            <w:tcW w:w="561" w:type="dxa"/>
            <w:vMerge w:val="continue"/>
            <w:tcBorders>
              <w:top w:val="nil"/>
            </w:tcBorders>
            <w:vAlign w:val="top"/>
          </w:tcPr>
          <w:p>
            <w:pPr>
              <w:pStyle w:val="6"/>
            </w:pPr>
          </w:p>
        </w:tc>
        <w:tc>
          <w:tcPr>
            <w:tcW w:w="512" w:type="dxa"/>
            <w:vAlign w:val="top"/>
          </w:tcPr>
          <w:p>
            <w:pPr>
              <w:pStyle w:val="6"/>
              <w:spacing w:line="474" w:lineRule="auto"/>
            </w:pPr>
          </w:p>
          <w:p>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pPr>
              <w:pStyle w:val="6"/>
              <w:spacing w:line="350" w:lineRule="auto"/>
            </w:pPr>
          </w:p>
          <w:p>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pPr>
              <w:pStyle w:val="6"/>
              <w:spacing w:line="350" w:lineRule="auto"/>
            </w:pPr>
          </w:p>
          <w:p>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pPr>
              <w:pStyle w:val="6"/>
            </w:pPr>
          </w:p>
        </w:tc>
        <w:tc>
          <w:tcPr>
            <w:tcW w:w="862" w:type="dxa"/>
            <w:vMerge w:val="continue"/>
            <w:tcBorders>
              <w:top w:val="nil"/>
            </w:tcBorders>
            <w:vAlign w:val="top"/>
          </w:tcPr>
          <w:p>
            <w:pPr>
              <w:pStyle w:val="6"/>
            </w:pPr>
          </w:p>
        </w:tc>
        <w:tc>
          <w:tcPr>
            <w:tcW w:w="671" w:type="dxa"/>
            <w:vMerge w:val="continue"/>
            <w:tcBorders>
              <w:top w:val="nil"/>
            </w:tcBorders>
            <w:vAlign w:val="top"/>
          </w:tcPr>
          <w:p>
            <w:pPr>
              <w:pStyle w:val="6"/>
            </w:pPr>
          </w:p>
        </w:tc>
        <w:tc>
          <w:tcPr>
            <w:tcW w:w="561" w:type="dxa"/>
            <w:vMerge w:val="continue"/>
            <w:tcBorders>
              <w:top w:val="nil"/>
            </w:tcBorders>
            <w:vAlign w:val="top"/>
          </w:tcPr>
          <w:p>
            <w:pPr>
              <w:pStyle w:val="6"/>
            </w:pPr>
          </w:p>
        </w:tc>
        <w:tc>
          <w:tcPr>
            <w:tcW w:w="561" w:type="dxa"/>
            <w:vMerge w:val="continue"/>
            <w:tcBorders>
              <w:top w:val="nil"/>
            </w:tcBorders>
            <w:vAlign w:val="top"/>
          </w:tcPr>
          <w:p>
            <w:pPr>
              <w:pStyle w:val="6"/>
            </w:pPr>
          </w:p>
        </w:tc>
        <w:tc>
          <w:tcPr>
            <w:tcW w:w="570"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c>
          <w:tcPr>
            <w:tcW w:w="1032"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c>
          <w:tcPr>
            <w:tcW w:w="949"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c>
          <w:tcPr>
            <w:tcW w:w="475" w:type="dxa"/>
            <w:vAlign w:val="top"/>
          </w:tcPr>
          <w:p>
            <w:pPr>
              <w:pStyle w:val="6"/>
            </w:pPr>
          </w:p>
        </w:tc>
        <w:tc>
          <w:tcPr>
            <w:tcW w:w="561" w:type="dxa"/>
            <w:vAlign w:val="top"/>
          </w:tcPr>
          <w:p>
            <w:pPr>
              <w:pStyle w:val="6"/>
            </w:pPr>
          </w:p>
        </w:tc>
        <w:tc>
          <w:tcPr>
            <w:tcW w:w="561"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902" w:type="dxa"/>
            <w:vAlign w:val="top"/>
          </w:tcPr>
          <w:p>
            <w:pPr>
              <w:pStyle w:val="6"/>
            </w:pPr>
          </w:p>
        </w:tc>
        <w:tc>
          <w:tcPr>
            <w:tcW w:w="862" w:type="dxa"/>
            <w:vAlign w:val="top"/>
          </w:tcPr>
          <w:p>
            <w:pPr>
              <w:pStyle w:val="6"/>
            </w:pPr>
          </w:p>
        </w:tc>
        <w:tc>
          <w:tcPr>
            <w:tcW w:w="671" w:type="dxa"/>
            <w:vAlign w:val="top"/>
          </w:tcPr>
          <w:p>
            <w:pPr>
              <w:pStyle w:val="6"/>
            </w:pPr>
          </w:p>
        </w:tc>
        <w:tc>
          <w:tcPr>
            <w:tcW w:w="561" w:type="dxa"/>
            <w:vAlign w:val="top"/>
          </w:tcPr>
          <w:p>
            <w:pPr>
              <w:pStyle w:val="6"/>
            </w:pPr>
          </w:p>
        </w:tc>
        <w:tc>
          <w:tcPr>
            <w:tcW w:w="561" w:type="dxa"/>
            <w:vAlign w:val="top"/>
          </w:tcPr>
          <w:p>
            <w:pPr>
              <w:pStyle w:val="6"/>
            </w:pPr>
          </w:p>
        </w:tc>
        <w:tc>
          <w:tcPr>
            <w:tcW w:w="570"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pPr>
              <w:keepNext w:val="0"/>
              <w:keepLines w:val="0"/>
              <w:widowControl/>
              <w:suppressLineNumbers w:val="0"/>
              <w:jc w:val="left"/>
              <w:textAlignment w:val="center"/>
              <w:rPr>
                <w:rFonts w:hint="eastAsia" w:eastAsia="宋体"/>
                <w:lang w:eastAsia="zh-CN"/>
              </w:rPr>
            </w:pPr>
            <w:r>
              <w:rPr>
                <w:rFonts w:hint="eastAsia" w:ascii="宋体" w:hAnsi="宋体" w:eastAsia="宋体" w:cs="宋体"/>
                <w:i w:val="0"/>
                <w:iCs w:val="0"/>
                <w:snapToGrid w:val="0"/>
                <w:color w:val="000000"/>
                <w:kern w:val="0"/>
                <w:sz w:val="20"/>
                <w:szCs w:val="20"/>
                <w:u w:val="none"/>
                <w:lang w:val="en-US" w:eastAsia="zh-CN" w:bidi="ar"/>
              </w:rPr>
              <w:t>030001 盘锦市双台子区退役军人事务局本级</w:t>
            </w:r>
          </w:p>
        </w:tc>
        <w:tc>
          <w:tcPr>
            <w:tcW w:w="104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c>
          <w:tcPr>
            <w:tcW w:w="1032"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c>
          <w:tcPr>
            <w:tcW w:w="949"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c>
          <w:tcPr>
            <w:tcW w:w="475" w:type="dxa"/>
            <w:vAlign w:val="top"/>
          </w:tcPr>
          <w:p>
            <w:pPr>
              <w:pStyle w:val="6"/>
            </w:pPr>
          </w:p>
        </w:tc>
        <w:tc>
          <w:tcPr>
            <w:tcW w:w="561" w:type="dxa"/>
            <w:vAlign w:val="top"/>
          </w:tcPr>
          <w:p>
            <w:pPr>
              <w:pStyle w:val="6"/>
            </w:pPr>
          </w:p>
        </w:tc>
        <w:tc>
          <w:tcPr>
            <w:tcW w:w="561"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902" w:type="dxa"/>
            <w:vAlign w:val="top"/>
          </w:tcPr>
          <w:p>
            <w:pPr>
              <w:pStyle w:val="6"/>
            </w:pPr>
          </w:p>
        </w:tc>
        <w:tc>
          <w:tcPr>
            <w:tcW w:w="862" w:type="dxa"/>
            <w:vAlign w:val="top"/>
          </w:tcPr>
          <w:p>
            <w:pPr>
              <w:pStyle w:val="6"/>
            </w:pPr>
          </w:p>
        </w:tc>
        <w:tc>
          <w:tcPr>
            <w:tcW w:w="671" w:type="dxa"/>
            <w:vAlign w:val="top"/>
          </w:tcPr>
          <w:p>
            <w:pPr>
              <w:pStyle w:val="6"/>
            </w:pPr>
          </w:p>
        </w:tc>
        <w:tc>
          <w:tcPr>
            <w:tcW w:w="561" w:type="dxa"/>
            <w:vAlign w:val="top"/>
          </w:tcPr>
          <w:p>
            <w:pPr>
              <w:pStyle w:val="6"/>
            </w:pPr>
          </w:p>
        </w:tc>
        <w:tc>
          <w:tcPr>
            <w:tcW w:w="561" w:type="dxa"/>
            <w:vAlign w:val="top"/>
          </w:tcPr>
          <w:p>
            <w:pPr>
              <w:pStyle w:val="6"/>
            </w:pPr>
          </w:p>
        </w:tc>
        <w:tc>
          <w:tcPr>
            <w:tcW w:w="570"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pPr>
              <w:pStyle w:val="6"/>
            </w:pPr>
          </w:p>
        </w:tc>
        <w:tc>
          <w:tcPr>
            <w:tcW w:w="1043" w:type="dxa"/>
            <w:vAlign w:val="top"/>
          </w:tcPr>
          <w:p>
            <w:pPr>
              <w:pStyle w:val="6"/>
            </w:pPr>
          </w:p>
        </w:tc>
        <w:tc>
          <w:tcPr>
            <w:tcW w:w="1032" w:type="dxa"/>
            <w:vAlign w:val="top"/>
          </w:tcPr>
          <w:p>
            <w:pPr>
              <w:pStyle w:val="6"/>
            </w:pPr>
          </w:p>
        </w:tc>
        <w:tc>
          <w:tcPr>
            <w:tcW w:w="949" w:type="dxa"/>
            <w:vAlign w:val="top"/>
          </w:tcPr>
          <w:p>
            <w:pPr>
              <w:pStyle w:val="6"/>
            </w:pPr>
          </w:p>
        </w:tc>
        <w:tc>
          <w:tcPr>
            <w:tcW w:w="475" w:type="dxa"/>
            <w:vAlign w:val="top"/>
          </w:tcPr>
          <w:p>
            <w:pPr>
              <w:pStyle w:val="6"/>
            </w:pPr>
          </w:p>
        </w:tc>
        <w:tc>
          <w:tcPr>
            <w:tcW w:w="561" w:type="dxa"/>
            <w:vAlign w:val="top"/>
          </w:tcPr>
          <w:p>
            <w:pPr>
              <w:pStyle w:val="6"/>
            </w:pPr>
          </w:p>
        </w:tc>
        <w:tc>
          <w:tcPr>
            <w:tcW w:w="561"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902" w:type="dxa"/>
            <w:vAlign w:val="top"/>
          </w:tcPr>
          <w:p>
            <w:pPr>
              <w:pStyle w:val="6"/>
            </w:pPr>
          </w:p>
        </w:tc>
        <w:tc>
          <w:tcPr>
            <w:tcW w:w="862" w:type="dxa"/>
            <w:vAlign w:val="top"/>
          </w:tcPr>
          <w:p>
            <w:pPr>
              <w:pStyle w:val="6"/>
            </w:pPr>
          </w:p>
        </w:tc>
        <w:tc>
          <w:tcPr>
            <w:tcW w:w="671" w:type="dxa"/>
            <w:vAlign w:val="top"/>
          </w:tcPr>
          <w:p>
            <w:pPr>
              <w:pStyle w:val="6"/>
            </w:pPr>
          </w:p>
        </w:tc>
        <w:tc>
          <w:tcPr>
            <w:tcW w:w="561" w:type="dxa"/>
            <w:vAlign w:val="top"/>
          </w:tcPr>
          <w:p>
            <w:pPr>
              <w:pStyle w:val="6"/>
            </w:pPr>
          </w:p>
        </w:tc>
        <w:tc>
          <w:tcPr>
            <w:tcW w:w="561" w:type="dxa"/>
            <w:vAlign w:val="top"/>
          </w:tcPr>
          <w:p>
            <w:pPr>
              <w:pStyle w:val="6"/>
            </w:pPr>
          </w:p>
        </w:tc>
        <w:tc>
          <w:tcPr>
            <w:tcW w:w="570"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pPr>
              <w:pStyle w:val="6"/>
            </w:pPr>
          </w:p>
        </w:tc>
        <w:tc>
          <w:tcPr>
            <w:tcW w:w="1043" w:type="dxa"/>
            <w:vAlign w:val="top"/>
          </w:tcPr>
          <w:p>
            <w:pPr>
              <w:pStyle w:val="6"/>
            </w:pPr>
          </w:p>
        </w:tc>
        <w:tc>
          <w:tcPr>
            <w:tcW w:w="1032" w:type="dxa"/>
            <w:vAlign w:val="top"/>
          </w:tcPr>
          <w:p>
            <w:pPr>
              <w:pStyle w:val="6"/>
            </w:pPr>
          </w:p>
        </w:tc>
        <w:tc>
          <w:tcPr>
            <w:tcW w:w="949" w:type="dxa"/>
            <w:vAlign w:val="top"/>
          </w:tcPr>
          <w:p>
            <w:pPr>
              <w:pStyle w:val="6"/>
            </w:pPr>
          </w:p>
        </w:tc>
        <w:tc>
          <w:tcPr>
            <w:tcW w:w="475" w:type="dxa"/>
            <w:vAlign w:val="top"/>
          </w:tcPr>
          <w:p>
            <w:pPr>
              <w:pStyle w:val="6"/>
            </w:pPr>
          </w:p>
        </w:tc>
        <w:tc>
          <w:tcPr>
            <w:tcW w:w="561" w:type="dxa"/>
            <w:vAlign w:val="top"/>
          </w:tcPr>
          <w:p>
            <w:pPr>
              <w:pStyle w:val="6"/>
            </w:pPr>
          </w:p>
        </w:tc>
        <w:tc>
          <w:tcPr>
            <w:tcW w:w="561"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902" w:type="dxa"/>
            <w:vAlign w:val="top"/>
          </w:tcPr>
          <w:p>
            <w:pPr>
              <w:pStyle w:val="6"/>
            </w:pPr>
          </w:p>
        </w:tc>
        <w:tc>
          <w:tcPr>
            <w:tcW w:w="862" w:type="dxa"/>
            <w:vAlign w:val="top"/>
          </w:tcPr>
          <w:p>
            <w:pPr>
              <w:pStyle w:val="6"/>
            </w:pPr>
          </w:p>
        </w:tc>
        <w:tc>
          <w:tcPr>
            <w:tcW w:w="671" w:type="dxa"/>
            <w:vAlign w:val="top"/>
          </w:tcPr>
          <w:p>
            <w:pPr>
              <w:pStyle w:val="6"/>
            </w:pPr>
          </w:p>
        </w:tc>
        <w:tc>
          <w:tcPr>
            <w:tcW w:w="561" w:type="dxa"/>
            <w:vAlign w:val="top"/>
          </w:tcPr>
          <w:p>
            <w:pPr>
              <w:pStyle w:val="6"/>
            </w:pPr>
          </w:p>
        </w:tc>
        <w:tc>
          <w:tcPr>
            <w:tcW w:w="561" w:type="dxa"/>
            <w:vAlign w:val="top"/>
          </w:tcPr>
          <w:p>
            <w:pPr>
              <w:pStyle w:val="6"/>
            </w:pPr>
          </w:p>
        </w:tc>
        <w:tc>
          <w:tcPr>
            <w:tcW w:w="570"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pPr>
              <w:pStyle w:val="6"/>
            </w:pPr>
          </w:p>
        </w:tc>
        <w:tc>
          <w:tcPr>
            <w:tcW w:w="1043" w:type="dxa"/>
            <w:vAlign w:val="top"/>
          </w:tcPr>
          <w:p>
            <w:pPr>
              <w:pStyle w:val="6"/>
            </w:pPr>
          </w:p>
        </w:tc>
        <w:tc>
          <w:tcPr>
            <w:tcW w:w="1032" w:type="dxa"/>
            <w:vAlign w:val="top"/>
          </w:tcPr>
          <w:p>
            <w:pPr>
              <w:pStyle w:val="6"/>
            </w:pPr>
          </w:p>
        </w:tc>
        <w:tc>
          <w:tcPr>
            <w:tcW w:w="949" w:type="dxa"/>
            <w:vAlign w:val="top"/>
          </w:tcPr>
          <w:p>
            <w:pPr>
              <w:pStyle w:val="6"/>
            </w:pPr>
          </w:p>
        </w:tc>
        <w:tc>
          <w:tcPr>
            <w:tcW w:w="475" w:type="dxa"/>
            <w:vAlign w:val="top"/>
          </w:tcPr>
          <w:p>
            <w:pPr>
              <w:pStyle w:val="6"/>
            </w:pPr>
          </w:p>
        </w:tc>
        <w:tc>
          <w:tcPr>
            <w:tcW w:w="561" w:type="dxa"/>
            <w:vAlign w:val="top"/>
          </w:tcPr>
          <w:p>
            <w:pPr>
              <w:pStyle w:val="6"/>
            </w:pPr>
          </w:p>
        </w:tc>
        <w:tc>
          <w:tcPr>
            <w:tcW w:w="561"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902" w:type="dxa"/>
            <w:vAlign w:val="top"/>
          </w:tcPr>
          <w:p>
            <w:pPr>
              <w:pStyle w:val="6"/>
            </w:pPr>
          </w:p>
        </w:tc>
        <w:tc>
          <w:tcPr>
            <w:tcW w:w="862" w:type="dxa"/>
            <w:vAlign w:val="top"/>
          </w:tcPr>
          <w:p>
            <w:pPr>
              <w:pStyle w:val="6"/>
            </w:pPr>
          </w:p>
        </w:tc>
        <w:tc>
          <w:tcPr>
            <w:tcW w:w="671" w:type="dxa"/>
            <w:vAlign w:val="top"/>
          </w:tcPr>
          <w:p>
            <w:pPr>
              <w:pStyle w:val="6"/>
            </w:pPr>
          </w:p>
        </w:tc>
        <w:tc>
          <w:tcPr>
            <w:tcW w:w="561" w:type="dxa"/>
            <w:vAlign w:val="top"/>
          </w:tcPr>
          <w:p>
            <w:pPr>
              <w:pStyle w:val="6"/>
            </w:pPr>
          </w:p>
        </w:tc>
        <w:tc>
          <w:tcPr>
            <w:tcW w:w="561" w:type="dxa"/>
            <w:vAlign w:val="top"/>
          </w:tcPr>
          <w:p>
            <w:pPr>
              <w:pStyle w:val="6"/>
            </w:pPr>
          </w:p>
        </w:tc>
        <w:tc>
          <w:tcPr>
            <w:tcW w:w="570"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459" w:bottom="400" w:left="1439" w:header="0" w:footer="0" w:gutter="0"/>
          <w:cols w:space="720" w:num="1"/>
        </w:sectPr>
      </w:pPr>
    </w:p>
    <w:p>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pPr>
              <w:pStyle w:val="6"/>
              <w:spacing w:line="344" w:lineRule="auto"/>
            </w:pPr>
          </w:p>
          <w:p>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pPr>
              <w:pStyle w:val="6"/>
              <w:spacing w:line="344" w:lineRule="auto"/>
            </w:pPr>
          </w:p>
          <w:p>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pPr>
              <w:pStyle w:val="6"/>
              <w:spacing w:line="344" w:lineRule="auto"/>
            </w:pPr>
          </w:p>
          <w:p>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pPr>
              <w:pStyle w:val="6"/>
              <w:spacing w:line="344" w:lineRule="auto"/>
            </w:pPr>
          </w:p>
          <w:p>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pPr>
              <w:pStyle w:val="6"/>
            </w:pPr>
          </w:p>
        </w:tc>
        <w:tc>
          <w:tcPr>
            <w:tcW w:w="4813" w:type="dxa"/>
            <w:vMerge w:val="continue"/>
            <w:tcBorders>
              <w:top w:val="nil"/>
            </w:tcBorders>
            <w:vAlign w:val="top"/>
          </w:tcPr>
          <w:p>
            <w:pPr>
              <w:pStyle w:val="6"/>
            </w:pPr>
          </w:p>
        </w:tc>
        <w:tc>
          <w:tcPr>
            <w:tcW w:w="1694" w:type="dxa"/>
            <w:vMerge w:val="continue"/>
            <w:tcBorders>
              <w:top w:val="nil"/>
            </w:tcBorders>
            <w:vAlign w:val="top"/>
          </w:tcPr>
          <w:p>
            <w:pPr>
              <w:pStyle w:val="6"/>
            </w:pPr>
          </w:p>
        </w:tc>
        <w:tc>
          <w:tcPr>
            <w:tcW w:w="1694" w:type="dxa"/>
            <w:vAlign w:val="top"/>
          </w:tcPr>
          <w:p>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4813" w:type="dxa"/>
            <w:vAlign w:val="top"/>
          </w:tcPr>
          <w:p>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c>
          <w:tcPr>
            <w:tcW w:w="1694" w:type="dxa"/>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50.32</w:t>
            </w:r>
          </w:p>
        </w:tc>
        <w:tc>
          <w:tcPr>
            <w:tcW w:w="158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48.57</w:t>
            </w:r>
          </w:p>
        </w:tc>
        <w:tc>
          <w:tcPr>
            <w:tcW w:w="158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1.75</w:t>
            </w:r>
          </w:p>
        </w:tc>
        <w:tc>
          <w:tcPr>
            <w:tcW w:w="159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680.52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rPr>
                <w:rFonts w:hint="default" w:eastAsia="宋体"/>
                <w:lang w:val="en-US" w:eastAsia="zh-CN"/>
              </w:rPr>
            </w:pPr>
            <w:r>
              <w:rPr>
                <w:rFonts w:ascii="宋体" w:hAnsi="宋体" w:eastAsia="宋体" w:cs="宋体"/>
                <w:i w:val="0"/>
                <w:iCs w:val="0"/>
                <w:snapToGrid w:val="0"/>
                <w:color w:val="000000"/>
                <w:kern w:val="0"/>
                <w:sz w:val="20"/>
                <w:szCs w:val="20"/>
                <w:u w:val="none"/>
                <w:lang w:val="en-US" w:eastAsia="zh-CN" w:bidi="ar"/>
              </w:rPr>
              <w:t>030001</w:t>
            </w:r>
          </w:p>
        </w:tc>
        <w:tc>
          <w:tcPr>
            <w:tcW w:w="4813" w:type="dxa"/>
            <w:vAlign w:val="center"/>
          </w:tcPr>
          <w:p>
            <w:pPr>
              <w:keepNext w:val="0"/>
              <w:keepLines w:val="0"/>
              <w:widowControl/>
              <w:suppressLineNumbers w:val="0"/>
              <w:jc w:val="left"/>
              <w:textAlignment w:val="center"/>
              <w:rPr>
                <w:rFonts w:hint="eastAsia" w:eastAsia="宋体"/>
                <w:lang w:eastAsia="zh-CN"/>
              </w:rP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694"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c>
          <w:tcPr>
            <w:tcW w:w="1694"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50.32</w:t>
            </w:r>
          </w:p>
        </w:tc>
        <w:tc>
          <w:tcPr>
            <w:tcW w:w="158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48.57</w:t>
            </w:r>
          </w:p>
        </w:tc>
        <w:tc>
          <w:tcPr>
            <w:tcW w:w="158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1.75</w:t>
            </w:r>
          </w:p>
        </w:tc>
        <w:tc>
          <w:tcPr>
            <w:tcW w:w="159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680.52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724.64</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44.12</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42.37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伤残抚恤</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2080805</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义务兵优待</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退役安置</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2080901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退役士兵安置</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其他退役安置支出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退役军人管理事务</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116.95</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38.95</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37.20</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2082801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38.95</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38.95</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37.20</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其他退役军人事务管理支出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56.11</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0.11</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0.11</w:t>
            </w: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56.11</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0.11</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0.11</w:t>
            </w: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0.02</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0.02</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0.02</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vAlign w:val="center"/>
          </w:tcPr>
          <w:p>
            <w:pPr>
              <w:jc w:val="right"/>
            </w:pPr>
          </w:p>
        </w:tc>
        <w:tc>
          <w:tcPr>
            <w:tcW w:w="1593" w:type="dxa"/>
            <w:vAlign w:val="center"/>
          </w:tcPr>
          <w:p>
            <w:pPr>
              <w:jc w:val="right"/>
            </w:pPr>
          </w:p>
        </w:tc>
      </w:tr>
    </w:tbl>
    <w:p>
      <w:pPr>
        <w:rPr>
          <w:rFonts w:ascii="Arial"/>
          <w:sz w:val="21"/>
        </w:rPr>
      </w:pPr>
    </w:p>
    <w:p>
      <w:pPr>
        <w:rPr>
          <w:rFonts w:ascii="Arial" w:hAnsi="Arial" w:eastAsia="Arial" w:cs="Arial"/>
          <w:sz w:val="21"/>
          <w:szCs w:val="21"/>
        </w:rPr>
        <w:sectPr>
          <w:pgSz w:w="16840" w:h="11905"/>
          <w:pgMar w:top="911" w:right="1230" w:bottom="400" w:left="1210" w:header="0" w:footer="0" w:gutter="0"/>
          <w:cols w:space="720" w:num="1"/>
        </w:sectPr>
      </w:pPr>
    </w:p>
    <w:p>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pPr>
        <w:spacing w:line="337"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4521" w:type="dxa"/>
            <w:vAlign w:val="top"/>
          </w:tcPr>
          <w:p>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730.84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4521" w:type="dxa"/>
            <w:vAlign w:val="top"/>
          </w:tcPr>
          <w:p>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pPr>
              <w:pStyle w:val="6"/>
            </w:pPr>
          </w:p>
        </w:tc>
        <w:tc>
          <w:tcPr>
            <w:tcW w:w="4521" w:type="dxa"/>
            <w:vAlign w:val="top"/>
          </w:tcPr>
          <w:p>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pPr>
              <w:pStyle w:val="6"/>
            </w:pPr>
          </w:p>
        </w:tc>
        <w:tc>
          <w:tcPr>
            <w:tcW w:w="4521" w:type="dxa"/>
            <w:vAlign w:val="top"/>
          </w:tcPr>
          <w:p>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pPr>
              <w:pStyle w:val="6"/>
            </w:pPr>
          </w:p>
        </w:tc>
        <w:tc>
          <w:tcPr>
            <w:tcW w:w="4521" w:type="dxa"/>
            <w:vAlign w:val="top"/>
          </w:tcPr>
          <w:p>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pStyle w:val="6"/>
            </w:pP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pStyle w:val="6"/>
            </w:pP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pStyle w:val="6"/>
            </w:pPr>
          </w:p>
        </w:tc>
        <w:tc>
          <w:tcPr>
            <w:tcW w:w="2546" w:type="dxa"/>
            <w:vAlign w:val="top"/>
          </w:tcPr>
          <w:p>
            <w:pPr>
              <w:pStyle w:val="6"/>
            </w:pPr>
          </w:p>
        </w:tc>
        <w:tc>
          <w:tcPr>
            <w:tcW w:w="4521" w:type="dxa"/>
            <w:vAlign w:val="top"/>
          </w:tcPr>
          <w:p>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pStyle w:val="6"/>
            </w:pP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730.84</w:t>
            </w:r>
          </w:p>
        </w:tc>
        <w:tc>
          <w:tcPr>
            <w:tcW w:w="4521" w:type="dxa"/>
            <w:vAlign w:val="top"/>
          </w:tcPr>
          <w:p>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730.84</w:t>
            </w:r>
          </w:p>
        </w:tc>
      </w:tr>
    </w:tbl>
    <w:p>
      <w:pPr>
        <w:rPr>
          <w:rFonts w:ascii="Arial"/>
          <w:sz w:val="21"/>
        </w:rPr>
      </w:pPr>
    </w:p>
    <w:p>
      <w:pPr>
        <w:rPr>
          <w:rFonts w:ascii="Arial" w:hAnsi="Arial" w:eastAsia="Arial" w:cs="Arial"/>
          <w:sz w:val="21"/>
          <w:szCs w:val="21"/>
        </w:rPr>
        <w:sectPr>
          <w:pgSz w:w="16840" w:h="11905"/>
          <w:pgMar w:top="911" w:right="1344" w:bottom="400" w:left="1325" w:header="0" w:footer="0" w:gutter="0"/>
          <w:cols w:space="720" w:num="1"/>
        </w:sectPr>
      </w:pPr>
    </w:p>
    <w:p>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63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pPr>
              <w:pStyle w:val="6"/>
              <w:spacing w:line="296" w:lineRule="auto"/>
            </w:pPr>
          </w:p>
          <w:p>
            <w:pPr>
              <w:pStyle w:val="6"/>
              <w:spacing w:line="296" w:lineRule="auto"/>
            </w:pPr>
          </w:p>
          <w:p>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pPr>
              <w:pStyle w:val="6"/>
              <w:spacing w:line="296" w:lineRule="auto"/>
            </w:pPr>
          </w:p>
          <w:p>
            <w:pPr>
              <w:pStyle w:val="6"/>
              <w:spacing w:line="296" w:lineRule="auto"/>
            </w:pPr>
          </w:p>
          <w:p>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pPr>
              <w:pStyle w:val="6"/>
            </w:pPr>
          </w:p>
        </w:tc>
        <w:tc>
          <w:tcPr>
            <w:tcW w:w="4813" w:type="dxa"/>
            <w:vMerge w:val="continue"/>
            <w:tcBorders>
              <w:top w:val="nil"/>
              <w:bottom w:val="nil"/>
            </w:tcBorders>
            <w:vAlign w:val="top"/>
          </w:tcPr>
          <w:p>
            <w:pPr>
              <w:pStyle w:val="6"/>
            </w:pPr>
          </w:p>
        </w:tc>
        <w:tc>
          <w:tcPr>
            <w:tcW w:w="1694" w:type="dxa"/>
            <w:vMerge w:val="restart"/>
            <w:tcBorders>
              <w:bottom w:val="nil"/>
            </w:tcBorders>
            <w:vAlign w:val="top"/>
          </w:tcPr>
          <w:p>
            <w:pPr>
              <w:pStyle w:val="6"/>
              <w:spacing w:line="336" w:lineRule="auto"/>
            </w:pPr>
          </w:p>
          <w:p>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pPr>
              <w:pStyle w:val="6"/>
              <w:spacing w:line="335" w:lineRule="auto"/>
            </w:pPr>
          </w:p>
          <w:p>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pPr>
              <w:pStyle w:val="6"/>
            </w:pPr>
          </w:p>
        </w:tc>
        <w:tc>
          <w:tcPr>
            <w:tcW w:w="4813" w:type="dxa"/>
            <w:vMerge w:val="continue"/>
            <w:tcBorders>
              <w:top w:val="nil"/>
            </w:tcBorders>
            <w:vAlign w:val="top"/>
          </w:tcPr>
          <w:p>
            <w:pPr>
              <w:pStyle w:val="6"/>
            </w:pPr>
          </w:p>
        </w:tc>
        <w:tc>
          <w:tcPr>
            <w:tcW w:w="1694" w:type="dxa"/>
            <w:vMerge w:val="continue"/>
            <w:tcBorders>
              <w:top w:val="nil"/>
            </w:tcBorders>
            <w:vAlign w:val="top"/>
          </w:tcPr>
          <w:p>
            <w:pPr>
              <w:pStyle w:val="6"/>
            </w:pPr>
          </w:p>
        </w:tc>
        <w:tc>
          <w:tcPr>
            <w:tcW w:w="1694" w:type="dxa"/>
            <w:vAlign w:val="top"/>
          </w:tcPr>
          <w:p>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4813" w:type="dxa"/>
            <w:vAlign w:val="top"/>
          </w:tcPr>
          <w:p>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50.32</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48.57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r>
    </w:tbl>
    <w:tbl>
      <w:tblPr>
        <w:tblStyle w:val="3"/>
        <w:tblW w:w="16314"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3"/>
        <w:gridCol w:w="4813"/>
        <w:gridCol w:w="1694"/>
        <w:gridCol w:w="1694"/>
        <w:gridCol w:w="1583"/>
        <w:gridCol w:w="1583"/>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030001</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730.84</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48.57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1.75</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724.64</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44.12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42.37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1.75</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20808</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抚恤</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356.52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2080802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伤残抚恤</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104.02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2080805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义务兵优待</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252.50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退役安置</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190.00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2080901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退役士兵安置</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2080999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其他退役安置支出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20828</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退役军人管理事务</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116.95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38.95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1.75</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2082801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38.95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38.95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1.75</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2082899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其他退役军人事务管理支出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56.11</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56.11</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2.24</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2.24</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ascii="Arial" w:hAnsi="Arial" w:eastAsia="Arial" w:cs="Arial"/>
          <w:sz w:val="21"/>
          <w:szCs w:val="21"/>
        </w:rPr>
        <w:sectPr>
          <w:pgSz w:w="16840" w:h="11905"/>
          <w:pgMar w:top="911" w:right="1260" w:bottom="400" w:left="1240" w:header="0" w:footer="0" w:gutter="0"/>
          <w:cols w:space="720" w:num="1"/>
        </w:sectPr>
      </w:pPr>
    </w:p>
    <w:p>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pPr>
        <w:spacing w:line="339"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top"/>
          </w:tcPr>
          <w:p>
            <w:pPr>
              <w:pStyle w:val="6"/>
            </w:pPr>
          </w:p>
        </w:tc>
        <w:tc>
          <w:tcPr>
            <w:tcW w:w="6155" w:type="dxa"/>
            <w:vAlign w:val="top"/>
          </w:tcPr>
          <w:p>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50.32</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48.57</w:t>
            </w: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030001</w:t>
            </w:r>
          </w:p>
        </w:tc>
        <w:tc>
          <w:tcPr>
            <w:tcW w:w="6155"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50.32</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48.57</w:t>
            </w: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30101</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16.40</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16.40</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30102</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12.16</w:t>
            </w:r>
          </w:p>
        </w:tc>
        <w:tc>
          <w:tcPr>
            <w:tcW w:w="226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12.16</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30103</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7.50</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7.50</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30108</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30110</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30112</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0.13</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0.13</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30113</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30201</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0.86</w:t>
            </w:r>
          </w:p>
        </w:tc>
        <w:tc>
          <w:tcPr>
            <w:tcW w:w="2266" w:type="dxa"/>
            <w:vAlign w:val="center"/>
          </w:tcPr>
          <w:p>
            <w:pPr>
              <w:jc w:val="right"/>
            </w:pP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30202</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2266" w:type="dxa"/>
            <w:vAlign w:val="center"/>
          </w:tcPr>
          <w:p>
            <w:pPr>
              <w:jc w:val="right"/>
            </w:pP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30227</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2266" w:type="dxa"/>
            <w:vAlign w:val="center"/>
          </w:tcPr>
          <w:p>
            <w:pPr>
              <w:jc w:val="right"/>
            </w:pP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30228</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2266" w:type="dxa"/>
            <w:vAlign w:val="center"/>
          </w:tcPr>
          <w:p>
            <w:pPr>
              <w:jc w:val="right"/>
            </w:pP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30229</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0.05</w:t>
            </w:r>
          </w:p>
        </w:tc>
        <w:tc>
          <w:tcPr>
            <w:tcW w:w="2266" w:type="dxa"/>
            <w:vAlign w:val="center"/>
          </w:tcPr>
          <w:p>
            <w:pPr>
              <w:jc w:val="right"/>
            </w:pP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30239</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2165" w:type="dxa"/>
            <w:vAlign w:val="center"/>
          </w:tcPr>
          <w:p>
            <w:pPr>
              <w:jc w:val="right"/>
            </w:pPr>
          </w:p>
        </w:tc>
      </w:tr>
    </w:tbl>
    <w:p>
      <w:pPr>
        <w:rPr>
          <w:rFonts w:ascii="Arial"/>
          <w:sz w:val="21"/>
        </w:rPr>
      </w:pPr>
    </w:p>
    <w:p>
      <w:pPr>
        <w:rPr>
          <w:rFonts w:ascii="Arial" w:hAnsi="Arial" w:eastAsia="Arial" w:cs="Arial"/>
          <w:sz w:val="21"/>
          <w:szCs w:val="21"/>
        </w:rPr>
        <w:sectPr>
          <w:pgSz w:w="16840" w:h="11905"/>
          <w:pgMar w:top="911" w:right="1279" w:bottom="400" w:left="1270" w:header="0" w:footer="0" w:gutter="0"/>
          <w:cols w:space="720" w:num="1"/>
        </w:sectPr>
      </w:pPr>
    </w:p>
    <w:p>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pPr>
              <w:pStyle w:val="6"/>
              <w:spacing w:line="344" w:lineRule="auto"/>
            </w:pPr>
          </w:p>
          <w:p>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pPr>
              <w:pStyle w:val="6"/>
              <w:spacing w:line="344" w:lineRule="auto"/>
            </w:pPr>
          </w:p>
          <w:p>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pPr>
              <w:pStyle w:val="6"/>
              <w:spacing w:line="344" w:lineRule="auto"/>
            </w:pPr>
          </w:p>
          <w:p>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pPr>
              <w:pStyle w:val="6"/>
            </w:pPr>
          </w:p>
        </w:tc>
        <w:tc>
          <w:tcPr>
            <w:tcW w:w="3208" w:type="dxa"/>
            <w:vMerge w:val="continue"/>
            <w:tcBorders>
              <w:top w:val="nil"/>
            </w:tcBorders>
            <w:vAlign w:val="top"/>
          </w:tcPr>
          <w:p>
            <w:pPr>
              <w:pStyle w:val="6"/>
            </w:pPr>
          </w:p>
        </w:tc>
        <w:tc>
          <w:tcPr>
            <w:tcW w:w="1964" w:type="dxa"/>
            <w:vAlign w:val="top"/>
          </w:tcPr>
          <w:p>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shd w:val="clear" w:color="auto" w:fill="auto"/>
            <w:vAlign w:val="center"/>
          </w:tcPr>
          <w:p>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030001 盘锦市双台子区退役军人事务局本级</w:t>
            </w: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274" w:bottom="400" w:left="1255" w:header="0" w:footer="0" w:gutter="0"/>
          <w:cols w:space="720" w:num="1"/>
        </w:sectPr>
      </w:pPr>
    </w:p>
    <w:p>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pPr>
        <w:spacing w:line="339"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pPr>
              <w:pStyle w:val="6"/>
              <w:spacing w:line="344" w:lineRule="auto"/>
            </w:pPr>
          </w:p>
          <w:p>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pPr>
              <w:pStyle w:val="6"/>
              <w:spacing w:line="344" w:lineRule="auto"/>
            </w:pPr>
          </w:p>
          <w:p>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pPr>
              <w:pStyle w:val="6"/>
            </w:pPr>
          </w:p>
        </w:tc>
        <w:tc>
          <w:tcPr>
            <w:tcW w:w="6477" w:type="dxa"/>
            <w:vMerge w:val="continue"/>
            <w:tcBorders>
              <w:top w:val="nil"/>
            </w:tcBorders>
            <w:vAlign w:val="top"/>
          </w:tcPr>
          <w:p>
            <w:pPr>
              <w:pStyle w:val="6"/>
            </w:pPr>
          </w:p>
        </w:tc>
        <w:tc>
          <w:tcPr>
            <w:tcW w:w="2146" w:type="dxa"/>
            <w:vAlign w:val="top"/>
          </w:tcPr>
          <w:p>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6"/>
            </w:pPr>
          </w:p>
        </w:tc>
        <w:tc>
          <w:tcPr>
            <w:tcW w:w="6477" w:type="dxa"/>
            <w:vAlign w:val="top"/>
          </w:tcPr>
          <w:p>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bl>
    <w:p>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pPr>
        <w:spacing w:line="229" w:lineRule="auto"/>
        <w:rPr>
          <w:rFonts w:ascii="宋体" w:hAnsi="宋体" w:eastAsia="宋体" w:cs="宋体"/>
          <w:sz w:val="19"/>
          <w:szCs w:val="19"/>
        </w:rPr>
        <w:sectPr>
          <w:pgSz w:w="16840" w:h="11905"/>
          <w:pgMar w:top="911" w:right="1268" w:bottom="400" w:left="1249" w:header="0" w:footer="0" w:gutter="0"/>
          <w:cols w:space="720" w:num="1"/>
        </w:sectPr>
      </w:pPr>
    </w:p>
    <w:p>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pPr>
        <w:spacing w:line="353" w:lineRule="auto"/>
        <w:rPr>
          <w:rFonts w:ascii="Arial"/>
          <w:sz w:val="21"/>
        </w:rPr>
      </w:pPr>
    </w:p>
    <w:p>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459"/>
        <w:gridCol w:w="536"/>
        <w:gridCol w:w="682"/>
        <w:gridCol w:w="682"/>
        <w:gridCol w:w="561"/>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6"/>
              <w:spacing w:line="302" w:lineRule="auto"/>
            </w:pPr>
          </w:p>
          <w:p>
            <w:pPr>
              <w:pStyle w:val="6"/>
              <w:spacing w:line="302" w:lineRule="auto"/>
            </w:pPr>
          </w:p>
          <w:p>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6"/>
              <w:spacing w:line="302" w:lineRule="auto"/>
            </w:pPr>
          </w:p>
          <w:p>
            <w:pPr>
              <w:pStyle w:val="6"/>
              <w:spacing w:line="302" w:lineRule="auto"/>
            </w:pPr>
          </w:p>
          <w:p>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pPr>
              <w:pStyle w:val="6"/>
              <w:spacing w:line="302" w:lineRule="auto"/>
            </w:pPr>
          </w:p>
          <w:p>
            <w:pPr>
              <w:pStyle w:val="6"/>
              <w:spacing w:line="302"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43" w:type="dxa"/>
            <w:vMerge w:val="continue"/>
            <w:tcBorders>
              <w:top w:val="nil"/>
            </w:tcBorders>
            <w:vAlign w:val="top"/>
          </w:tcPr>
          <w:p>
            <w:pPr>
              <w:pStyle w:val="6"/>
            </w:pPr>
          </w:p>
        </w:tc>
        <w:tc>
          <w:tcPr>
            <w:tcW w:w="1314" w:type="dxa"/>
            <w:vAlign w:val="top"/>
          </w:tcPr>
          <w:p>
            <w:pPr>
              <w:pStyle w:val="6"/>
              <w:spacing w:line="346" w:lineRule="auto"/>
            </w:pPr>
          </w:p>
          <w:p>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459" w:type="dxa"/>
            <w:vAlign w:val="top"/>
          </w:tcPr>
          <w:p>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536" w:type="dxa"/>
            <w:vAlign w:val="top"/>
          </w:tcPr>
          <w:p>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pPr>
              <w:pStyle w:val="6"/>
              <w:spacing w:line="346"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6"/>
            </w:pPr>
          </w:p>
        </w:tc>
        <w:tc>
          <w:tcPr>
            <w:tcW w:w="1243" w:type="dxa"/>
            <w:vAlign w:val="top"/>
          </w:tcPr>
          <w:p>
            <w:pPr>
              <w:pStyle w:val="6"/>
            </w:pPr>
          </w:p>
        </w:tc>
        <w:tc>
          <w:tcPr>
            <w:tcW w:w="1314" w:type="dxa"/>
            <w:vAlign w:val="top"/>
          </w:tcPr>
          <w:p>
            <w:pPr>
              <w:pStyle w:val="6"/>
              <w:jc w:val="right"/>
            </w:pPr>
          </w:p>
          <w:p>
            <w:pPr>
              <w:bidi w:val="0"/>
              <w:jc w:val="right"/>
            </w:pPr>
            <w:r>
              <w:rPr>
                <w:rFonts w:hint="eastAsia" w:ascii="宋体" w:hAnsi="宋体" w:eastAsia="宋体" w:cs="宋体"/>
                <w:i w:val="0"/>
                <w:iCs w:val="0"/>
                <w:snapToGrid w:val="0"/>
                <w:color w:val="000000"/>
                <w:kern w:val="0"/>
                <w:sz w:val="20"/>
                <w:szCs w:val="20"/>
                <w:u w:val="none"/>
                <w:lang w:val="en-US" w:eastAsia="zh-CN" w:bidi="ar"/>
              </w:rPr>
              <w:t>680.52</w:t>
            </w:r>
          </w:p>
        </w:tc>
        <w:tc>
          <w:tcPr>
            <w:tcW w:w="1459" w:type="dxa"/>
            <w:vAlign w:val="top"/>
          </w:tcPr>
          <w:p>
            <w:pPr>
              <w:pStyle w:val="6"/>
              <w:jc w:val="right"/>
            </w:pPr>
          </w:p>
          <w:p>
            <w:pPr>
              <w:bidi w:val="0"/>
              <w:jc w:val="right"/>
            </w:pPr>
            <w:r>
              <w:rPr>
                <w:rFonts w:hint="eastAsia" w:ascii="宋体" w:hAnsi="宋体" w:eastAsia="宋体" w:cs="宋体"/>
                <w:i w:val="0"/>
                <w:iCs w:val="0"/>
                <w:snapToGrid w:val="0"/>
                <w:color w:val="000000"/>
                <w:kern w:val="0"/>
                <w:sz w:val="20"/>
                <w:szCs w:val="20"/>
                <w:u w:val="none"/>
                <w:lang w:val="en-US" w:eastAsia="zh-CN" w:bidi="ar"/>
              </w:rPr>
              <w:t>680.52</w:t>
            </w:r>
          </w:p>
        </w:tc>
        <w:tc>
          <w:tcPr>
            <w:tcW w:w="536"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815" w:type="dxa"/>
            <w:vAlign w:val="center"/>
          </w:tcPr>
          <w:p>
            <w:pPr>
              <w:jc w:val="left"/>
            </w:pPr>
          </w:p>
        </w:tc>
        <w:tc>
          <w:tcPr>
            <w:tcW w:w="1243" w:type="dxa"/>
            <w:vAlign w:val="center"/>
          </w:tcPr>
          <w:p>
            <w:pPr>
              <w:jc w:val="left"/>
            </w:pP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145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536"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pPr>
              <w:jc w:val="left"/>
            </w:pP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退役军人事务管理专项业务经费</w:t>
            </w:r>
          </w:p>
        </w:tc>
        <w:tc>
          <w:tcPr>
            <w:tcW w:w="124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双拥经费县区级每年安排双拥办公室经费不少于10万元，经费保障满足双拥工作需要并根据经济社会发展水平逐渐增加，主要用于双拥宣传、各街道服务站室外宣传板，条幅、宣传单等。本级10万元。</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22024-2025年统计专用系统网费3万元</w:t>
            </w:r>
          </w:p>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八一、春节走访按人数发放</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145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536"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pPr>
              <w:jc w:val="left"/>
            </w:pP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优抚对象抚恤补助</w:t>
            </w:r>
          </w:p>
        </w:tc>
        <w:tc>
          <w:tcPr>
            <w:tcW w:w="124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盘退役军人发（2023）29号</w:t>
            </w:r>
          </w:p>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关于转发《辽宁省退役军人事务厅 辽宁省财政厅关于调整部分优抚对象等人员抚恤和生活补助标准的通知》和提高相关优抚对象生活补助标准的通知，根据文件要求，对以上项目按要求定时发放</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45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536"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pPr>
              <w:jc w:val="left"/>
            </w:pP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退役安置补助</w:t>
            </w:r>
          </w:p>
        </w:tc>
        <w:tc>
          <w:tcPr>
            <w:tcW w:w="124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退役士兵安置主要是安置人员一次性经济补助，军转干部退休金及生活补助等，获奖等级不金额不同，保险按时缴纳等，保障退役人员各项待遇及时发放。按照国家文件要求实施，执行</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246.00</w:t>
            </w:r>
          </w:p>
        </w:tc>
        <w:tc>
          <w:tcPr>
            <w:tcW w:w="145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246.00</w:t>
            </w:r>
          </w:p>
        </w:tc>
        <w:tc>
          <w:tcPr>
            <w:tcW w:w="536"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center"/>
          </w:tcPr>
          <w:p>
            <w:pPr>
              <w:jc w:val="left"/>
            </w:pP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义务兵优待金</w:t>
            </w:r>
          </w:p>
        </w:tc>
        <w:tc>
          <w:tcPr>
            <w:tcW w:w="124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义务兵服现役期间，地方政府对其家庭发放优待金。按照上年度全省城乡居民人均消费支持水平确定当年发放标准。按文件要求，入伍大学生一次性奖励金按时发放，消防预备士家庭优待金所需经费由所在县（市.区）财政予以保障。</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145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536"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pgMar w:top="937" w:right="1343" w:bottom="400" w:left="1324" w:header="0" w:footer="0" w:gutter="0"/>
          <w:cols w:space="720" w:num="1"/>
        </w:sectPr>
      </w:pPr>
    </w:p>
    <w:p>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pPr>
        <w:spacing w:line="337"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6"/>
              <w:spacing w:line="305" w:lineRule="auto"/>
            </w:pPr>
          </w:p>
          <w:p>
            <w:pPr>
              <w:pStyle w:val="6"/>
              <w:spacing w:line="305" w:lineRule="auto"/>
            </w:pPr>
          </w:p>
          <w:p>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pPr>
              <w:pStyle w:val="6"/>
              <w:spacing w:line="305" w:lineRule="auto"/>
            </w:pPr>
          </w:p>
          <w:p>
            <w:pPr>
              <w:pStyle w:val="6"/>
              <w:spacing w:line="305" w:lineRule="auto"/>
            </w:pPr>
          </w:p>
          <w:p>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pPr>
              <w:pStyle w:val="6"/>
              <w:spacing w:line="305" w:lineRule="auto"/>
            </w:pPr>
          </w:p>
          <w:p>
            <w:pPr>
              <w:pStyle w:val="6"/>
              <w:spacing w:line="305"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43" w:type="dxa"/>
            <w:vMerge w:val="continue"/>
            <w:tcBorders>
              <w:top w:val="nil"/>
            </w:tcBorders>
            <w:vAlign w:val="top"/>
          </w:tcPr>
          <w:p>
            <w:pPr>
              <w:pStyle w:val="6"/>
            </w:pPr>
          </w:p>
        </w:tc>
        <w:tc>
          <w:tcPr>
            <w:tcW w:w="1314" w:type="dxa"/>
            <w:vAlign w:val="top"/>
          </w:tcPr>
          <w:p>
            <w:pPr>
              <w:pStyle w:val="6"/>
              <w:spacing w:line="352" w:lineRule="auto"/>
            </w:pPr>
          </w:p>
          <w:p>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52" w:lineRule="auto"/>
            </w:pPr>
          </w:p>
          <w:p>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pPr>
              <w:pStyle w:val="6"/>
            </w:pPr>
          </w:p>
        </w:tc>
        <w:tc>
          <w:tcPr>
            <w:tcW w:w="1815" w:type="dxa"/>
            <w:vAlign w:val="top"/>
          </w:tcPr>
          <w:p>
            <w:pPr>
              <w:spacing w:before="170"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030001</w:t>
            </w:r>
          </w:p>
        </w:tc>
        <w:tc>
          <w:tcPr>
            <w:tcW w:w="1815"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724.64</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724.64</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724.64</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抚恤</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伤残抚恤</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义务兵优待</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退役安置</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退役士兵安置</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其他退役安置支出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20828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退役军人管理事务</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116.95</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116.95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116.95</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38.95</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38.95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38.95</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其他退役军人事务管理支出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56.11</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56.11</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56.11</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56.11</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56.11</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56.11</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0.02</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0.02</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302" w:bottom="400" w:left="1283" w:header="0" w:footer="0" w:gutter="0"/>
          <w:cols w:space="720" w:num="1"/>
        </w:sectPr>
      </w:pPr>
    </w:p>
    <w:p>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pPr>
        <w:spacing w:line="339" w:lineRule="auto"/>
        <w:rPr>
          <w:rFonts w:ascii="Arial"/>
          <w:sz w:val="21"/>
        </w:rPr>
      </w:pPr>
    </w:p>
    <w:p>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6"/>
              <w:spacing w:line="296" w:lineRule="auto"/>
            </w:pPr>
          </w:p>
          <w:p>
            <w:pPr>
              <w:pStyle w:val="6"/>
              <w:spacing w:line="296" w:lineRule="auto"/>
            </w:pPr>
          </w:p>
          <w:p>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pPr>
              <w:pStyle w:val="6"/>
              <w:spacing w:line="296" w:lineRule="auto"/>
            </w:pPr>
          </w:p>
          <w:p>
            <w:pPr>
              <w:pStyle w:val="6"/>
              <w:spacing w:line="296" w:lineRule="auto"/>
            </w:pPr>
          </w:p>
          <w:p>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pPr>
              <w:pStyle w:val="6"/>
              <w:spacing w:line="296" w:lineRule="auto"/>
            </w:pPr>
          </w:p>
          <w:p>
            <w:pPr>
              <w:pStyle w:val="6"/>
              <w:spacing w:line="297" w:lineRule="auto"/>
            </w:pPr>
          </w:p>
          <w:p>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6"/>
            </w:pPr>
          </w:p>
        </w:tc>
        <w:tc>
          <w:tcPr>
            <w:tcW w:w="2356" w:type="dxa"/>
            <w:vMerge w:val="continue"/>
            <w:tcBorders>
              <w:top w:val="nil"/>
            </w:tcBorders>
            <w:vAlign w:val="top"/>
          </w:tcPr>
          <w:p>
            <w:pPr>
              <w:pStyle w:val="6"/>
            </w:pPr>
          </w:p>
        </w:tc>
        <w:tc>
          <w:tcPr>
            <w:tcW w:w="1223" w:type="dxa"/>
            <w:vMerge w:val="continue"/>
            <w:tcBorders>
              <w:top w:val="nil"/>
            </w:tcBorders>
            <w:vAlign w:val="top"/>
          </w:tcPr>
          <w:p>
            <w:pPr>
              <w:pStyle w:val="6"/>
            </w:pPr>
          </w:p>
        </w:tc>
        <w:tc>
          <w:tcPr>
            <w:tcW w:w="1303" w:type="dxa"/>
            <w:vAlign w:val="top"/>
          </w:tcPr>
          <w:p>
            <w:pPr>
              <w:pStyle w:val="6"/>
              <w:spacing w:line="337" w:lineRule="auto"/>
            </w:pPr>
          </w:p>
          <w:p>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37" w:lineRule="auto"/>
            </w:pPr>
          </w:p>
          <w:p>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pStyle w:val="6"/>
            </w:pPr>
          </w:p>
        </w:tc>
        <w:tc>
          <w:tcPr>
            <w:tcW w:w="2356" w:type="dxa"/>
            <w:vAlign w:val="top"/>
          </w:tcPr>
          <w:p>
            <w:pPr>
              <w:spacing w:before="155" w:line="231" w:lineRule="auto"/>
              <w:ind w:left="982"/>
              <w:rPr>
                <w:rFonts w:ascii="宋体" w:hAnsi="宋体" w:eastAsia="宋体" w:cs="宋体"/>
                <w:sz w:val="19"/>
                <w:szCs w:val="19"/>
              </w:rPr>
            </w:pPr>
            <w:r>
              <w:rPr>
                <w:rFonts w:ascii="宋体" w:hAnsi="宋体" w:eastAsia="宋体" w:cs="宋体"/>
                <w:spacing w:val="5"/>
                <w:sz w:val="19"/>
                <w:szCs w:val="19"/>
              </w:rPr>
              <w:t>合计</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030001</w:t>
            </w:r>
          </w:p>
        </w:tc>
        <w:tc>
          <w:tcPr>
            <w:tcW w:w="2356"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501</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33.84</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33.84</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33.84</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7.41</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7.41</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7.41</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502</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4.81</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4.81</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4.81</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503</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509</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607.52</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607.52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607.52</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50999</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027" w:bottom="400" w:left="1009" w:header="0" w:footer="0" w:gutter="0"/>
          <w:cols w:space="720" w:num="1"/>
        </w:sectPr>
      </w:pPr>
    </w:p>
    <w:p>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pPr>
        <w:spacing w:line="337"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6"/>
              <w:spacing w:line="296" w:lineRule="auto"/>
            </w:pPr>
          </w:p>
          <w:p>
            <w:pPr>
              <w:pStyle w:val="6"/>
              <w:spacing w:line="296" w:lineRule="auto"/>
            </w:pPr>
          </w:p>
          <w:p>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pPr>
              <w:pStyle w:val="6"/>
              <w:spacing w:line="296" w:lineRule="auto"/>
            </w:pPr>
          </w:p>
          <w:p>
            <w:pPr>
              <w:pStyle w:val="6"/>
              <w:spacing w:line="296" w:lineRule="auto"/>
            </w:pPr>
          </w:p>
          <w:p>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pPr>
              <w:pStyle w:val="6"/>
              <w:spacing w:line="296" w:lineRule="auto"/>
            </w:pPr>
          </w:p>
          <w:p>
            <w:pPr>
              <w:pStyle w:val="6"/>
              <w:spacing w:line="297" w:lineRule="auto"/>
            </w:pPr>
          </w:p>
          <w:p>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43" w:type="dxa"/>
            <w:vMerge w:val="continue"/>
            <w:tcBorders>
              <w:top w:val="nil"/>
            </w:tcBorders>
            <w:vAlign w:val="top"/>
          </w:tcPr>
          <w:p>
            <w:pPr>
              <w:pStyle w:val="6"/>
            </w:pPr>
          </w:p>
        </w:tc>
        <w:tc>
          <w:tcPr>
            <w:tcW w:w="1183" w:type="dxa"/>
            <w:vAlign w:val="top"/>
          </w:tcPr>
          <w:p>
            <w:pPr>
              <w:pStyle w:val="6"/>
              <w:spacing w:line="337" w:lineRule="auto"/>
            </w:pPr>
          </w:p>
          <w:p>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37"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spacing w:before="155"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030001</w:t>
            </w:r>
          </w:p>
        </w:tc>
        <w:tc>
          <w:tcPr>
            <w:tcW w:w="1815"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16.40</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16.40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16.40</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9.94</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9.94</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9.94</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7.50</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7.50</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0.13</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0.13</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0.13</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0.86</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0.86</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0.86</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0.05</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0.05</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503.50</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503.50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503.50</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30307</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医疗费补助</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310</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348" w:bottom="400" w:left="1329" w:header="0" w:footer="0" w:gutter="0"/>
          <w:cols w:space="720" w:num="1"/>
        </w:sectPr>
      </w:pPr>
    </w:p>
    <w:p>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pPr>
        <w:spacing w:line="323"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Merge w:val="restart"/>
            <w:tcBorders>
              <w:bottom w:val="nil"/>
            </w:tcBorders>
            <w:vAlign w:val="top"/>
          </w:tcPr>
          <w:p>
            <w:pPr>
              <w:pStyle w:val="6"/>
              <w:spacing w:line="296" w:lineRule="auto"/>
            </w:pPr>
          </w:p>
          <w:p>
            <w:pPr>
              <w:pStyle w:val="6"/>
              <w:spacing w:line="296" w:lineRule="auto"/>
            </w:pPr>
          </w:p>
          <w:p>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6"/>
              <w:spacing w:line="296" w:lineRule="auto"/>
            </w:pPr>
          </w:p>
          <w:p>
            <w:pPr>
              <w:pStyle w:val="6"/>
              <w:spacing w:line="296" w:lineRule="auto"/>
            </w:pPr>
          </w:p>
          <w:p>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pPr>
              <w:pStyle w:val="6"/>
              <w:spacing w:line="296" w:lineRule="auto"/>
            </w:pPr>
          </w:p>
          <w:p>
            <w:pPr>
              <w:pStyle w:val="6"/>
              <w:spacing w:line="297" w:lineRule="auto"/>
            </w:pPr>
          </w:p>
          <w:p>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73" w:type="dxa"/>
            <w:vMerge w:val="continue"/>
            <w:tcBorders>
              <w:top w:val="nil"/>
            </w:tcBorders>
            <w:vAlign w:val="top"/>
          </w:tcPr>
          <w:p>
            <w:pPr>
              <w:pStyle w:val="6"/>
            </w:pPr>
          </w:p>
        </w:tc>
        <w:tc>
          <w:tcPr>
            <w:tcW w:w="1243" w:type="dxa"/>
            <w:vAlign w:val="top"/>
          </w:tcPr>
          <w:p>
            <w:pPr>
              <w:pStyle w:val="6"/>
              <w:spacing w:line="337" w:lineRule="auto"/>
            </w:pPr>
          </w:p>
          <w:p>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37" w:lineRule="auto"/>
            </w:pPr>
          </w:p>
          <w:p>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303" w:bottom="400" w:left="1283" w:header="0" w:footer="0" w:gutter="0"/>
          <w:cols w:space="720" w:num="1"/>
        </w:sectPr>
      </w:pPr>
    </w:p>
    <w:p>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pPr>
        <w:spacing w:line="354"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6"/>
              <w:spacing w:line="305" w:lineRule="auto"/>
            </w:pPr>
          </w:p>
          <w:p>
            <w:pPr>
              <w:pStyle w:val="6"/>
              <w:spacing w:line="305" w:lineRule="auto"/>
            </w:pPr>
          </w:p>
          <w:p>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6"/>
              <w:spacing w:line="305" w:lineRule="auto"/>
            </w:pPr>
          </w:p>
          <w:p>
            <w:pPr>
              <w:pStyle w:val="6"/>
              <w:spacing w:line="305" w:lineRule="auto"/>
            </w:pPr>
          </w:p>
          <w:p>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pPr>
              <w:pStyle w:val="6"/>
              <w:spacing w:line="305" w:lineRule="auto"/>
            </w:pPr>
          </w:p>
          <w:p>
            <w:pPr>
              <w:pStyle w:val="6"/>
              <w:spacing w:line="305"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43" w:type="dxa"/>
            <w:vMerge w:val="continue"/>
            <w:tcBorders>
              <w:top w:val="nil"/>
            </w:tcBorders>
            <w:vAlign w:val="top"/>
          </w:tcPr>
          <w:p>
            <w:pPr>
              <w:pStyle w:val="6"/>
            </w:pPr>
          </w:p>
        </w:tc>
        <w:tc>
          <w:tcPr>
            <w:tcW w:w="1243" w:type="dxa"/>
            <w:vAlign w:val="top"/>
          </w:tcPr>
          <w:p>
            <w:pPr>
              <w:pStyle w:val="6"/>
              <w:spacing w:line="352" w:lineRule="auto"/>
            </w:pPr>
          </w:p>
          <w:p>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52"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pgMar w:top="937" w:right="1318" w:bottom="400" w:left="1299" w:header="0" w:footer="0" w:gutter="0"/>
          <w:cols w:space="720" w:num="1"/>
        </w:sectPr>
      </w:pPr>
    </w:p>
    <w:p>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pPr>
        <w:spacing w:line="324"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pPr>
              <w:pStyle w:val="6"/>
              <w:spacing w:line="306" w:lineRule="auto"/>
            </w:pPr>
          </w:p>
          <w:p>
            <w:pPr>
              <w:pStyle w:val="6"/>
              <w:spacing w:line="307" w:lineRule="auto"/>
            </w:pPr>
          </w:p>
          <w:p>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pPr>
              <w:pStyle w:val="6"/>
              <w:spacing w:line="368" w:lineRule="auto"/>
            </w:pPr>
          </w:p>
          <w:p>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pPr>
              <w:pStyle w:val="6"/>
              <w:spacing w:line="245" w:lineRule="auto"/>
            </w:pPr>
          </w:p>
          <w:p>
            <w:pPr>
              <w:pStyle w:val="6"/>
              <w:spacing w:line="245" w:lineRule="auto"/>
            </w:pPr>
          </w:p>
          <w:p>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pPr>
              <w:pStyle w:val="6"/>
              <w:spacing w:line="307" w:lineRule="auto"/>
            </w:pPr>
          </w:p>
          <w:p>
            <w:pPr>
              <w:pStyle w:val="6"/>
              <w:spacing w:line="307" w:lineRule="auto"/>
            </w:pPr>
          </w:p>
          <w:p>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24" w:hRule="atLeast"/>
        </w:trPr>
        <w:tc>
          <w:tcPr>
            <w:tcW w:w="1313" w:type="dxa"/>
            <w:vMerge w:val="continue"/>
            <w:tcBorders>
              <w:top w:val="nil"/>
            </w:tcBorders>
            <w:vAlign w:val="top"/>
          </w:tcPr>
          <w:p>
            <w:pPr>
              <w:pStyle w:val="6"/>
            </w:pPr>
          </w:p>
        </w:tc>
        <w:tc>
          <w:tcPr>
            <w:tcW w:w="1023" w:type="dxa"/>
            <w:vMerge w:val="continue"/>
            <w:tcBorders>
              <w:top w:val="nil"/>
            </w:tcBorders>
            <w:vAlign w:val="top"/>
          </w:tcPr>
          <w:p>
            <w:pPr>
              <w:pStyle w:val="6"/>
            </w:pPr>
          </w:p>
        </w:tc>
        <w:tc>
          <w:tcPr>
            <w:tcW w:w="1022" w:type="dxa"/>
            <w:vMerge w:val="continue"/>
            <w:tcBorders>
              <w:top w:val="nil"/>
            </w:tcBorders>
            <w:vAlign w:val="top"/>
          </w:tcPr>
          <w:p>
            <w:pPr>
              <w:pStyle w:val="6"/>
            </w:pPr>
          </w:p>
        </w:tc>
        <w:tc>
          <w:tcPr>
            <w:tcW w:w="1022" w:type="dxa"/>
            <w:vMerge w:val="continue"/>
            <w:tcBorders>
              <w:top w:val="nil"/>
            </w:tcBorders>
            <w:vAlign w:val="top"/>
          </w:tcPr>
          <w:p>
            <w:pPr>
              <w:pStyle w:val="6"/>
            </w:pPr>
          </w:p>
        </w:tc>
        <w:tc>
          <w:tcPr>
            <w:tcW w:w="1073" w:type="dxa"/>
            <w:vMerge w:val="continue"/>
            <w:tcBorders>
              <w:top w:val="nil"/>
            </w:tcBorders>
            <w:vAlign w:val="top"/>
          </w:tcPr>
          <w:p>
            <w:pPr>
              <w:pStyle w:val="6"/>
            </w:pPr>
          </w:p>
        </w:tc>
        <w:tc>
          <w:tcPr>
            <w:tcW w:w="1073" w:type="dxa"/>
            <w:vAlign w:val="top"/>
          </w:tcPr>
          <w:p>
            <w:pPr>
              <w:pStyle w:val="6"/>
              <w:spacing w:line="356" w:lineRule="auto"/>
            </w:pPr>
          </w:p>
          <w:p>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pPr>
              <w:pStyle w:val="6"/>
              <w:spacing w:line="356" w:lineRule="auto"/>
            </w:pPr>
          </w:p>
          <w:p>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5"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290" w:bottom="400" w:left="1270" w:header="0" w:footer="0" w:gutter="0"/>
          <w:cols w:space="720" w:num="1"/>
        </w:sectPr>
      </w:pPr>
    </w:p>
    <w:p>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txbxContent>
            </v:textbox>
          </v:shape>
        </w:pict>
      </w:r>
      <w:r>
        <w:rPr>
          <w:rFonts w:ascii="宋体" w:hAnsi="宋体" w:eastAsia="宋体" w:cs="宋体"/>
          <w:spacing w:val="4"/>
          <w:sz w:val="19"/>
          <w:szCs w:val="19"/>
        </w:rPr>
        <w:t>表16</w:t>
      </w:r>
    </w:p>
    <w:p>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盘锦市双台子退役军人事务本级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pPr>
        <w:spacing w:line="57" w:lineRule="exact"/>
      </w:pPr>
    </w:p>
    <w:tbl>
      <w:tblPr>
        <w:tblStyle w:val="5"/>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74" w:type="dxa"/>
            <w:vAlign w:val="top"/>
          </w:tcPr>
          <w:p>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pPr>
              <w:spacing w:before="72" w:line="220" w:lineRule="auto"/>
              <w:ind w:left="5163"/>
              <w:rPr>
                <w:rFonts w:ascii="宋体" w:hAnsi="宋体" w:eastAsia="宋体" w:cs="宋体"/>
                <w:sz w:val="18"/>
                <w:szCs w:val="18"/>
              </w:rPr>
            </w:pPr>
            <w:r>
              <w:rPr>
                <w:rFonts w:hint="eastAsia" w:ascii="宋体" w:hAnsi="宋体" w:eastAsia="宋体" w:cs="宋体"/>
                <w:spacing w:val="8"/>
                <w:sz w:val="19"/>
                <w:szCs w:val="19"/>
                <w:lang w:val="en-US" w:eastAsia="zh-CN"/>
              </w:rPr>
              <w:t>盘锦市双台子区退役军人事务本级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pPr>
              <w:pStyle w:val="6"/>
              <w:spacing w:line="342" w:lineRule="auto"/>
            </w:pPr>
          </w:p>
          <w:p>
            <w:pPr>
              <w:pStyle w:val="6"/>
              <w:spacing w:line="343" w:lineRule="auto"/>
            </w:pPr>
          </w:p>
          <w:p>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pPr>
              <w:pStyle w:val="6"/>
            </w:pPr>
          </w:p>
        </w:tc>
        <w:tc>
          <w:tcPr>
            <w:tcW w:w="7020" w:type="dxa"/>
            <w:gridSpan w:val="4"/>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274" w:type="dxa"/>
            <w:gridSpan w:val="3"/>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pPr>
              <w:pStyle w:val="6"/>
            </w:pPr>
          </w:p>
        </w:tc>
        <w:tc>
          <w:tcPr>
            <w:tcW w:w="7020" w:type="dxa"/>
            <w:gridSpan w:val="4"/>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274" w:type="dxa"/>
            <w:gridSpan w:val="3"/>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pPr>
              <w:pStyle w:val="6"/>
            </w:pPr>
          </w:p>
        </w:tc>
        <w:tc>
          <w:tcPr>
            <w:tcW w:w="7020" w:type="dxa"/>
            <w:gridSpan w:val="4"/>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274" w:type="dxa"/>
            <w:gridSpan w:val="3"/>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pPr>
              <w:pStyle w:val="6"/>
            </w:pPr>
          </w:p>
        </w:tc>
        <w:tc>
          <w:tcPr>
            <w:tcW w:w="7020" w:type="dxa"/>
            <w:gridSpan w:val="4"/>
            <w:vAlign w:val="top"/>
          </w:tcPr>
          <w:p>
            <w:pPr>
              <w:pStyle w:val="6"/>
            </w:pPr>
          </w:p>
        </w:tc>
        <w:tc>
          <w:tcPr>
            <w:tcW w:w="5274" w:type="dxa"/>
            <w:gridSpan w:val="3"/>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tbl>
            <w:tblPr>
              <w:tblStyle w:val="3"/>
              <w:tblW w:w="1420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4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按时发放人员工资，保正常运转</w:t>
                  </w:r>
                </w:p>
              </w:tc>
            </w:tr>
          </w:tbl>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tcBorders>
              <w:bottom w:val="nil"/>
            </w:tcBorders>
            <w:vAlign w:val="top"/>
          </w:tcPr>
          <w:p>
            <w:pPr>
              <w:pStyle w:val="6"/>
              <w:spacing w:line="263" w:lineRule="auto"/>
            </w:pPr>
          </w:p>
          <w:p>
            <w:pPr>
              <w:pStyle w:val="6"/>
              <w:spacing w:line="263" w:lineRule="auto"/>
            </w:pPr>
          </w:p>
          <w:p>
            <w:pPr>
              <w:pStyle w:val="6"/>
              <w:spacing w:line="263" w:lineRule="auto"/>
            </w:pPr>
          </w:p>
          <w:p>
            <w:pPr>
              <w:pStyle w:val="6"/>
              <w:spacing w:line="264" w:lineRule="auto"/>
            </w:pPr>
          </w:p>
          <w:p>
            <w:pPr>
              <w:pStyle w:val="6"/>
              <w:spacing w:line="264" w:lineRule="auto"/>
            </w:pPr>
          </w:p>
          <w:p>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6"/>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履职效能</w:t>
            </w: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重点工作履行情况</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重点工作办结率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6"/>
            </w:pPr>
          </w:p>
        </w:tc>
        <w:tc>
          <w:tcPr>
            <w:tcW w:w="1755" w:type="dxa"/>
            <w:vMerge w:val="continue"/>
            <w:vAlign w:val="top"/>
          </w:tcPr>
          <w:p>
            <w:pPr>
              <w:pStyle w:val="6"/>
            </w:pPr>
          </w:p>
        </w:tc>
        <w:tc>
          <w:tcPr>
            <w:tcW w:w="1755" w:type="dxa"/>
            <w:vMerge w:val="continue"/>
            <w:vAlign w:val="top"/>
          </w:tcPr>
          <w:p>
            <w:pPr>
              <w:pStyle w:val="6"/>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综合管理水平</w:t>
            </w:r>
          </w:p>
        </w:tc>
        <w:tc>
          <w:tcPr>
            <w:tcW w:w="1755" w:type="dxa"/>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6"/>
            </w:pPr>
          </w:p>
        </w:tc>
        <w:tc>
          <w:tcPr>
            <w:tcW w:w="1755" w:type="dxa"/>
            <w:vMerge w:val="continue"/>
            <w:vAlign w:val="top"/>
          </w:tcPr>
          <w:p>
            <w:pPr>
              <w:pStyle w:val="6"/>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整体工作完成情况</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工作完成及时率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pPr>
              <w:pStyle w:val="6"/>
            </w:pPr>
          </w:p>
        </w:tc>
        <w:tc>
          <w:tcPr>
            <w:tcW w:w="1755" w:type="dxa"/>
            <w:vMerge w:val="continue"/>
            <w:vAlign w:val="top"/>
          </w:tcPr>
          <w:p>
            <w:pPr>
              <w:pStyle w:val="6"/>
            </w:pPr>
          </w:p>
        </w:tc>
        <w:tc>
          <w:tcPr>
            <w:tcW w:w="1755" w:type="dxa"/>
            <w:vMerge w:val="continue"/>
            <w:vAlign w:val="top"/>
          </w:tcPr>
          <w:p>
            <w:pPr>
              <w:pStyle w:val="6"/>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工作质量达标率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6"/>
            </w:pPr>
          </w:p>
        </w:tc>
        <w:tc>
          <w:tcPr>
            <w:tcW w:w="1755" w:type="dxa"/>
            <w:vMerge w:val="continue"/>
            <w:vAlign w:val="top"/>
          </w:tcPr>
          <w:p>
            <w:pPr>
              <w:pStyle w:val="6"/>
            </w:pPr>
          </w:p>
        </w:tc>
        <w:tc>
          <w:tcPr>
            <w:tcW w:w="1755" w:type="dxa"/>
            <w:vMerge w:val="continue"/>
            <w:vAlign w:val="top"/>
          </w:tcPr>
          <w:p>
            <w:pPr>
              <w:pStyle w:val="6"/>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总体工作完成率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6"/>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w:t>
            </w: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预算执行效率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结转结余变动率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pPr>
              <w:pStyle w:val="6"/>
            </w:pPr>
          </w:p>
        </w:tc>
        <w:tc>
          <w:tcPr>
            <w:tcW w:w="1755" w:type="dxa"/>
            <w:vMerge w:val="continue"/>
            <w:vAlign w:val="top"/>
          </w:tcPr>
          <w:p>
            <w:pPr>
              <w:pStyle w:val="6"/>
            </w:pPr>
          </w:p>
        </w:tc>
        <w:tc>
          <w:tcPr>
            <w:tcW w:w="1755" w:type="dxa"/>
            <w:vMerge w:val="continue"/>
            <w:vAlign w:val="top"/>
          </w:tcPr>
          <w:p>
            <w:pPr>
              <w:pStyle w:val="6"/>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预算调整率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5</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Borders>
              <w:top w:val="nil"/>
              <w:bottom w:val="nil"/>
            </w:tcBorders>
            <w:vAlign w:val="top"/>
          </w:tcPr>
          <w:p>
            <w:pPr>
              <w:pStyle w:val="6"/>
            </w:pPr>
          </w:p>
        </w:tc>
        <w:tc>
          <w:tcPr>
            <w:tcW w:w="1755" w:type="dxa"/>
            <w:vMerge w:val="continue"/>
            <w:vAlign w:val="top"/>
          </w:tcPr>
          <w:p>
            <w:pPr>
              <w:pStyle w:val="6"/>
            </w:pPr>
          </w:p>
        </w:tc>
        <w:tc>
          <w:tcPr>
            <w:tcW w:w="1755" w:type="dxa"/>
            <w:vMerge w:val="continue"/>
            <w:vAlign w:val="top"/>
          </w:tcPr>
          <w:p>
            <w:pPr>
              <w:pStyle w:val="6"/>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restart"/>
            <w:shd w:val="clear" w:color="auto" w:fill="auto"/>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管理效率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预算编制管理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continue"/>
            <w:vAlign w:val="top"/>
          </w:tcPr>
          <w:p>
            <w:pPr>
              <w:pStyle w:val="6"/>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预算监督管理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预决算公开情况</w:t>
            </w:r>
          </w:p>
        </w:tc>
        <w:tc>
          <w:tcPr>
            <w:tcW w:w="1755" w:type="dxa"/>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全部公开</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continue"/>
            <w:vAlign w:val="top"/>
          </w:tcPr>
          <w:p>
            <w:pPr>
              <w:pStyle w:val="6"/>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预算收支管理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755" w:type="dxa"/>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continue"/>
            <w:vAlign w:val="top"/>
          </w:tcPr>
          <w:p>
            <w:pPr>
              <w:pStyle w:val="6"/>
            </w:pPr>
          </w:p>
        </w:tc>
        <w:tc>
          <w:tcPr>
            <w:tcW w:w="1755" w:type="dxa"/>
            <w:vMerge w:val="continue"/>
            <w:vAlign w:val="top"/>
          </w:tcPr>
          <w:p>
            <w:pPr>
              <w:pStyle w:val="6"/>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755" w:type="dxa"/>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continue"/>
            <w:vAlign w:val="top"/>
          </w:tcPr>
          <w:p>
            <w:pPr>
              <w:pStyle w:val="6"/>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财务管理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内控制度有效性</w:t>
            </w:r>
          </w:p>
        </w:tc>
        <w:tc>
          <w:tcPr>
            <w:tcW w:w="1755" w:type="dxa"/>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制度有效</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continue"/>
            <w:shd w:val="clear" w:color="auto" w:fill="auto"/>
            <w:vAlign w:val="top"/>
          </w:tcPr>
          <w:p>
            <w:pPr>
              <w:pStyle w:val="6"/>
              <w:rPr>
                <w:rFonts w:ascii="Arial" w:hAnsi="Arial" w:eastAsia="Arial" w:cs="Arial"/>
                <w:snapToGrid w:val="0"/>
                <w:color w:val="000000"/>
                <w:kern w:val="0"/>
                <w:sz w:val="21"/>
                <w:szCs w:val="21"/>
                <w:lang w:val="en-US" w:eastAsia="en-US" w:bidi="ar-SA"/>
              </w:rP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资产管理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固定资产利用率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continue"/>
            <w:vAlign w:val="top"/>
          </w:tcPr>
          <w:p>
            <w:pPr>
              <w:pStyle w:val="6"/>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业务管理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次</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运行成本</w:t>
            </w: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成本控制成效</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“三公”经费变动率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continue"/>
            <w:vAlign w:val="top"/>
          </w:tcPr>
          <w:p>
            <w:pPr>
              <w:pStyle w:val="6"/>
            </w:pPr>
          </w:p>
        </w:tc>
        <w:tc>
          <w:tcPr>
            <w:tcW w:w="1755" w:type="dxa"/>
            <w:vMerge w:val="continue"/>
            <w:vAlign w:val="top"/>
          </w:tcPr>
          <w:p>
            <w:pPr>
              <w:pStyle w:val="6"/>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在职人员控制率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社会效应</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社会效益</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安全责任制落实</w:t>
            </w:r>
          </w:p>
        </w:tc>
        <w:tc>
          <w:tcPr>
            <w:tcW w:w="1755" w:type="dxa"/>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按时完成</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社会效应</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服务对象满意度</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煤矿企业办事满意度</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continue"/>
            <w:vAlign w:val="top"/>
          </w:tcPr>
          <w:p>
            <w:pPr>
              <w:pStyle w:val="6"/>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社会公众满意度</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执法办案行为投诉率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restart"/>
            <w:vAlign w:val="top"/>
          </w:tcPr>
          <w:p>
            <w:pPr>
              <w:pStyle w:val="6"/>
            </w:pPr>
          </w:p>
          <w:p>
            <w:pPr>
              <w:bidi w:val="0"/>
              <w:jc w:val="center"/>
            </w:pPr>
            <w:r>
              <w:rPr>
                <w:rFonts w:ascii="宋体" w:hAnsi="宋体" w:eastAsia="宋体" w:cs="宋体"/>
                <w:i w:val="0"/>
                <w:iCs w:val="0"/>
                <w:snapToGrid w:val="0"/>
                <w:color w:val="000000"/>
                <w:kern w:val="0"/>
                <w:sz w:val="18"/>
                <w:szCs w:val="18"/>
                <w:u w:val="none"/>
                <w:lang w:val="en-US" w:eastAsia="zh-CN" w:bidi="ar"/>
              </w:rPr>
              <w:t>可持续性</w:t>
            </w: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体制机制改革</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工程建设项目审批制度改革</w:t>
            </w:r>
          </w:p>
        </w:tc>
        <w:tc>
          <w:tcPr>
            <w:tcW w:w="1755" w:type="dxa"/>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按时完成</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tcBorders>
            <w:vAlign w:val="top"/>
          </w:tcPr>
          <w:p>
            <w:pPr>
              <w:pStyle w:val="6"/>
            </w:pPr>
          </w:p>
        </w:tc>
        <w:tc>
          <w:tcPr>
            <w:tcW w:w="1755" w:type="dxa"/>
            <w:vMerge w:val="continue"/>
            <w:vAlign w:val="top"/>
          </w:tcPr>
          <w:p>
            <w:pPr>
              <w:pStyle w:val="6"/>
            </w:pPr>
          </w:p>
        </w:tc>
        <w:tc>
          <w:tcPr>
            <w:tcW w:w="1755" w:type="dxa"/>
            <w:vMerge w:val="continue"/>
            <w:vAlign w:val="top"/>
          </w:tcPr>
          <w:p>
            <w:pPr>
              <w:pStyle w:val="6"/>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完善内控制度</w:t>
            </w:r>
          </w:p>
        </w:tc>
        <w:tc>
          <w:tcPr>
            <w:tcW w:w="1755" w:type="dxa"/>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按时完成</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bl>
    <w:p>
      <w:pPr>
        <w:rPr>
          <w:rFonts w:ascii="Arial"/>
          <w:sz w:val="21"/>
        </w:rPr>
      </w:pPr>
    </w:p>
    <w:p>
      <w:pPr>
        <w:rPr>
          <w:rFonts w:ascii="Arial" w:hAnsi="Arial" w:eastAsia="Arial" w:cs="Arial"/>
          <w:sz w:val="21"/>
          <w:szCs w:val="21"/>
        </w:rPr>
        <w:sectPr>
          <w:pgSz w:w="16840" w:h="11905"/>
          <w:pgMar w:top="946" w:right="1337" w:bottom="400" w:left="1318" w:header="0" w:footer="0" w:gutter="0"/>
          <w:cols w:space="720" w:num="1"/>
        </w:sectPr>
      </w:pPr>
    </w:p>
    <w:p>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pPr>
              <w:pStyle w:val="6"/>
            </w:pPr>
          </w:p>
        </w:tc>
        <w:tc>
          <w:tcPr>
            <w:tcW w:w="1413" w:type="dxa"/>
            <w:vAlign w:val="top"/>
          </w:tcPr>
          <w:p>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pStyle w:val="6"/>
            </w:pPr>
          </w:p>
        </w:tc>
        <w:tc>
          <w:tcPr>
            <w:tcW w:w="1413" w:type="dxa"/>
            <w:vAlign w:val="top"/>
          </w:tcPr>
          <w:p>
            <w:pPr>
              <w:pStyle w:val="6"/>
            </w:pPr>
          </w:p>
        </w:tc>
        <w:tc>
          <w:tcPr>
            <w:tcW w:w="1935" w:type="dxa"/>
            <w:vAlign w:val="top"/>
          </w:tcPr>
          <w:p>
            <w:pPr>
              <w:pStyle w:val="6"/>
            </w:pPr>
          </w:p>
        </w:tc>
        <w:tc>
          <w:tcPr>
            <w:tcW w:w="3770" w:type="dxa"/>
            <w:vAlign w:val="top"/>
          </w:tcPr>
          <w:p>
            <w:pPr>
              <w:pStyle w:val="6"/>
            </w:pPr>
          </w:p>
        </w:tc>
        <w:tc>
          <w:tcPr>
            <w:tcW w:w="1413" w:type="dxa"/>
            <w:vAlign w:val="top"/>
          </w:tcPr>
          <w:p>
            <w:pPr>
              <w:pStyle w:val="6"/>
            </w:pPr>
          </w:p>
        </w:tc>
        <w:tc>
          <w:tcPr>
            <w:tcW w:w="1414" w:type="dxa"/>
            <w:vAlign w:val="top"/>
          </w:tcPr>
          <w:p>
            <w:pPr>
              <w:pStyle w:val="6"/>
            </w:pPr>
          </w:p>
        </w:tc>
        <w:tc>
          <w:tcPr>
            <w:tcW w:w="1473" w:type="dxa"/>
            <w:vAlign w:val="top"/>
          </w:tcPr>
          <w:p>
            <w:pPr>
              <w:pStyle w:val="6"/>
            </w:pPr>
          </w:p>
        </w:tc>
        <w:tc>
          <w:tcPr>
            <w:tcW w:w="1483"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pStyle w:val="6"/>
            </w:pPr>
          </w:p>
        </w:tc>
        <w:tc>
          <w:tcPr>
            <w:tcW w:w="1413" w:type="dxa"/>
            <w:vAlign w:val="top"/>
          </w:tcPr>
          <w:p>
            <w:pPr>
              <w:pStyle w:val="6"/>
            </w:pPr>
          </w:p>
        </w:tc>
        <w:tc>
          <w:tcPr>
            <w:tcW w:w="1935" w:type="dxa"/>
            <w:vAlign w:val="top"/>
          </w:tcPr>
          <w:p>
            <w:pPr>
              <w:pStyle w:val="6"/>
            </w:pPr>
          </w:p>
        </w:tc>
        <w:tc>
          <w:tcPr>
            <w:tcW w:w="3770" w:type="dxa"/>
            <w:vAlign w:val="top"/>
          </w:tcPr>
          <w:p>
            <w:pPr>
              <w:pStyle w:val="6"/>
            </w:pPr>
          </w:p>
        </w:tc>
        <w:tc>
          <w:tcPr>
            <w:tcW w:w="1413" w:type="dxa"/>
            <w:vAlign w:val="top"/>
          </w:tcPr>
          <w:p>
            <w:pPr>
              <w:pStyle w:val="6"/>
            </w:pPr>
          </w:p>
        </w:tc>
        <w:tc>
          <w:tcPr>
            <w:tcW w:w="1414" w:type="dxa"/>
            <w:vAlign w:val="top"/>
          </w:tcPr>
          <w:p>
            <w:pPr>
              <w:pStyle w:val="6"/>
            </w:pPr>
          </w:p>
        </w:tc>
        <w:tc>
          <w:tcPr>
            <w:tcW w:w="1473" w:type="dxa"/>
            <w:vAlign w:val="top"/>
          </w:tcPr>
          <w:p>
            <w:pPr>
              <w:pStyle w:val="6"/>
            </w:pPr>
          </w:p>
        </w:tc>
        <w:tc>
          <w:tcPr>
            <w:tcW w:w="1483"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pPr>
              <w:pStyle w:val="6"/>
            </w:pPr>
          </w:p>
        </w:tc>
        <w:tc>
          <w:tcPr>
            <w:tcW w:w="1413" w:type="dxa"/>
            <w:vAlign w:val="top"/>
          </w:tcPr>
          <w:p>
            <w:pPr>
              <w:pStyle w:val="6"/>
            </w:pPr>
          </w:p>
        </w:tc>
        <w:tc>
          <w:tcPr>
            <w:tcW w:w="1935" w:type="dxa"/>
            <w:vAlign w:val="top"/>
          </w:tcPr>
          <w:p>
            <w:pPr>
              <w:pStyle w:val="6"/>
            </w:pPr>
          </w:p>
        </w:tc>
        <w:tc>
          <w:tcPr>
            <w:tcW w:w="3770" w:type="dxa"/>
            <w:vAlign w:val="top"/>
          </w:tcPr>
          <w:p>
            <w:pPr>
              <w:pStyle w:val="6"/>
            </w:pPr>
          </w:p>
        </w:tc>
        <w:tc>
          <w:tcPr>
            <w:tcW w:w="1413" w:type="dxa"/>
            <w:vAlign w:val="top"/>
          </w:tcPr>
          <w:p>
            <w:pPr>
              <w:pStyle w:val="6"/>
            </w:pPr>
          </w:p>
        </w:tc>
        <w:tc>
          <w:tcPr>
            <w:tcW w:w="1414" w:type="dxa"/>
            <w:vAlign w:val="top"/>
          </w:tcPr>
          <w:p>
            <w:pPr>
              <w:pStyle w:val="6"/>
            </w:pPr>
          </w:p>
        </w:tc>
        <w:tc>
          <w:tcPr>
            <w:tcW w:w="1473" w:type="dxa"/>
            <w:vAlign w:val="top"/>
          </w:tcPr>
          <w:p>
            <w:pPr>
              <w:pStyle w:val="6"/>
            </w:pPr>
          </w:p>
        </w:tc>
        <w:tc>
          <w:tcPr>
            <w:tcW w:w="1483"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pPr>
              <w:pStyle w:val="6"/>
            </w:pPr>
          </w:p>
        </w:tc>
        <w:tc>
          <w:tcPr>
            <w:tcW w:w="1413" w:type="dxa"/>
            <w:vAlign w:val="top"/>
          </w:tcPr>
          <w:p>
            <w:pPr>
              <w:pStyle w:val="6"/>
            </w:pPr>
          </w:p>
        </w:tc>
        <w:tc>
          <w:tcPr>
            <w:tcW w:w="1935" w:type="dxa"/>
            <w:vAlign w:val="top"/>
          </w:tcPr>
          <w:p>
            <w:pPr>
              <w:pStyle w:val="6"/>
            </w:pPr>
          </w:p>
        </w:tc>
        <w:tc>
          <w:tcPr>
            <w:tcW w:w="3770" w:type="dxa"/>
            <w:vAlign w:val="top"/>
          </w:tcPr>
          <w:p>
            <w:pPr>
              <w:pStyle w:val="6"/>
            </w:pPr>
          </w:p>
        </w:tc>
        <w:tc>
          <w:tcPr>
            <w:tcW w:w="1413" w:type="dxa"/>
            <w:vAlign w:val="top"/>
          </w:tcPr>
          <w:p>
            <w:pPr>
              <w:pStyle w:val="6"/>
            </w:pPr>
          </w:p>
        </w:tc>
        <w:tc>
          <w:tcPr>
            <w:tcW w:w="1414" w:type="dxa"/>
            <w:vAlign w:val="top"/>
          </w:tcPr>
          <w:p>
            <w:pPr>
              <w:pStyle w:val="6"/>
            </w:pPr>
          </w:p>
        </w:tc>
        <w:tc>
          <w:tcPr>
            <w:tcW w:w="1473" w:type="dxa"/>
            <w:vAlign w:val="top"/>
          </w:tcPr>
          <w:p>
            <w:pPr>
              <w:pStyle w:val="6"/>
            </w:pPr>
          </w:p>
        </w:tc>
        <w:tc>
          <w:tcPr>
            <w:tcW w:w="1483"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pPr>
              <w:pStyle w:val="6"/>
            </w:pPr>
          </w:p>
        </w:tc>
        <w:tc>
          <w:tcPr>
            <w:tcW w:w="1413" w:type="dxa"/>
            <w:vAlign w:val="top"/>
          </w:tcPr>
          <w:p>
            <w:pPr>
              <w:pStyle w:val="6"/>
            </w:pPr>
          </w:p>
        </w:tc>
        <w:tc>
          <w:tcPr>
            <w:tcW w:w="1935" w:type="dxa"/>
            <w:vAlign w:val="top"/>
          </w:tcPr>
          <w:p>
            <w:pPr>
              <w:pStyle w:val="6"/>
            </w:pPr>
          </w:p>
        </w:tc>
        <w:tc>
          <w:tcPr>
            <w:tcW w:w="3770" w:type="dxa"/>
            <w:vAlign w:val="top"/>
          </w:tcPr>
          <w:p>
            <w:pPr>
              <w:pStyle w:val="6"/>
            </w:pPr>
          </w:p>
        </w:tc>
        <w:tc>
          <w:tcPr>
            <w:tcW w:w="1413" w:type="dxa"/>
            <w:vAlign w:val="top"/>
          </w:tcPr>
          <w:p>
            <w:pPr>
              <w:pStyle w:val="6"/>
            </w:pPr>
          </w:p>
        </w:tc>
        <w:tc>
          <w:tcPr>
            <w:tcW w:w="1414" w:type="dxa"/>
            <w:vAlign w:val="top"/>
          </w:tcPr>
          <w:p>
            <w:pPr>
              <w:pStyle w:val="6"/>
            </w:pPr>
          </w:p>
        </w:tc>
        <w:tc>
          <w:tcPr>
            <w:tcW w:w="1473" w:type="dxa"/>
            <w:vAlign w:val="top"/>
          </w:tcPr>
          <w:p>
            <w:pPr>
              <w:pStyle w:val="6"/>
            </w:pPr>
          </w:p>
        </w:tc>
        <w:tc>
          <w:tcPr>
            <w:tcW w:w="1483" w:type="dxa"/>
            <w:vAlign w:val="top"/>
          </w:tcPr>
          <w:p>
            <w:pPr>
              <w:pStyle w:val="6"/>
            </w:pPr>
          </w:p>
        </w:tc>
      </w:tr>
    </w:tbl>
    <w:p>
      <w:pPr>
        <w:rPr>
          <w:rFonts w:ascii="Arial"/>
          <w:sz w:val="21"/>
        </w:rPr>
      </w:pPr>
    </w:p>
    <w:p>
      <w:pPr>
        <w:rPr>
          <w:rFonts w:ascii="Arial" w:hAnsi="Arial" w:eastAsia="Arial" w:cs="Arial"/>
          <w:sz w:val="21"/>
          <w:szCs w:val="21"/>
        </w:rPr>
        <w:sectPr>
          <w:pgSz w:w="16840" w:h="11905"/>
          <w:pgMar w:top="945" w:right="1033" w:bottom="400" w:left="1015" w:header="0" w:footer="0" w:gutter="0"/>
          <w:cols w:space="720" w:num="1"/>
        </w:sectPr>
      </w:pPr>
    </w:p>
    <w:p>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pPr>
              <w:pStyle w:val="6"/>
              <w:spacing w:line="344" w:lineRule="auto"/>
            </w:pPr>
          </w:p>
          <w:p>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pPr>
              <w:pStyle w:val="6"/>
              <w:spacing w:line="344" w:lineRule="auto"/>
            </w:pPr>
          </w:p>
          <w:p>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pPr>
              <w:pStyle w:val="6"/>
              <w:spacing w:line="356" w:lineRule="auto"/>
            </w:pPr>
          </w:p>
          <w:p>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pPr>
              <w:pStyle w:val="6"/>
              <w:spacing w:line="356" w:lineRule="auto"/>
            </w:pPr>
          </w:p>
          <w:p>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bl>
    <w:p>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5EA63412"/>
    <w:multiLevelType w:val="singleLevel"/>
    <w:tmpl w:val="5EA6341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NjYjM1OTJkNDA4NWYyZjI0ZWYwYWNiYzk4ZTJkNTcifQ=="/>
    <w:docVar w:name="KSO_WPS_MARK_KEY" w:val="3f413e86-2904-4605-88c3-d2b48c2d4f41"/>
  </w:docVars>
  <w:rsids>
    <w:rsidRoot w:val="00000000"/>
    <w:rsid w:val="001570FF"/>
    <w:rsid w:val="005C088A"/>
    <w:rsid w:val="006457A7"/>
    <w:rsid w:val="012F5F9F"/>
    <w:rsid w:val="01852063"/>
    <w:rsid w:val="01BE7323"/>
    <w:rsid w:val="03004097"/>
    <w:rsid w:val="030447B9"/>
    <w:rsid w:val="05123C0E"/>
    <w:rsid w:val="0556624A"/>
    <w:rsid w:val="057C5A9B"/>
    <w:rsid w:val="0580501B"/>
    <w:rsid w:val="05E66669"/>
    <w:rsid w:val="07047ECE"/>
    <w:rsid w:val="07B224F9"/>
    <w:rsid w:val="087538A2"/>
    <w:rsid w:val="08A059D4"/>
    <w:rsid w:val="094B1DE4"/>
    <w:rsid w:val="09F4422A"/>
    <w:rsid w:val="0A026946"/>
    <w:rsid w:val="0A110938"/>
    <w:rsid w:val="0B8213C1"/>
    <w:rsid w:val="0C8A49D1"/>
    <w:rsid w:val="0CB42738"/>
    <w:rsid w:val="0D3927AD"/>
    <w:rsid w:val="0DA10614"/>
    <w:rsid w:val="0DA726A0"/>
    <w:rsid w:val="0DBC44AF"/>
    <w:rsid w:val="0E1409F6"/>
    <w:rsid w:val="0E1E49F8"/>
    <w:rsid w:val="0F3F7CF5"/>
    <w:rsid w:val="0F6A70B0"/>
    <w:rsid w:val="102E110C"/>
    <w:rsid w:val="11C10E95"/>
    <w:rsid w:val="13DC1FB6"/>
    <w:rsid w:val="13E9022F"/>
    <w:rsid w:val="147E3783"/>
    <w:rsid w:val="1528122B"/>
    <w:rsid w:val="16677B31"/>
    <w:rsid w:val="166D339A"/>
    <w:rsid w:val="16DB34C7"/>
    <w:rsid w:val="18226406"/>
    <w:rsid w:val="19097372"/>
    <w:rsid w:val="19563195"/>
    <w:rsid w:val="1A3F329F"/>
    <w:rsid w:val="1ACE471E"/>
    <w:rsid w:val="1C3F7586"/>
    <w:rsid w:val="1E696B3C"/>
    <w:rsid w:val="214C004F"/>
    <w:rsid w:val="21933ED0"/>
    <w:rsid w:val="237B58AF"/>
    <w:rsid w:val="240D7D94"/>
    <w:rsid w:val="25862A9B"/>
    <w:rsid w:val="26452B30"/>
    <w:rsid w:val="2647166C"/>
    <w:rsid w:val="2685028B"/>
    <w:rsid w:val="268A7A18"/>
    <w:rsid w:val="277A3B68"/>
    <w:rsid w:val="27E51FF0"/>
    <w:rsid w:val="2904676C"/>
    <w:rsid w:val="29934A6D"/>
    <w:rsid w:val="299475D1"/>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6E62F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CD720FF"/>
    <w:rsid w:val="3D51281E"/>
    <w:rsid w:val="3E5D51F2"/>
    <w:rsid w:val="3F5D7BA0"/>
    <w:rsid w:val="3F9B143D"/>
    <w:rsid w:val="40316936"/>
    <w:rsid w:val="414E1A62"/>
    <w:rsid w:val="416C231C"/>
    <w:rsid w:val="42562684"/>
    <w:rsid w:val="42A45AE6"/>
    <w:rsid w:val="44451756"/>
    <w:rsid w:val="44670B79"/>
    <w:rsid w:val="44E623E5"/>
    <w:rsid w:val="44F05012"/>
    <w:rsid w:val="45260A34"/>
    <w:rsid w:val="462D66FA"/>
    <w:rsid w:val="467F21AA"/>
    <w:rsid w:val="47110682"/>
    <w:rsid w:val="47BE4F54"/>
    <w:rsid w:val="48D60C67"/>
    <w:rsid w:val="490F1E94"/>
    <w:rsid w:val="4A96265D"/>
    <w:rsid w:val="4C3A4EE8"/>
    <w:rsid w:val="4C4628B5"/>
    <w:rsid w:val="4E173610"/>
    <w:rsid w:val="4F530677"/>
    <w:rsid w:val="4F7433EE"/>
    <w:rsid w:val="5104540E"/>
    <w:rsid w:val="513D686F"/>
    <w:rsid w:val="51402E7D"/>
    <w:rsid w:val="52BC6534"/>
    <w:rsid w:val="52F51698"/>
    <w:rsid w:val="53E421E6"/>
    <w:rsid w:val="54696C9D"/>
    <w:rsid w:val="548E3F00"/>
    <w:rsid w:val="54C94F38"/>
    <w:rsid w:val="55821CB6"/>
    <w:rsid w:val="56590FBF"/>
    <w:rsid w:val="56A52B5E"/>
    <w:rsid w:val="56D464F4"/>
    <w:rsid w:val="56DF6F78"/>
    <w:rsid w:val="57601B83"/>
    <w:rsid w:val="57711FE2"/>
    <w:rsid w:val="57AF48B9"/>
    <w:rsid w:val="57EE718F"/>
    <w:rsid w:val="580249E1"/>
    <w:rsid w:val="5923730C"/>
    <w:rsid w:val="5A663955"/>
    <w:rsid w:val="5C1A18C6"/>
    <w:rsid w:val="5CC63365"/>
    <w:rsid w:val="5FF51154"/>
    <w:rsid w:val="61B2747F"/>
    <w:rsid w:val="631B3626"/>
    <w:rsid w:val="637A221F"/>
    <w:rsid w:val="63A64DC2"/>
    <w:rsid w:val="64405216"/>
    <w:rsid w:val="646031C3"/>
    <w:rsid w:val="65AF7D19"/>
    <w:rsid w:val="65D976D1"/>
    <w:rsid w:val="66882EA5"/>
    <w:rsid w:val="668B029F"/>
    <w:rsid w:val="66972998"/>
    <w:rsid w:val="68282249"/>
    <w:rsid w:val="69AD3787"/>
    <w:rsid w:val="69E71C90"/>
    <w:rsid w:val="6AD55F8D"/>
    <w:rsid w:val="6BA6556B"/>
    <w:rsid w:val="6BF22B60"/>
    <w:rsid w:val="6C9C68A2"/>
    <w:rsid w:val="6CC4450B"/>
    <w:rsid w:val="6E2F3EA7"/>
    <w:rsid w:val="70B34FC2"/>
    <w:rsid w:val="72294188"/>
    <w:rsid w:val="724702A2"/>
    <w:rsid w:val="72914E8F"/>
    <w:rsid w:val="72F13B80"/>
    <w:rsid w:val="737F5988"/>
    <w:rsid w:val="73BF3BE6"/>
    <w:rsid w:val="76606C42"/>
    <w:rsid w:val="769D3E02"/>
    <w:rsid w:val="769E7B7B"/>
    <w:rsid w:val="777022BA"/>
    <w:rsid w:val="77D236C0"/>
    <w:rsid w:val="78AC47D1"/>
    <w:rsid w:val="78C95383"/>
    <w:rsid w:val="79222CE5"/>
    <w:rsid w:val="79C36D36"/>
    <w:rsid w:val="7A316DFD"/>
    <w:rsid w:val="7A9419C0"/>
    <w:rsid w:val="7BB74ACC"/>
    <w:rsid w:val="7BDD2EF3"/>
    <w:rsid w:val="7C077F70"/>
    <w:rsid w:val="7CC06A9D"/>
    <w:rsid w:val="7D412A8D"/>
    <w:rsid w:val="7D747887"/>
    <w:rsid w:val="7DF35EDA"/>
    <w:rsid w:val="7E2B71EE"/>
    <w:rsid w:val="7E4018B2"/>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8080</Words>
  <Characters>10546</Characters>
  <TotalTime>3</TotalTime>
  <ScaleCrop>false</ScaleCrop>
  <LinksUpToDate>false</LinksUpToDate>
  <CharactersWithSpaces>11518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（多喝水 。</cp:lastModifiedBy>
  <dcterms:modified xsi:type="dcterms:W3CDTF">2025-03-26T08:17:43Z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2052-11.1.0.14309</vt:lpwstr>
  </property>
  <property fmtid="{D5CDD505-2E9C-101B-9397-08002B2CF9AE}" pid="5" name="ICV">
    <vt:lpwstr>6483C5D8CB0C460580B2EF3155A1F228_13</vt:lpwstr>
  </property>
  <property fmtid="{D5CDD505-2E9C-101B-9397-08002B2CF9AE}" pid="6" name="KSOTemplateDocerSaveRecord">
    <vt:lpwstr>eyJoZGlkIjoiNWFhZmU4MmUwYWM1ZTZiYWUzZDgwZjZkYzRiNjgzZTMiLCJ1c2VySWQiOiI2MzE3OTk5MTUifQ==</vt:lpwstr>
  </property>
</Properties>
</file>