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5766A544">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教育局</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222E5E29">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教育局部门</w:t>
      </w:r>
      <w:r>
        <w:rPr>
          <w:rFonts w:ascii="黑体" w:hAnsi="黑体" w:eastAsia="黑体" w:cs="黑体"/>
          <w:spacing w:val="10"/>
          <w:sz w:val="31"/>
          <w:szCs w:val="31"/>
        </w:rPr>
        <w:t>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教育局部门</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教育局部门</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437A5406">
      <w:pPr>
        <w:spacing w:line="220" w:lineRule="auto"/>
        <w:sectPr>
          <w:footerReference r:id="rId6" w:type="default"/>
          <w:pgSz w:w="11905" w:h="16840"/>
          <w:pgMar w:top="1431" w:right="1785" w:bottom="1156" w:left="1785" w:header="0" w:footer="995" w:gutter="0"/>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53A520A6">
      <w:pPr>
        <w:spacing w:line="222" w:lineRule="auto"/>
        <w:sectPr>
          <w:footerReference r:id="rId7" w:type="default"/>
          <w:pgSz w:w="11905" w:h="16840"/>
          <w:pgMar w:top="1431" w:right="1785" w:bottom="1156" w:left="1785" w:header="0" w:footer="995" w:gutter="0"/>
          <w:cols w:space="720" w:num="1"/>
        </w:sectPr>
      </w:pPr>
    </w:p>
    <w:p w14:paraId="61679D2F">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教育部门</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583FD00E">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24ED1BA4">
      <w:pPr>
        <w:ind w:firstLine="810" w:firstLineChars="250"/>
        <w:rPr>
          <w:rFonts w:hint="eastAsia" w:ascii="FangSong_GB2312" w:hAnsi="FangSong_GB2312" w:eastAsia="FangSong_GB2312" w:cs="FangSong_GB2312"/>
          <w:snapToGrid w:val="0"/>
          <w:color w:val="000000"/>
          <w:spacing w:val="7"/>
          <w:kern w:val="0"/>
          <w:sz w:val="31"/>
          <w:szCs w:val="31"/>
          <w:lang w:val="en-US" w:eastAsia="en-US" w:bidi="ar-SA"/>
        </w:rPr>
      </w:pPr>
      <w:r>
        <w:rPr>
          <w:rFonts w:ascii="FangSong_GB2312" w:hAnsi="FangSong_GB2312" w:eastAsia="FangSong_GB2312" w:cs="FangSong_GB2312"/>
          <w:snapToGrid w:val="0"/>
          <w:color w:val="000000"/>
          <w:spacing w:val="7"/>
          <w:kern w:val="0"/>
          <w:sz w:val="31"/>
          <w:szCs w:val="31"/>
          <w:lang w:val="en-US" w:eastAsia="en-US" w:bidi="ar-SA"/>
        </w:rPr>
        <w:t>（一）</w:t>
      </w:r>
      <w:r>
        <w:rPr>
          <w:rFonts w:hint="eastAsia" w:ascii="FangSong_GB2312" w:hAnsi="FangSong_GB2312" w:eastAsia="FangSong_GB2312" w:cs="FangSong_GB2312"/>
          <w:snapToGrid w:val="0"/>
          <w:color w:val="000000"/>
          <w:spacing w:val="7"/>
          <w:kern w:val="0"/>
          <w:sz w:val="31"/>
          <w:szCs w:val="31"/>
          <w:lang w:val="en-US" w:eastAsia="en-US" w:bidi="ar-SA"/>
        </w:rPr>
        <w:t>贯彻执行党和国家教育改革与发展方针、政策和规划，落实国家和省、市有关法律、法规和规章；拟定全区教育改革与发展规划，起草有关地方性法规和区政府规章草案并监督实施。</w:t>
      </w:r>
    </w:p>
    <w:p w14:paraId="0786236D">
      <w:pPr>
        <w:pStyle w:val="2"/>
        <w:spacing w:before="194" w:line="295" w:lineRule="auto"/>
        <w:ind w:left="27" w:firstLine="636"/>
        <w:rPr>
          <w:rFonts w:hint="eastAsia" w:ascii="FangSong_GB2312" w:hAnsi="FangSong_GB2312" w:eastAsia="FangSong_GB2312" w:cs="FangSong_GB2312"/>
          <w:snapToGrid w:val="0"/>
          <w:color w:val="000000"/>
          <w:spacing w:val="7"/>
          <w:kern w:val="0"/>
          <w:sz w:val="31"/>
          <w:szCs w:val="31"/>
          <w:lang w:val="en-US" w:eastAsia="en-US" w:bidi="ar-SA"/>
        </w:rPr>
      </w:pPr>
      <w:r>
        <w:rPr>
          <w:rFonts w:ascii="FangSong_GB2312" w:hAnsi="FangSong_GB2312" w:eastAsia="FangSong_GB2312" w:cs="FangSong_GB2312"/>
          <w:snapToGrid w:val="0"/>
          <w:color w:val="000000"/>
          <w:spacing w:val="7"/>
          <w:kern w:val="0"/>
          <w:sz w:val="31"/>
          <w:szCs w:val="31"/>
          <w:lang w:val="en-US" w:eastAsia="en-US" w:bidi="ar-SA"/>
        </w:rPr>
        <w:t>（二）</w:t>
      </w:r>
      <w:r>
        <w:rPr>
          <w:rFonts w:hint="eastAsia" w:ascii="FangSong_GB2312" w:hAnsi="FangSong_GB2312" w:eastAsia="FangSong_GB2312" w:cs="FangSong_GB2312"/>
          <w:snapToGrid w:val="0"/>
          <w:color w:val="000000"/>
          <w:spacing w:val="7"/>
          <w:kern w:val="0"/>
          <w:sz w:val="31"/>
          <w:szCs w:val="31"/>
          <w:lang w:val="en-US" w:eastAsia="en-US" w:bidi="ar-SA"/>
        </w:rPr>
        <w:t>负责全市各级各类教育的统筹规划和协调管理，指导全区各级各类学校的教育教学改革，负责全市教育基本信息的统计、分析和发布。</w:t>
      </w:r>
    </w:p>
    <w:p w14:paraId="042165F3">
      <w:pPr>
        <w:pStyle w:val="2"/>
        <w:spacing w:before="194" w:line="295" w:lineRule="auto"/>
        <w:ind w:left="27" w:firstLine="636"/>
        <w:rPr>
          <w:rFonts w:ascii="FangSong_GB2312" w:hAnsi="FangSong_GB2312" w:eastAsia="FangSong_GB2312" w:cs="FangSong_GB2312"/>
          <w:snapToGrid w:val="0"/>
          <w:color w:val="000000"/>
          <w:spacing w:val="7"/>
          <w:kern w:val="0"/>
          <w:sz w:val="31"/>
          <w:szCs w:val="31"/>
          <w:lang w:val="en-US" w:eastAsia="en-US" w:bidi="ar-SA"/>
        </w:rPr>
      </w:pPr>
      <w:r>
        <w:rPr>
          <w:rFonts w:ascii="FangSong_GB2312" w:hAnsi="FangSong_GB2312" w:eastAsia="FangSong_GB2312" w:cs="FangSong_GB2312"/>
          <w:snapToGrid w:val="0"/>
          <w:color w:val="000000"/>
          <w:spacing w:val="7"/>
          <w:kern w:val="0"/>
          <w:sz w:val="31"/>
          <w:szCs w:val="31"/>
          <w:lang w:val="en-US" w:eastAsia="en-US" w:bidi="ar-SA"/>
        </w:rPr>
        <w:t>（三）</w:t>
      </w:r>
      <w:r>
        <w:rPr>
          <w:rFonts w:hint="eastAsia" w:ascii="FangSong_GB2312" w:hAnsi="FangSong_GB2312" w:eastAsia="FangSong_GB2312" w:cs="FangSong_GB2312"/>
          <w:snapToGrid w:val="0"/>
          <w:color w:val="000000"/>
          <w:spacing w:val="7"/>
          <w:kern w:val="0"/>
          <w:sz w:val="31"/>
          <w:szCs w:val="31"/>
          <w:lang w:val="en-US" w:eastAsia="en-US" w:bidi="ar-SA"/>
        </w:rPr>
        <w:t>负责推进全区义务教育均衡发展和促进教育公平负责全区义务教育的宏观指导与协调。</w:t>
      </w:r>
    </w:p>
    <w:p w14:paraId="1D86A389">
      <w:pPr>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zh-CN" w:bidi="ar-SA"/>
        </w:rPr>
        <w:t>（四）</w:t>
      </w:r>
      <w:r>
        <w:rPr>
          <w:rFonts w:hint="eastAsia" w:ascii="FangSong_GB2312" w:hAnsi="FangSong_GB2312" w:eastAsia="FangSong_GB2312" w:cs="FangSong_GB2312"/>
          <w:snapToGrid w:val="0"/>
          <w:color w:val="000000"/>
          <w:spacing w:val="7"/>
          <w:kern w:val="0"/>
          <w:sz w:val="31"/>
          <w:szCs w:val="31"/>
          <w:lang w:val="en-US" w:eastAsia="en-US" w:bidi="ar-SA"/>
        </w:rPr>
        <w:t>负责管理本部门教育经费，参与拟订筹措教育经费、教育基建投资的政策，监测全区教育经费的筹措和使用情况。</w:t>
      </w:r>
    </w:p>
    <w:p w14:paraId="3BEF1230">
      <w:pPr>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zh-CN" w:bidi="ar-SA"/>
        </w:rPr>
        <w:t xml:space="preserve">（五） </w:t>
      </w:r>
      <w:r>
        <w:rPr>
          <w:rFonts w:hint="eastAsia" w:ascii="FangSong_GB2312" w:hAnsi="FangSong_GB2312" w:eastAsia="FangSong_GB2312" w:cs="FangSong_GB2312"/>
          <w:snapToGrid w:val="0"/>
          <w:color w:val="000000"/>
          <w:spacing w:val="7"/>
          <w:kern w:val="0"/>
          <w:sz w:val="31"/>
          <w:szCs w:val="31"/>
          <w:lang w:val="en-US" w:eastAsia="en-US" w:bidi="ar-SA"/>
        </w:rPr>
        <w:t>指导全区各级各类学校的思想政治工作、德育工作、体育卫生与艺术教育工作及国防教育工作。指导全区学校安全工作。</w:t>
      </w:r>
    </w:p>
    <w:p w14:paraId="227C6354">
      <w:pPr>
        <w:spacing w:line="371" w:lineRule="auto"/>
        <w:rPr>
          <w:rFonts w:hint="default" w:ascii="FangSong_GB2312" w:hAnsi="FangSong_GB2312" w:eastAsia="FangSong_GB2312" w:cs="FangSong_GB2312"/>
          <w:snapToGrid w:val="0"/>
          <w:color w:val="000000"/>
          <w:spacing w:val="7"/>
          <w:kern w:val="0"/>
          <w:sz w:val="31"/>
          <w:szCs w:val="31"/>
          <w:lang w:val="en-US" w:eastAsia="zh-CN" w:bidi="ar-SA"/>
        </w:rPr>
      </w:pPr>
    </w:p>
    <w:p w14:paraId="05141904">
      <w:pPr>
        <w:numPr>
          <w:ilvl w:val="0"/>
          <w:numId w:val="0"/>
        </w:numPr>
        <w:ind w:firstLine="648" w:firstLineChars="200"/>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zh-CN" w:bidi="ar-SA"/>
        </w:rPr>
        <w:t>（六）</w:t>
      </w:r>
      <w:r>
        <w:rPr>
          <w:rFonts w:hint="eastAsia" w:ascii="FangSong_GB2312" w:hAnsi="FangSong_GB2312" w:eastAsia="FangSong_GB2312" w:cs="FangSong_GB2312"/>
          <w:snapToGrid w:val="0"/>
          <w:color w:val="000000"/>
          <w:spacing w:val="7"/>
          <w:kern w:val="0"/>
          <w:sz w:val="31"/>
          <w:szCs w:val="31"/>
          <w:lang w:val="en-US" w:eastAsia="en-US" w:bidi="ar-SA"/>
        </w:rPr>
        <w:t>承办区政府交办的其他事项。</w:t>
      </w:r>
    </w:p>
    <w:p w14:paraId="160BB98F">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394DC397">
      <w:pPr>
        <w:pStyle w:val="2"/>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教育局部门</w:t>
      </w:r>
      <w:r>
        <w:rPr>
          <w:b/>
          <w:bCs/>
          <w:spacing w:val="9"/>
        </w:rPr>
        <w:t>预算编制范围的二级预算</w:t>
      </w:r>
      <w:r>
        <w:rPr>
          <w:b/>
          <w:bCs/>
          <w:spacing w:val="-11"/>
        </w:rPr>
        <w:t>单位包括：</w:t>
      </w:r>
    </w:p>
    <w:p w14:paraId="20D035C6">
      <w:pPr>
        <w:spacing w:line="360" w:lineRule="auto"/>
        <w:ind w:firstLine="624" w:firstLineChars="195"/>
        <w:rPr>
          <w:rFonts w:ascii="仿宋" w:hAnsi="仿宋" w:eastAsia="仿宋" w:cs="仿宋"/>
          <w:sz w:val="32"/>
        </w:rPr>
      </w:pPr>
      <w:r>
        <w:rPr>
          <w:rFonts w:hint="eastAsia" w:ascii="仿宋" w:hAnsi="仿宋" w:eastAsia="仿宋" w:cs="仿宋"/>
          <w:sz w:val="32"/>
        </w:rPr>
        <w:t>1.教师进修学校</w:t>
      </w:r>
    </w:p>
    <w:p w14:paraId="58365263">
      <w:pPr>
        <w:spacing w:line="360" w:lineRule="auto"/>
        <w:ind w:firstLine="624" w:firstLineChars="195"/>
        <w:rPr>
          <w:rFonts w:hint="eastAsia" w:ascii="仿宋" w:hAnsi="仿宋" w:eastAsia="仿宋" w:cs="仿宋"/>
          <w:sz w:val="32"/>
        </w:rPr>
      </w:pPr>
      <w:r>
        <w:rPr>
          <w:rFonts w:hint="eastAsia" w:ascii="仿宋" w:hAnsi="仿宋" w:eastAsia="仿宋" w:cs="仿宋"/>
          <w:sz w:val="32"/>
        </w:rPr>
        <w:t>2.文教幼儿园</w:t>
      </w:r>
    </w:p>
    <w:p w14:paraId="0ECD08A2">
      <w:pPr>
        <w:spacing w:line="360" w:lineRule="auto"/>
        <w:ind w:firstLine="624" w:firstLineChars="195"/>
        <w:rPr>
          <w:rFonts w:hint="eastAsia" w:ascii="仿宋" w:hAnsi="仿宋" w:eastAsia="仿宋" w:cs="仿宋"/>
          <w:sz w:val="32"/>
        </w:rPr>
      </w:pPr>
      <w:r>
        <w:rPr>
          <w:rFonts w:hint="eastAsia" w:ascii="仿宋" w:hAnsi="仿宋" w:eastAsia="仿宋" w:cs="仿宋"/>
          <w:sz w:val="32"/>
        </w:rPr>
        <w:t>3.辽河幼儿园</w:t>
      </w:r>
    </w:p>
    <w:p w14:paraId="74D8B204">
      <w:pPr>
        <w:spacing w:line="360" w:lineRule="auto"/>
        <w:ind w:firstLine="624" w:firstLineChars="195"/>
        <w:rPr>
          <w:rFonts w:hint="eastAsia" w:ascii="仿宋" w:hAnsi="仿宋" w:eastAsia="仿宋" w:cs="仿宋"/>
          <w:sz w:val="32"/>
        </w:rPr>
      </w:pPr>
      <w:r>
        <w:rPr>
          <w:rFonts w:hint="eastAsia" w:ascii="仿宋" w:hAnsi="仿宋" w:eastAsia="仿宋" w:cs="仿宋"/>
          <w:sz w:val="32"/>
        </w:rPr>
        <w:t>4.文化幼儿园</w:t>
      </w:r>
    </w:p>
    <w:p w14:paraId="0D48AA59">
      <w:pPr>
        <w:spacing w:line="360" w:lineRule="auto"/>
        <w:ind w:firstLine="624" w:firstLineChars="195"/>
        <w:rPr>
          <w:rFonts w:ascii="仿宋" w:hAnsi="仿宋" w:eastAsia="仿宋" w:cs="仿宋"/>
          <w:sz w:val="32"/>
        </w:rPr>
      </w:pPr>
      <w:r>
        <w:rPr>
          <w:rFonts w:hint="eastAsia" w:ascii="仿宋" w:hAnsi="仿宋" w:eastAsia="仿宋" w:cs="仿宋"/>
          <w:sz w:val="32"/>
        </w:rPr>
        <w:t>5.文慧幼儿园</w:t>
      </w:r>
    </w:p>
    <w:p w14:paraId="1A48B453">
      <w:pPr>
        <w:spacing w:line="360" w:lineRule="auto"/>
        <w:ind w:firstLine="640" w:firstLineChars="200"/>
        <w:rPr>
          <w:rFonts w:hint="eastAsia" w:ascii="仿宋" w:hAnsi="仿宋" w:eastAsia="仿宋" w:cs="仿宋"/>
          <w:sz w:val="32"/>
        </w:rPr>
      </w:pPr>
      <w:r>
        <w:rPr>
          <w:rFonts w:hint="eastAsia" w:ascii="仿宋" w:hAnsi="仿宋" w:eastAsia="仿宋" w:cs="仿宋"/>
          <w:sz w:val="32"/>
        </w:rPr>
        <w:t>6.实验小学</w:t>
      </w:r>
    </w:p>
    <w:p w14:paraId="5C53DB93">
      <w:pPr>
        <w:spacing w:line="360" w:lineRule="auto"/>
        <w:ind w:firstLine="624" w:firstLineChars="195"/>
        <w:rPr>
          <w:rFonts w:hint="eastAsia" w:ascii="仿宋" w:hAnsi="仿宋" w:eastAsia="仿宋" w:cs="仿宋"/>
          <w:sz w:val="32"/>
        </w:rPr>
      </w:pPr>
      <w:r>
        <w:rPr>
          <w:rFonts w:hint="eastAsia" w:ascii="仿宋" w:hAnsi="仿宋" w:eastAsia="仿宋" w:cs="仿宋"/>
          <w:sz w:val="32"/>
        </w:rPr>
        <w:t>7.建设小学</w:t>
      </w:r>
    </w:p>
    <w:p w14:paraId="381B153C">
      <w:pPr>
        <w:spacing w:line="360" w:lineRule="auto"/>
        <w:ind w:firstLine="624" w:firstLineChars="195"/>
        <w:rPr>
          <w:rFonts w:hint="eastAsia" w:ascii="仿宋" w:hAnsi="仿宋" w:eastAsia="仿宋" w:cs="仿宋"/>
          <w:sz w:val="32"/>
        </w:rPr>
      </w:pPr>
      <w:r>
        <w:rPr>
          <w:rFonts w:hint="eastAsia" w:ascii="仿宋" w:hAnsi="仿宋" w:eastAsia="仿宋" w:cs="仿宋"/>
          <w:sz w:val="32"/>
        </w:rPr>
        <w:t>8.长征小学</w:t>
      </w:r>
    </w:p>
    <w:p w14:paraId="15CE3AA3">
      <w:pPr>
        <w:spacing w:line="360" w:lineRule="auto"/>
        <w:ind w:firstLine="624" w:firstLineChars="195"/>
        <w:rPr>
          <w:rFonts w:hint="eastAsia" w:ascii="仿宋" w:hAnsi="仿宋" w:eastAsia="仿宋" w:cs="仿宋"/>
          <w:sz w:val="32"/>
        </w:rPr>
      </w:pPr>
      <w:r>
        <w:rPr>
          <w:rFonts w:hint="eastAsia" w:ascii="仿宋" w:hAnsi="仿宋" w:eastAsia="仿宋" w:cs="仿宋"/>
          <w:sz w:val="32"/>
          <w:lang w:val="en-US" w:eastAsia="zh-CN"/>
        </w:rPr>
        <w:t>9</w:t>
      </w:r>
      <w:r>
        <w:rPr>
          <w:rFonts w:hint="eastAsia" w:ascii="仿宋" w:hAnsi="仿宋" w:eastAsia="仿宋" w:cs="仿宋"/>
          <w:sz w:val="32"/>
        </w:rPr>
        <w:t>.辽河小学</w:t>
      </w:r>
    </w:p>
    <w:p w14:paraId="65ACA8FC">
      <w:pPr>
        <w:spacing w:line="360" w:lineRule="auto"/>
        <w:ind w:firstLine="624" w:firstLineChars="195"/>
        <w:rPr>
          <w:rFonts w:hint="eastAsia" w:ascii="仿宋" w:hAnsi="仿宋" w:eastAsia="仿宋" w:cs="仿宋"/>
          <w:sz w:val="32"/>
        </w:rPr>
      </w:pPr>
      <w:r>
        <w:rPr>
          <w:rFonts w:hint="eastAsia" w:ascii="仿宋" w:hAnsi="仿宋" w:eastAsia="仿宋" w:cs="仿宋"/>
          <w:sz w:val="32"/>
          <w:lang w:val="en-US" w:eastAsia="zh-CN"/>
        </w:rPr>
        <w:t>10.滨河幼儿园</w:t>
      </w:r>
    </w:p>
    <w:p w14:paraId="0228F7CA">
      <w:pPr>
        <w:spacing w:line="360" w:lineRule="auto"/>
        <w:ind w:firstLine="624" w:firstLineChars="195"/>
        <w:rPr>
          <w:rFonts w:hint="eastAsia" w:ascii="仿宋" w:hAnsi="仿宋" w:eastAsia="仿宋" w:cs="仿宋"/>
          <w:sz w:val="32"/>
        </w:rPr>
      </w:pPr>
      <w:r>
        <w:rPr>
          <w:rFonts w:hint="eastAsia" w:ascii="仿宋" w:hAnsi="仿宋" w:eastAsia="仿宋" w:cs="仿宋"/>
          <w:sz w:val="32"/>
        </w:rPr>
        <w:t>11.高家小学</w:t>
      </w:r>
    </w:p>
    <w:p w14:paraId="6F9FAADD">
      <w:pPr>
        <w:spacing w:line="360" w:lineRule="auto"/>
        <w:ind w:firstLine="624" w:firstLineChars="195"/>
        <w:rPr>
          <w:rFonts w:hint="default" w:ascii="仿宋" w:hAnsi="仿宋" w:eastAsia="仿宋" w:cs="仿宋"/>
          <w:sz w:val="32"/>
          <w:lang w:val="en-US" w:eastAsia="zh-CN"/>
        </w:rPr>
      </w:pPr>
      <w:r>
        <w:rPr>
          <w:rFonts w:hint="eastAsia" w:ascii="仿宋" w:hAnsi="仿宋" w:eastAsia="仿宋" w:cs="仿宋"/>
          <w:sz w:val="32"/>
        </w:rPr>
        <w:t>12.</w:t>
      </w:r>
      <w:r>
        <w:rPr>
          <w:rFonts w:hint="eastAsia" w:ascii="仿宋" w:hAnsi="仿宋" w:eastAsia="仿宋" w:cs="仿宋"/>
          <w:sz w:val="32"/>
          <w:lang w:val="en-US" w:eastAsia="zh-CN"/>
        </w:rPr>
        <w:t>陆家镇中心幼儿园</w:t>
      </w:r>
    </w:p>
    <w:p w14:paraId="6CA3C94C">
      <w:pPr>
        <w:spacing w:line="360" w:lineRule="auto"/>
        <w:ind w:firstLine="624" w:firstLineChars="195"/>
        <w:rPr>
          <w:rFonts w:hint="eastAsia" w:ascii="仿宋" w:hAnsi="仿宋" w:eastAsia="仿宋" w:cs="仿宋"/>
          <w:sz w:val="32"/>
        </w:rPr>
      </w:pPr>
      <w:r>
        <w:rPr>
          <w:rFonts w:hint="eastAsia" w:ascii="仿宋" w:hAnsi="仿宋" w:eastAsia="仿宋" w:cs="仿宋"/>
          <w:sz w:val="32"/>
        </w:rPr>
        <w:t>13.湖滨小学</w:t>
      </w:r>
    </w:p>
    <w:p w14:paraId="1B8F0845">
      <w:pPr>
        <w:spacing w:line="360" w:lineRule="auto"/>
        <w:ind w:firstLine="624" w:firstLineChars="195"/>
        <w:rPr>
          <w:rFonts w:hint="eastAsia" w:ascii="仿宋" w:hAnsi="仿宋" w:eastAsia="仿宋" w:cs="仿宋"/>
          <w:sz w:val="32"/>
        </w:rPr>
      </w:pPr>
      <w:r>
        <w:rPr>
          <w:rFonts w:hint="eastAsia" w:ascii="仿宋" w:hAnsi="仿宋" w:eastAsia="仿宋" w:cs="仿宋"/>
          <w:sz w:val="32"/>
        </w:rPr>
        <w:t>14.育红小学</w:t>
      </w:r>
    </w:p>
    <w:p w14:paraId="049C3150">
      <w:pPr>
        <w:spacing w:line="360" w:lineRule="auto"/>
        <w:ind w:left="624"/>
        <w:rPr>
          <w:rFonts w:hint="eastAsia" w:ascii="仿宋" w:hAnsi="仿宋" w:eastAsia="仿宋" w:cs="仿宋"/>
          <w:sz w:val="32"/>
        </w:rPr>
      </w:pPr>
      <w:r>
        <w:rPr>
          <w:rFonts w:hint="eastAsia" w:ascii="仿宋" w:hAnsi="仿宋" w:eastAsia="仿宋" w:cs="仿宋"/>
          <w:sz w:val="32"/>
        </w:rPr>
        <w:t>15.九化小学</w:t>
      </w:r>
    </w:p>
    <w:p w14:paraId="54D4C54A">
      <w:pPr>
        <w:spacing w:line="360" w:lineRule="auto"/>
        <w:ind w:firstLine="624" w:firstLineChars="195"/>
        <w:rPr>
          <w:rFonts w:hint="eastAsia" w:ascii="仿宋" w:hAnsi="仿宋" w:eastAsia="仿宋" w:cs="仿宋"/>
          <w:sz w:val="32"/>
        </w:rPr>
      </w:pPr>
      <w:r>
        <w:rPr>
          <w:rFonts w:hint="eastAsia" w:ascii="仿宋" w:hAnsi="仿宋" w:eastAsia="仿宋" w:cs="仿宋"/>
          <w:sz w:val="32"/>
        </w:rPr>
        <w:t>16.辽化小学</w:t>
      </w:r>
    </w:p>
    <w:p w14:paraId="571DB593">
      <w:pPr>
        <w:spacing w:line="360" w:lineRule="auto"/>
        <w:ind w:firstLine="624" w:firstLineChars="195"/>
        <w:rPr>
          <w:rFonts w:hint="eastAsia" w:ascii="仿宋" w:hAnsi="仿宋" w:eastAsia="仿宋" w:cs="仿宋"/>
          <w:sz w:val="32"/>
        </w:rPr>
      </w:pPr>
      <w:r>
        <w:rPr>
          <w:rFonts w:hint="eastAsia" w:ascii="仿宋" w:hAnsi="仿宋" w:eastAsia="仿宋" w:cs="仿宋"/>
          <w:sz w:val="32"/>
        </w:rPr>
        <w:t>17.实验中学</w:t>
      </w:r>
    </w:p>
    <w:p w14:paraId="6EBD6BFA">
      <w:pPr>
        <w:spacing w:line="360" w:lineRule="auto"/>
        <w:ind w:firstLine="624" w:firstLineChars="195"/>
        <w:rPr>
          <w:rFonts w:hint="eastAsia" w:ascii="仿宋" w:hAnsi="仿宋" w:eastAsia="仿宋" w:cs="仿宋"/>
          <w:sz w:val="32"/>
        </w:rPr>
      </w:pPr>
      <w:r>
        <w:rPr>
          <w:rFonts w:hint="eastAsia" w:ascii="仿宋" w:hAnsi="仿宋" w:eastAsia="仿宋" w:cs="仿宋"/>
          <w:sz w:val="32"/>
        </w:rPr>
        <w:t>18.陆家中学</w:t>
      </w:r>
    </w:p>
    <w:p w14:paraId="3552F5F5">
      <w:pPr>
        <w:spacing w:line="360" w:lineRule="auto"/>
        <w:ind w:firstLine="624" w:firstLineChars="195"/>
        <w:rPr>
          <w:rFonts w:hint="eastAsia" w:ascii="仿宋" w:hAnsi="仿宋" w:eastAsia="仿宋" w:cs="仿宋"/>
          <w:sz w:val="32"/>
        </w:rPr>
      </w:pPr>
      <w:r>
        <w:rPr>
          <w:rFonts w:hint="eastAsia" w:ascii="仿宋" w:hAnsi="仿宋" w:eastAsia="仿宋" w:cs="仿宋"/>
          <w:sz w:val="32"/>
        </w:rPr>
        <w:t>19</w:t>
      </w:r>
      <w:r>
        <w:rPr>
          <w:rFonts w:hint="eastAsia" w:ascii="仿宋" w:hAnsi="仿宋" w:eastAsia="仿宋" w:cs="仿宋"/>
          <w:sz w:val="32"/>
          <w:lang w:val="en-US" w:eastAsia="zh-CN"/>
        </w:rPr>
        <w:t>.</w:t>
      </w:r>
      <w:r>
        <w:rPr>
          <w:rFonts w:hint="eastAsia" w:ascii="仿宋" w:hAnsi="仿宋" w:eastAsia="仿宋" w:cs="仿宋"/>
          <w:sz w:val="32"/>
        </w:rPr>
        <w:t>第一中学</w:t>
      </w:r>
    </w:p>
    <w:p w14:paraId="77D5F672">
      <w:pPr>
        <w:spacing w:line="360" w:lineRule="auto"/>
        <w:ind w:firstLine="624" w:firstLineChars="195"/>
        <w:rPr>
          <w:rFonts w:hint="eastAsia" w:ascii="仿宋" w:hAnsi="仿宋" w:eastAsia="仿宋" w:cs="仿宋"/>
          <w:sz w:val="32"/>
        </w:rPr>
      </w:pPr>
      <w:r>
        <w:rPr>
          <w:rFonts w:hint="eastAsia" w:ascii="仿宋" w:hAnsi="仿宋" w:eastAsia="仿宋" w:cs="仿宋"/>
          <w:sz w:val="32"/>
          <w:lang w:val="en-US" w:eastAsia="zh-CN"/>
        </w:rPr>
        <w:t>20.</w:t>
      </w:r>
      <w:r>
        <w:rPr>
          <w:rFonts w:hint="eastAsia" w:ascii="仿宋" w:hAnsi="仿宋" w:eastAsia="仿宋" w:cs="仿宋"/>
          <w:sz w:val="32"/>
        </w:rPr>
        <w:t>第三中学</w:t>
      </w:r>
    </w:p>
    <w:p w14:paraId="632E44EE">
      <w:pPr>
        <w:spacing w:line="240" w:lineRule="auto"/>
        <w:ind w:left="0"/>
        <w:outlineLvl w:val="4"/>
        <w:rPr>
          <w:rFonts w:ascii="宋体" w:hAnsi="宋体" w:eastAsia="宋体" w:cs="宋体"/>
          <w:sz w:val="36"/>
          <w:szCs w:val="36"/>
        </w:rPr>
      </w:pPr>
      <w:bookmarkStart w:id="0" w:name="_GoBack"/>
      <w:bookmarkEnd w:id="0"/>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教育部门</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25572.97</w:t>
      </w:r>
      <w:r>
        <w:rPr>
          <w:rFonts w:ascii="楷体" w:hAnsi="楷体" w:eastAsia="楷体" w:cs="楷体"/>
          <w:b/>
          <w:bCs/>
          <w:spacing w:val="-1"/>
        </w:rPr>
        <w:t>万元，</w:t>
      </w:r>
      <w:r>
        <w:rPr>
          <w:spacing w:val="-1"/>
        </w:rPr>
        <w:t>其中：</w:t>
      </w:r>
    </w:p>
    <w:p w14:paraId="102DBC63">
      <w:pPr>
        <w:pStyle w:val="2"/>
        <w:spacing w:before="180" w:line="220" w:lineRule="auto"/>
        <w:ind w:left="703"/>
      </w:pPr>
      <w:r>
        <w:rPr>
          <w:spacing w:val="3"/>
        </w:rPr>
        <w:t>1.一般公共预算拨款收入</w:t>
      </w:r>
      <w:r>
        <w:rPr>
          <w:rFonts w:hint="eastAsia"/>
          <w:spacing w:val="3"/>
          <w:lang w:val="en-US" w:eastAsia="zh-CN"/>
        </w:rPr>
        <w:t>23721.56</w:t>
      </w:r>
      <w:r>
        <w:rPr>
          <w:spacing w:val="3"/>
        </w:rPr>
        <w:t>万元；</w:t>
      </w:r>
    </w:p>
    <w:p w14:paraId="0FBD20DB">
      <w:pPr>
        <w:pStyle w:val="2"/>
        <w:spacing w:before="191" w:line="220" w:lineRule="auto"/>
        <w:ind w:left="695"/>
      </w:pPr>
      <w:r>
        <w:rPr>
          <w:spacing w:val="4"/>
        </w:rPr>
        <w:t>2.政府性基金预算拨款收入</w:t>
      </w:r>
      <w:r>
        <w:rPr>
          <w:rFonts w:hint="eastAsia"/>
          <w:lang w:val="en-US" w:eastAsia="zh-CN"/>
        </w:rPr>
        <w:t>0</w:t>
      </w:r>
      <w:r>
        <w:rPr>
          <w:spacing w:val="4"/>
        </w:rPr>
        <w:t>万元；</w:t>
      </w:r>
    </w:p>
    <w:p w14:paraId="4ED5C818">
      <w:pPr>
        <w:pStyle w:val="2"/>
        <w:spacing w:before="190" w:line="317" w:lineRule="auto"/>
        <w:ind w:left="698" w:right="2099" w:firstLine="13"/>
        <w:rPr>
          <w:spacing w:val="2"/>
        </w:rPr>
      </w:pPr>
      <w:r>
        <w:rPr>
          <w:spacing w:val="2"/>
        </w:rPr>
        <w:t>3.国有资本经营预算拨款收入</w:t>
      </w:r>
      <w:r>
        <w:rPr>
          <w:rFonts w:hint="eastAsia"/>
          <w:lang w:val="en-US" w:eastAsia="zh-CN"/>
        </w:rPr>
        <w:t>0</w:t>
      </w:r>
      <w:r>
        <w:rPr>
          <w:spacing w:val="2"/>
        </w:rPr>
        <w:t>万元；</w:t>
      </w:r>
    </w:p>
    <w:p w14:paraId="7626C07F">
      <w:pPr>
        <w:pStyle w:val="2"/>
        <w:spacing w:before="190" w:line="317" w:lineRule="auto"/>
        <w:ind w:left="698" w:right="2099" w:firstLine="13"/>
      </w:pPr>
      <w:r>
        <w:rPr>
          <w:spacing w:val="4"/>
        </w:rPr>
        <w:t>4.财政专户管理资金收入</w:t>
      </w:r>
      <w:r>
        <w:rPr>
          <w:rFonts w:hint="eastAsia"/>
          <w:lang w:val="en-US" w:eastAsia="zh-CN"/>
        </w:rPr>
        <w:t>0</w:t>
      </w:r>
      <w:r>
        <w:rPr>
          <w:spacing w:val="4"/>
        </w:rPr>
        <w:t>万元；</w:t>
      </w:r>
    </w:p>
    <w:p w14:paraId="5918299A">
      <w:pPr>
        <w:pStyle w:val="2"/>
        <w:spacing w:before="59" w:line="322" w:lineRule="auto"/>
        <w:ind w:left="30" w:right="7" w:firstLine="656"/>
      </w:pPr>
      <w:r>
        <w:rPr>
          <w:spacing w:val="4"/>
        </w:rPr>
        <w:t>5.单位资金收入</w:t>
      </w:r>
      <w:r>
        <w:rPr>
          <w:rFonts w:hint="eastAsia"/>
          <w:lang w:val="en-US" w:eastAsia="zh-CN"/>
        </w:rPr>
        <w:t>1851.41</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1851.41</w:t>
      </w:r>
      <w:r>
        <w:rPr>
          <w:spacing w:val="2"/>
        </w:rPr>
        <w:t>万元；</w:t>
      </w:r>
    </w:p>
    <w:p w14:paraId="2C8F578E">
      <w:pPr>
        <w:pStyle w:val="2"/>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0B04D0FC">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25572.97</w:t>
      </w:r>
      <w:r>
        <w:rPr>
          <w:rFonts w:ascii="楷体" w:hAnsi="楷体" w:eastAsia="楷体" w:cs="楷体"/>
          <w:b/>
          <w:bCs/>
          <w:spacing w:val="-1"/>
        </w:rPr>
        <w:t>万元，</w:t>
      </w:r>
      <w:r>
        <w:rPr>
          <w:spacing w:val="-1"/>
        </w:rPr>
        <w:t>其中：</w:t>
      </w:r>
    </w:p>
    <w:p w14:paraId="62E9E1CD">
      <w:pPr>
        <w:pStyle w:val="2"/>
        <w:spacing w:before="180" w:line="219" w:lineRule="auto"/>
        <w:ind w:left="691"/>
      </w:pPr>
      <w:r>
        <w:rPr>
          <w:spacing w:val="1"/>
        </w:rPr>
        <w:t>1.基本支出</w:t>
      </w:r>
      <w:r>
        <w:rPr>
          <w:rFonts w:hint="eastAsia"/>
          <w:lang w:val="en-US" w:eastAsia="zh-CN"/>
        </w:rPr>
        <w:t>22070.89</w:t>
      </w:r>
      <w:r>
        <w:rPr>
          <w:spacing w:val="1"/>
        </w:rPr>
        <w:t>万元；</w:t>
      </w:r>
    </w:p>
    <w:p w14:paraId="5232AA5C">
      <w:pPr>
        <w:pStyle w:val="2"/>
        <w:spacing w:before="192" w:line="219" w:lineRule="auto"/>
        <w:ind w:left="683"/>
      </w:pPr>
      <w:r>
        <w:rPr>
          <w:spacing w:val="3"/>
        </w:rPr>
        <w:t>2.项目支出</w:t>
      </w:r>
      <w:r>
        <w:rPr>
          <w:rFonts w:hint="eastAsia"/>
          <w:lang w:val="en-US" w:eastAsia="zh-CN"/>
        </w:rPr>
        <w:t>3502.08</w:t>
      </w:r>
      <w:r>
        <w:rPr>
          <w:spacing w:val="3"/>
        </w:rPr>
        <w:t>万元。</w:t>
      </w:r>
    </w:p>
    <w:p w14:paraId="013FB49B">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10</w:t>
      </w:r>
      <w:r>
        <w:rPr>
          <w:spacing w:val="7"/>
        </w:rPr>
        <w:t>个，涉及资金</w:t>
      </w:r>
      <w:r>
        <w:rPr>
          <w:rFonts w:hint="eastAsia"/>
          <w:lang w:val="en-US" w:eastAsia="zh-CN"/>
        </w:rPr>
        <w:t>3502.08</w:t>
      </w:r>
      <w:r>
        <w:rPr>
          <w:spacing w:val="7"/>
        </w:rPr>
        <w:t>万元。</w:t>
      </w:r>
    </w:p>
    <w:p w14:paraId="1166EFC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z w:val="31"/>
          <w:szCs w:val="31"/>
          <w:lang w:val="en-US" w:eastAsia="zh-CN"/>
        </w:rPr>
        <w:t>6733.71</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pacing w:val="7"/>
          <w:sz w:val="31"/>
          <w:szCs w:val="31"/>
          <w:lang w:val="en-US" w:eastAsia="zh-CN"/>
        </w:rPr>
        <w:t>2025年增加了项目支出，教育管理专项业务经费及学校教学楼、宿舍及附属设施维修改造经费</w:t>
      </w:r>
      <w:r>
        <w:rPr>
          <w:rFonts w:ascii="黑体" w:hAnsi="黑体" w:eastAsia="黑体" w:cs="黑体"/>
          <w:spacing w:val="7"/>
          <w:sz w:val="31"/>
          <w:szCs w:val="31"/>
        </w:rPr>
        <w:t>。</w:t>
      </w:r>
    </w:p>
    <w:p w14:paraId="51FE213A">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2025年，盘锦市双台子区教育部门管理专项资金共0个，涉及资金0万元。</w:t>
      </w:r>
    </w:p>
    <w:p w14:paraId="5EB7754C">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7ACABA0D">
      <w:pPr>
        <w:spacing w:line="360" w:lineRule="auto"/>
        <w:ind w:firstLine="651" w:firstLineChars="195"/>
      </w:pPr>
      <w:r>
        <w:rPr>
          <w:rFonts w:hint="eastAsia" w:ascii="FangSong_GB2312" w:hAnsi="FangSong_GB2312" w:eastAsia="FangSong_GB2312" w:cs="FangSong_GB2312"/>
          <w:snapToGrid w:val="0"/>
          <w:color w:val="000000"/>
          <w:spacing w:val="12"/>
          <w:kern w:val="0"/>
          <w:sz w:val="31"/>
          <w:szCs w:val="31"/>
          <w:lang w:val="en-US" w:eastAsia="zh-CN" w:bidi="ar-SA"/>
        </w:rPr>
        <w:t>2025年盘锦市双台子区教育部门运行经费预算2155.33万元，比2024年减少351万元，下降14%，主要原因是当年取暖费未付。主要包括：办公费552.68万元、印刷费48.39万元、手续费5.2万元、邮电费23.91万元、电费18万、差旅费42.09万元、委托业务费128.63万元、工会经费220.86万元、会议费1万元、培训费51.94万元、福利费16.88万元、</w:t>
      </w:r>
      <w:r>
        <w:rPr>
          <w:rFonts w:hint="eastAsia" w:ascii="FangSong_GB2312" w:hAnsi="FangSong_GB2312" w:eastAsia="FangSong_GB2312" w:cs="FangSong_GB2312"/>
          <w:snapToGrid w:val="0"/>
          <w:color w:val="000000"/>
          <w:spacing w:val="12"/>
          <w:kern w:val="0"/>
          <w:sz w:val="31"/>
          <w:szCs w:val="31"/>
          <w:lang w:val="en-US" w:eastAsia="zh-Hans" w:bidi="ar-SA"/>
        </w:rPr>
        <w:t>其他交通费</w:t>
      </w:r>
      <w:r>
        <w:rPr>
          <w:rFonts w:hint="eastAsia" w:ascii="FangSong_GB2312" w:hAnsi="FangSong_GB2312" w:eastAsia="FangSong_GB2312" w:cs="FangSong_GB2312"/>
          <w:snapToGrid w:val="0"/>
          <w:color w:val="000000"/>
          <w:spacing w:val="12"/>
          <w:kern w:val="0"/>
          <w:sz w:val="31"/>
          <w:szCs w:val="31"/>
          <w:lang w:val="en-US" w:eastAsia="zh-CN" w:bidi="ar-SA"/>
        </w:rPr>
        <w:t>8.7</w:t>
      </w:r>
      <w:r>
        <w:rPr>
          <w:rFonts w:hint="eastAsia" w:ascii="FangSong_GB2312" w:hAnsi="FangSong_GB2312" w:eastAsia="FangSong_GB2312" w:cs="FangSong_GB2312"/>
          <w:snapToGrid w:val="0"/>
          <w:color w:val="000000"/>
          <w:spacing w:val="12"/>
          <w:kern w:val="0"/>
          <w:sz w:val="31"/>
          <w:szCs w:val="31"/>
          <w:lang w:val="en-US" w:eastAsia="zh-Hans" w:bidi="ar-SA"/>
        </w:rPr>
        <w:t>万元</w:t>
      </w:r>
      <w:r>
        <w:rPr>
          <w:rFonts w:hint="eastAsia" w:ascii="FangSong_GB2312" w:hAnsi="FangSong_GB2312" w:eastAsia="FangSong_GB2312" w:cs="FangSong_GB2312"/>
          <w:snapToGrid w:val="0"/>
          <w:color w:val="000000"/>
          <w:spacing w:val="12"/>
          <w:kern w:val="0"/>
          <w:sz w:val="31"/>
          <w:szCs w:val="31"/>
          <w:lang w:val="en-US" w:eastAsia="zh-CN" w:bidi="ar-SA"/>
        </w:rPr>
        <w:t>、</w:t>
      </w:r>
      <w:r>
        <w:rPr>
          <w:rFonts w:hint="eastAsia" w:ascii="FangSong_GB2312" w:hAnsi="FangSong_GB2312" w:eastAsia="FangSong_GB2312" w:cs="FangSong_GB2312"/>
          <w:snapToGrid w:val="0"/>
          <w:color w:val="000000"/>
          <w:spacing w:val="12"/>
          <w:kern w:val="0"/>
          <w:sz w:val="31"/>
          <w:szCs w:val="31"/>
          <w:lang w:val="en-US" w:eastAsia="zh-Hans" w:bidi="ar-SA"/>
        </w:rPr>
        <w:t>退休费</w:t>
      </w:r>
      <w:r>
        <w:rPr>
          <w:rFonts w:hint="eastAsia" w:ascii="FangSong_GB2312" w:hAnsi="FangSong_GB2312" w:eastAsia="FangSong_GB2312" w:cs="FangSong_GB2312"/>
          <w:snapToGrid w:val="0"/>
          <w:color w:val="000000"/>
          <w:spacing w:val="12"/>
          <w:kern w:val="0"/>
          <w:sz w:val="31"/>
          <w:szCs w:val="31"/>
          <w:lang w:val="en-US" w:eastAsia="zh-CN" w:bidi="ar-SA"/>
        </w:rPr>
        <w:t>298.19</w:t>
      </w:r>
      <w:r>
        <w:rPr>
          <w:rFonts w:hint="eastAsia" w:ascii="FangSong_GB2312" w:hAnsi="FangSong_GB2312" w:eastAsia="FangSong_GB2312" w:cs="FangSong_GB2312"/>
          <w:snapToGrid w:val="0"/>
          <w:color w:val="000000"/>
          <w:spacing w:val="12"/>
          <w:kern w:val="0"/>
          <w:sz w:val="31"/>
          <w:szCs w:val="31"/>
          <w:lang w:val="en-US" w:eastAsia="zh-Hans" w:bidi="ar-SA"/>
        </w:rPr>
        <w:t>万元</w:t>
      </w:r>
      <w:r>
        <w:rPr>
          <w:rFonts w:hint="eastAsia" w:ascii="FangSong_GB2312" w:hAnsi="FangSong_GB2312" w:eastAsia="FangSong_GB2312" w:cs="FangSong_GB2312"/>
          <w:snapToGrid w:val="0"/>
          <w:color w:val="000000"/>
          <w:spacing w:val="12"/>
          <w:kern w:val="0"/>
          <w:sz w:val="31"/>
          <w:szCs w:val="31"/>
          <w:lang w:val="en-US" w:eastAsia="zh-CN" w:bidi="ar-SA"/>
        </w:rPr>
        <w:t>。</w:t>
      </w:r>
    </w:p>
    <w:p w14:paraId="0D575B5D">
      <w:pPr>
        <w:pStyle w:val="2"/>
        <w:spacing w:before="178" w:line="318" w:lineRule="auto"/>
        <w:ind w:left="13" w:right="11" w:firstLine="671"/>
      </w:pP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378555C2">
      <w:pPr>
        <w:pStyle w:val="2"/>
        <w:spacing w:before="173" w:line="323" w:lineRule="auto"/>
        <w:ind w:left="25" w:right="5" w:firstLine="663"/>
        <w:rPr>
          <w:spacing w:val="6"/>
        </w:rPr>
      </w:pPr>
      <w:r>
        <w:rPr>
          <w:rFonts w:hint="eastAsia"/>
          <w:spacing w:val="6"/>
          <w:lang w:val="en-US" w:eastAsia="zh-CN"/>
        </w:rPr>
        <w:t>2025年盘锦市双台子区</w:t>
      </w:r>
      <w:r>
        <w:rPr>
          <w:rFonts w:hint="eastAsia"/>
          <w:spacing w:val="12"/>
          <w:lang w:val="en-US" w:eastAsia="zh-CN"/>
        </w:rPr>
        <w:t>教育局（本级）</w:t>
      </w:r>
      <w:r>
        <w:rPr>
          <w:rFonts w:hint="eastAsia"/>
          <w:spacing w:val="6"/>
          <w:lang w:val="en-US" w:eastAsia="zh-CN"/>
        </w:rPr>
        <w:t>部门安排政府采购预算0万元，具体为货物0万元，服务0万元，工程0万元；预留面向中小企业采购份额0万元，其中预留给小微企业0万元。</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29F40BA3">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2"/>
          <w:lang w:val="en-US" w:eastAsia="zh-CN"/>
        </w:rPr>
        <w:t>教育局（本级）</w:t>
      </w:r>
      <w:r>
        <w:rPr>
          <w:rFonts w:hint="eastAsia"/>
          <w:spacing w:val="10"/>
          <w:lang w:val="en-US" w:eastAsia="zh-CN"/>
        </w:rPr>
        <w:t>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15FB93A0">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326AA860">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0DA94184">
      <w:pPr>
        <w:pStyle w:val="2"/>
        <w:spacing w:before="53" w:line="319" w:lineRule="auto"/>
        <w:ind w:left="40" w:right="66" w:firstLine="662"/>
        <w:rPr>
          <w:spacing w:val="10"/>
        </w:rPr>
        <w:sectPr>
          <w:footerReference r:id="rId8" w:type="default"/>
          <w:pgSz w:w="11905" w:h="16840"/>
          <w:pgMar w:top="1431" w:right="1782" w:bottom="1156" w:left="1785" w:header="0" w:footer="995" w:gutter="0"/>
          <w:cols w:space="720" w:num="1"/>
        </w:sect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00ACB493">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1EC4994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6"/>
            </w:pPr>
          </w:p>
          <w:p w14:paraId="5C9EBE10">
            <w:pPr>
              <w:pStyle w:val="6"/>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6"/>
            </w:pPr>
          </w:p>
        </w:tc>
        <w:tc>
          <w:tcPr>
            <w:tcW w:w="2828" w:type="dxa"/>
            <w:vAlign w:val="top"/>
          </w:tcPr>
          <w:p w14:paraId="02BEB199">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1DF024B5">
            <w:pPr>
              <w:pStyle w:val="6"/>
              <w:jc w:val="center"/>
              <w:rPr>
                <w:rFonts w:hint="eastAsia" w:eastAsia="宋体"/>
                <w:lang w:val="en-US" w:eastAsia="zh-CN"/>
              </w:rPr>
            </w:pPr>
            <w:r>
              <w:rPr>
                <w:rFonts w:hint="eastAsia" w:eastAsia="宋体"/>
                <w:lang w:val="en-US" w:eastAsia="zh-CN"/>
              </w:rPr>
              <w:t>0</w:t>
            </w:r>
          </w:p>
        </w:tc>
        <w:tc>
          <w:tcPr>
            <w:tcW w:w="2586" w:type="dxa"/>
            <w:vAlign w:val="top"/>
          </w:tcPr>
          <w:p w14:paraId="6FADB4BC">
            <w:pPr>
              <w:pStyle w:val="6"/>
              <w:jc w:val="center"/>
              <w:rPr>
                <w:rFonts w:hint="eastAsia" w:eastAsia="宋体"/>
                <w:lang w:val="en-US" w:eastAsia="zh-CN"/>
              </w:rPr>
            </w:pPr>
            <w:r>
              <w:rPr>
                <w:rFonts w:hint="eastAsia" w:eastAsia="宋体"/>
                <w:lang w:val="en-US" w:eastAsia="zh-CN"/>
              </w:rPr>
              <w:t>0</w:t>
            </w: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6495F8C6">
            <w:pPr>
              <w:pStyle w:val="6"/>
            </w:pPr>
          </w:p>
        </w:tc>
        <w:tc>
          <w:tcPr>
            <w:tcW w:w="2586" w:type="dxa"/>
            <w:vAlign w:val="top"/>
          </w:tcPr>
          <w:p w14:paraId="764FED08">
            <w:pPr>
              <w:pStyle w:val="6"/>
            </w:pP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24C4C702">
            <w:pPr>
              <w:pStyle w:val="6"/>
            </w:pPr>
          </w:p>
        </w:tc>
        <w:tc>
          <w:tcPr>
            <w:tcW w:w="2586" w:type="dxa"/>
            <w:vAlign w:val="top"/>
          </w:tcPr>
          <w:p w14:paraId="712F7815">
            <w:pPr>
              <w:pStyle w:val="6"/>
            </w:pP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183D3D64">
            <w:pPr>
              <w:pStyle w:val="6"/>
            </w:pPr>
          </w:p>
        </w:tc>
        <w:tc>
          <w:tcPr>
            <w:tcW w:w="2586" w:type="dxa"/>
            <w:vAlign w:val="top"/>
          </w:tcPr>
          <w:p w14:paraId="330A10D7">
            <w:pPr>
              <w:pStyle w:val="6"/>
            </w:pP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B0960E9">
            <w:pPr>
              <w:pStyle w:val="6"/>
            </w:pPr>
          </w:p>
        </w:tc>
        <w:tc>
          <w:tcPr>
            <w:tcW w:w="2586" w:type="dxa"/>
            <w:vAlign w:val="top"/>
          </w:tcPr>
          <w:p w14:paraId="27D1CAB7">
            <w:pPr>
              <w:pStyle w:val="6"/>
            </w:pP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4CAD4D25">
            <w:pPr>
              <w:pStyle w:val="6"/>
            </w:pPr>
          </w:p>
        </w:tc>
        <w:tc>
          <w:tcPr>
            <w:tcW w:w="2586" w:type="dxa"/>
            <w:vAlign w:val="top"/>
          </w:tcPr>
          <w:p w14:paraId="273FC6AB">
            <w:pPr>
              <w:pStyle w:val="6"/>
            </w:pPr>
          </w:p>
        </w:tc>
      </w:tr>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33AC4775">
      <w:pPr>
        <w:pStyle w:val="2"/>
        <w:spacing w:before="179" w:line="323" w:lineRule="auto"/>
        <w:ind w:left="42" w:right="503" w:firstLine="640"/>
      </w:pPr>
      <w:r>
        <w:rPr>
          <w:rFonts w:hint="eastAsia"/>
          <w:spacing w:val="12"/>
          <w:lang w:val="en-US" w:eastAsia="zh-CN"/>
        </w:rPr>
        <w:t>截至2024年12月31日，双台子</w:t>
      </w:r>
      <w:r>
        <w:rPr>
          <w:rFonts w:hint="eastAsia"/>
          <w:spacing w:val="12"/>
          <w:lang w:val="en-US" w:eastAsia="zh-Hans"/>
        </w:rPr>
        <w:t>区教育局</w:t>
      </w:r>
      <w:r>
        <w:rPr>
          <w:rFonts w:hint="eastAsia"/>
          <w:spacing w:val="12"/>
          <w:lang w:val="en-US" w:eastAsia="zh-CN"/>
        </w:rPr>
        <w:t>部门资产总额18293120.53元，其中，流动资产15429137.88元，</w:t>
      </w:r>
      <w:r>
        <w:rPr>
          <w:rFonts w:hint="eastAsia"/>
          <w:spacing w:val="12"/>
          <w:lang w:val="en-US" w:eastAsia="zh-Hans"/>
        </w:rPr>
        <w:t>非流动资产</w:t>
      </w:r>
      <w:r>
        <w:rPr>
          <w:rFonts w:hint="eastAsia"/>
          <w:spacing w:val="12"/>
          <w:lang w:val="en-US" w:eastAsia="zh-CN"/>
        </w:rPr>
        <w:t>2863982.65</w:t>
      </w:r>
      <w:r>
        <w:rPr>
          <w:rFonts w:hint="eastAsia"/>
          <w:spacing w:val="12"/>
          <w:lang w:val="en-US" w:eastAsia="zh-Hans"/>
        </w:rPr>
        <w:t>元</w:t>
      </w:r>
      <w:r>
        <w:rPr>
          <w:rFonts w:hint="default"/>
          <w:spacing w:val="12"/>
          <w:lang w:val="en-US" w:eastAsia="zh-Hans"/>
        </w:rPr>
        <w:t>，</w:t>
      </w:r>
      <w:r>
        <w:rPr>
          <w:rFonts w:hint="eastAsia"/>
          <w:spacing w:val="12"/>
          <w:lang w:val="en-US" w:eastAsia="zh-CN"/>
        </w:rPr>
        <w:t>固定资产15509664.71元。</w:t>
      </w:r>
      <w:r>
        <w:rPr>
          <w:rFonts w:hint="eastAsia"/>
          <w:spacing w:val="2"/>
          <w:lang w:val="en-US" w:eastAsia="zh-CN"/>
        </w:rPr>
        <w:t>固定</w:t>
      </w:r>
      <w:r>
        <w:rPr>
          <w:rFonts w:hint="eastAsia"/>
          <w:spacing w:val="2"/>
        </w:rPr>
        <w:t>资产中共有车辆</w:t>
      </w:r>
      <w:r>
        <w:rPr>
          <w:rFonts w:hint="default"/>
          <w:spacing w:val="2"/>
        </w:rPr>
        <w:t>4</w:t>
      </w:r>
      <w:r>
        <w:rPr>
          <w:rFonts w:hint="eastAsia"/>
          <w:spacing w:val="2"/>
        </w:rPr>
        <w:t>辆（</w:t>
      </w:r>
      <w:r>
        <w:rPr>
          <w:rFonts w:hint="eastAsia"/>
          <w:spacing w:val="2"/>
          <w:lang w:val="en-US" w:eastAsia="zh-Hans"/>
        </w:rPr>
        <w:t>机要通信用车</w:t>
      </w:r>
      <w:r>
        <w:rPr>
          <w:rFonts w:hint="default"/>
          <w:spacing w:val="2"/>
          <w:lang w:eastAsia="zh-Hans"/>
        </w:rPr>
        <w:t>0</w:t>
      </w:r>
      <w:r>
        <w:rPr>
          <w:rFonts w:hint="eastAsia"/>
          <w:spacing w:val="2"/>
          <w:lang w:val="en-US" w:eastAsia="zh-Hans"/>
        </w:rPr>
        <w:t>辆</w:t>
      </w:r>
      <w:r>
        <w:rPr>
          <w:rFonts w:hint="eastAsia"/>
          <w:spacing w:val="2"/>
        </w:rPr>
        <w:t>），价值</w:t>
      </w:r>
      <w:r>
        <w:rPr>
          <w:rFonts w:hint="default"/>
          <w:spacing w:val="2"/>
        </w:rPr>
        <w:t>314000</w:t>
      </w:r>
      <w:r>
        <w:rPr>
          <w:rFonts w:hint="eastAsia"/>
          <w:spacing w:val="2"/>
        </w:rPr>
        <w:t>元</w:t>
      </w:r>
      <w:r>
        <w:rPr>
          <w:rFonts w:hint="default"/>
          <w:spacing w:val="2"/>
        </w:rPr>
        <w:t>。</w:t>
      </w:r>
      <w:r>
        <w:rPr>
          <w:rFonts w:hint="eastAsia"/>
          <w:spacing w:val="2"/>
          <w:lang w:eastAsia="zh-CN"/>
        </w:rPr>
        <w:t>盘</w:t>
      </w:r>
      <w:r>
        <w:rPr>
          <w:rFonts w:hint="eastAsia"/>
          <w:spacing w:val="10"/>
          <w:lang w:eastAsia="zh-CN"/>
        </w:rPr>
        <w:t>锦市双台子区</w:t>
      </w:r>
      <w:r>
        <w:rPr>
          <w:rFonts w:hint="eastAsia"/>
          <w:spacing w:val="12"/>
          <w:lang w:val="en-US" w:eastAsia="zh-CN"/>
        </w:rPr>
        <w:t>教育局（本级）</w:t>
      </w:r>
      <w:r>
        <w:rPr>
          <w:rFonts w:hint="eastAsia"/>
          <w:spacing w:val="10"/>
          <w:lang w:val="en-US" w:eastAsia="zh-CN"/>
        </w:rPr>
        <w:t>部门2025年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6D987EFD">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教育局（本级）部门</w:t>
      </w:r>
      <w:r>
        <w:rPr>
          <w:rFonts w:hint="eastAsia"/>
          <w:spacing w:val="9"/>
          <w:lang w:val="en-US" w:eastAsia="zh-CN"/>
        </w:rPr>
        <w:t>2025</w:t>
      </w:r>
      <w:r>
        <w:rPr>
          <w:spacing w:val="9"/>
        </w:rPr>
        <w:t>年应编制部门</w:t>
      </w:r>
      <w:r>
        <w:rPr>
          <w:spacing w:val="12"/>
        </w:rPr>
        <w:t>（单位）整体绩效目标共</w:t>
      </w:r>
      <w:r>
        <w:rPr>
          <w:rFonts w:hint="eastAsia"/>
          <w:spacing w:val="12"/>
          <w:lang w:val="en-US" w:eastAsia="zh-CN"/>
        </w:rPr>
        <w:t>10</w:t>
      </w:r>
      <w:r>
        <w:rPr>
          <w:spacing w:val="12"/>
        </w:rPr>
        <w:t>个，实际编制部门（单位）整</w:t>
      </w:r>
      <w:r>
        <w:rPr>
          <w:spacing w:val="14"/>
        </w:rPr>
        <w:t>体绩效目标共</w:t>
      </w:r>
      <w:r>
        <w:rPr>
          <w:rFonts w:hint="eastAsia"/>
          <w:spacing w:val="14"/>
          <w:lang w:val="en-US" w:eastAsia="zh-CN"/>
        </w:rPr>
        <w:t>10</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spacing w:val="15"/>
          <w:lang w:val="en-US" w:eastAsia="zh-CN"/>
        </w:rPr>
        <w:t>10</w:t>
      </w:r>
      <w:r>
        <w:rPr>
          <w:spacing w:val="15"/>
        </w:rPr>
        <w:t>个，实际编制绩效目标的特定目标类和其他运转</w:t>
      </w:r>
      <w:r>
        <w:rPr>
          <w:spacing w:val="14"/>
        </w:rPr>
        <w:t>类项</w:t>
      </w:r>
      <w:r>
        <w:rPr>
          <w:spacing w:val="7"/>
        </w:rPr>
        <w:t>目共</w:t>
      </w:r>
      <w:r>
        <w:rPr>
          <w:rFonts w:hint="eastAsia"/>
          <w:spacing w:val="7"/>
          <w:lang w:val="en-US" w:eastAsia="zh-CN"/>
        </w:rPr>
        <w:t>10</w:t>
      </w:r>
      <w:r>
        <w:rPr>
          <w:spacing w:val="7"/>
        </w:rPr>
        <w:t>个，涉及资金</w:t>
      </w:r>
      <w:r>
        <w:rPr>
          <w:rFonts w:hint="eastAsia"/>
          <w:lang w:val="en-US" w:eastAsia="zh-CN"/>
        </w:rPr>
        <w:t>3502.08</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spacing w:val="10"/>
          <w:lang w:val="en-US" w:eastAsia="zh-CN"/>
        </w:rPr>
        <w:t>100</w:t>
      </w:r>
      <w:r>
        <w:rPr>
          <w:spacing w:val="10"/>
        </w:rPr>
        <w:t>%。</w:t>
      </w:r>
    </w:p>
    <w:p w14:paraId="65E757AB">
      <w:pPr>
        <w:spacing w:line="330" w:lineRule="auto"/>
      </w:pPr>
    </w:p>
    <w:p w14:paraId="3A09BBDF">
      <w:pPr>
        <w:spacing w:line="330" w:lineRule="auto"/>
        <w:rPr>
          <w:rFonts w:hint="default" w:eastAsia="宋体"/>
          <w:lang w:val="en-US" w:eastAsia="zh-CN"/>
        </w:rPr>
        <w:sectPr>
          <w:footerReference r:id="rId9" w:type="default"/>
          <w:pgSz w:w="11905" w:h="16840"/>
          <w:pgMar w:top="1431" w:right="1283" w:bottom="1156" w:left="1777" w:header="0" w:footer="995" w:gutter="0"/>
          <w:cols w:space="720" w:num="1"/>
        </w:sectPr>
      </w:pPr>
      <w:r>
        <w:rPr>
          <w:rFonts w:hint="eastAsia" w:eastAsia="宋体"/>
          <w:lang w:val="en-US" w:eastAsia="zh-CN"/>
        </w:rPr>
        <w:t xml:space="preserve">  公开预算表见附件：045教育局</w:t>
      </w: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59D42778">
      <w:pPr>
        <w:spacing w:line="329" w:lineRule="auto"/>
        <w:sectPr>
          <w:footerReference r:id="rId10" w:type="default"/>
          <w:pgSz w:w="11905" w:h="16840"/>
          <w:pgMar w:top="1431" w:right="1551" w:bottom="1156" w:left="1785" w:header="0" w:footer="995" w:gutter="0"/>
          <w:cols w:space="720" w:num="1"/>
        </w:sectPr>
      </w:pPr>
    </w:p>
    <w:p w14:paraId="383B44E5">
      <w:pPr>
        <w:pStyle w:val="2"/>
        <w:spacing w:before="55" w:line="329" w:lineRule="auto"/>
        <w:ind w:left="15" w:right="91" w:firstLine="670"/>
        <w:rPr>
          <w:b/>
          <w:bCs/>
          <w:spacing w:val="-11"/>
        </w:rPr>
      </w:pPr>
      <w:r>
        <w:rPr>
          <w:b/>
          <w:bCs/>
          <w:spacing w:val="-11"/>
        </w:rPr>
        <w:t>7.一般公共服务支出（类）财政事务（款）行政运行（项）：</w:t>
      </w:r>
      <w:r>
        <w:rPr>
          <w:spacing w:val="9"/>
        </w:rPr>
        <w:t>反映行政单位（包括实行公务员管理的事业单位）的基本支出。</w:t>
      </w:r>
    </w:p>
    <w:p w14:paraId="161665A6">
      <w:pPr>
        <w:pStyle w:val="2"/>
        <w:spacing w:before="55" w:line="329" w:lineRule="auto"/>
        <w:ind w:left="15" w:right="91" w:firstLine="670"/>
        <w:rPr>
          <w:b/>
          <w:bCs/>
          <w:spacing w:val="-11"/>
        </w:rPr>
      </w:pPr>
      <w:r>
        <w:rPr>
          <w:b/>
          <w:bCs/>
          <w:spacing w:val="-11"/>
        </w:rPr>
        <w:t>8.一般公共服务支出（类）财政事务（款）一般行政管</w:t>
      </w:r>
    </w:p>
    <w:p w14:paraId="5C21EBEB">
      <w:pPr>
        <w:pStyle w:val="2"/>
        <w:spacing w:before="55" w:line="329" w:lineRule="auto"/>
        <w:ind w:right="91"/>
        <w:rPr>
          <w:spacing w:val="9"/>
        </w:rPr>
      </w:pPr>
      <w:r>
        <w:rPr>
          <w:b/>
          <w:bCs/>
          <w:spacing w:val="-11"/>
        </w:rPr>
        <w:t>理事务（项）：</w:t>
      </w:r>
      <w:r>
        <w:rPr>
          <w:spacing w:val="9"/>
        </w:rPr>
        <w:t>反映行政单位（包括实行公务员管理的事业单位）未单独设置项级科目的其他项目支出。</w:t>
      </w:r>
    </w:p>
    <w:p w14:paraId="733E51F9">
      <w:pPr>
        <w:pStyle w:val="2"/>
        <w:spacing w:before="55" w:line="329" w:lineRule="auto"/>
        <w:ind w:left="15" w:right="91" w:firstLine="670"/>
        <w:rPr>
          <w:b/>
          <w:bCs/>
          <w:spacing w:val="-11"/>
        </w:rPr>
      </w:pPr>
      <w:r>
        <w:rPr>
          <w:b/>
          <w:bCs/>
          <w:spacing w:val="-11"/>
        </w:rPr>
        <w:t>9.一般公共服务支出（类）财政事务（款）事业运行（项）：</w:t>
      </w:r>
      <w:r>
        <w:rPr>
          <w:spacing w:val="9"/>
        </w:rPr>
        <w:t>反映事业单位的基本支出，不包括行政单位（包括实行公务员管理的事业单位）后勤服务中心、医务室等附属事业单位。</w:t>
      </w:r>
    </w:p>
    <w:p w14:paraId="6A6A3C6E">
      <w:pPr>
        <w:pStyle w:val="2"/>
        <w:spacing w:before="55" w:line="329" w:lineRule="auto"/>
        <w:ind w:left="15" w:right="91" w:firstLine="670"/>
        <w:rPr>
          <w:rFonts w:hint="eastAsia" w:eastAsia="FangSong_GB2312"/>
          <w:b/>
          <w:bCs/>
          <w:spacing w:val="-11"/>
          <w:lang w:val="en-US" w:eastAsia="zh-CN"/>
        </w:rPr>
        <w:sectPr>
          <w:footerReference r:id="rId11" w:type="default"/>
          <w:pgSz w:w="11905" w:h="16840"/>
          <w:pgMar w:top="1417" w:right="1553" w:bottom="1157" w:left="1786" w:header="0" w:footer="0" w:gutter="0"/>
          <w:cols w:space="720" w:num="1"/>
        </w:sectPr>
      </w:pPr>
      <w:r>
        <w:rPr>
          <w:b/>
          <w:bCs/>
          <w:spacing w:val="-11"/>
        </w:rPr>
        <w:t>10.一般公共服务支出（类）财政事务（款）其他财政事务支出（项）：</w:t>
      </w:r>
      <w:r>
        <w:rPr>
          <w:spacing w:val="9"/>
        </w:rPr>
        <w:t>反映除上述项目以外其他财政事务方面的支出</w:t>
      </w:r>
      <w:r>
        <w:rPr>
          <w:rFonts w:hint="eastAsia"/>
          <w:spacing w:val="9"/>
          <w:lang w:eastAsia="zh-CN"/>
        </w:rPr>
        <w:t>。</w:t>
      </w:r>
    </w:p>
    <w:p w14:paraId="52A20DD3">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84E3">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34C2F">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5FC6E">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70FF"/>
    <w:rsid w:val="005C088A"/>
    <w:rsid w:val="012F5F9F"/>
    <w:rsid w:val="01852063"/>
    <w:rsid w:val="01BE7323"/>
    <w:rsid w:val="03004097"/>
    <w:rsid w:val="05123C0E"/>
    <w:rsid w:val="0556624A"/>
    <w:rsid w:val="057C5A9B"/>
    <w:rsid w:val="0580501B"/>
    <w:rsid w:val="05E66669"/>
    <w:rsid w:val="07047ECE"/>
    <w:rsid w:val="08A059D4"/>
    <w:rsid w:val="094B1DE4"/>
    <w:rsid w:val="09F4422A"/>
    <w:rsid w:val="0A026946"/>
    <w:rsid w:val="0A110938"/>
    <w:rsid w:val="0B8213C1"/>
    <w:rsid w:val="0C8A49D1"/>
    <w:rsid w:val="0CB42738"/>
    <w:rsid w:val="0DA10614"/>
    <w:rsid w:val="0DA726A0"/>
    <w:rsid w:val="0E1409F6"/>
    <w:rsid w:val="0E1E49F8"/>
    <w:rsid w:val="0F3F7CF5"/>
    <w:rsid w:val="0F6A70B0"/>
    <w:rsid w:val="102E110C"/>
    <w:rsid w:val="11C10E95"/>
    <w:rsid w:val="13DC1FB6"/>
    <w:rsid w:val="13E9022F"/>
    <w:rsid w:val="14724E06"/>
    <w:rsid w:val="147E3783"/>
    <w:rsid w:val="1528122B"/>
    <w:rsid w:val="16012124"/>
    <w:rsid w:val="16677B31"/>
    <w:rsid w:val="166D339A"/>
    <w:rsid w:val="16DB34C7"/>
    <w:rsid w:val="18226406"/>
    <w:rsid w:val="18873151"/>
    <w:rsid w:val="19097372"/>
    <w:rsid w:val="19E053E0"/>
    <w:rsid w:val="1A3F329F"/>
    <w:rsid w:val="1ACE471E"/>
    <w:rsid w:val="1C3F7586"/>
    <w:rsid w:val="1E696B3C"/>
    <w:rsid w:val="214C004F"/>
    <w:rsid w:val="21933ED0"/>
    <w:rsid w:val="240D7D94"/>
    <w:rsid w:val="26452B30"/>
    <w:rsid w:val="2685028B"/>
    <w:rsid w:val="268A7A18"/>
    <w:rsid w:val="277A3B68"/>
    <w:rsid w:val="27E51FF0"/>
    <w:rsid w:val="29934A6D"/>
    <w:rsid w:val="29B844D4"/>
    <w:rsid w:val="2A2D4EC2"/>
    <w:rsid w:val="2A742AF1"/>
    <w:rsid w:val="2A906970"/>
    <w:rsid w:val="2AA607D0"/>
    <w:rsid w:val="2B275DB5"/>
    <w:rsid w:val="2B6F5066"/>
    <w:rsid w:val="2D12214D"/>
    <w:rsid w:val="2DA95F68"/>
    <w:rsid w:val="2E1D349F"/>
    <w:rsid w:val="2E383E35"/>
    <w:rsid w:val="31204093"/>
    <w:rsid w:val="3243100D"/>
    <w:rsid w:val="325A081E"/>
    <w:rsid w:val="326343FE"/>
    <w:rsid w:val="328C29A2"/>
    <w:rsid w:val="32DC6FF6"/>
    <w:rsid w:val="33196670"/>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73113F"/>
    <w:rsid w:val="3B915F04"/>
    <w:rsid w:val="3C79126B"/>
    <w:rsid w:val="3D51281E"/>
    <w:rsid w:val="3E5D51F2"/>
    <w:rsid w:val="3F5D7BA0"/>
    <w:rsid w:val="3F9B143D"/>
    <w:rsid w:val="3FA42CE6"/>
    <w:rsid w:val="3FCF1F1D"/>
    <w:rsid w:val="40316936"/>
    <w:rsid w:val="42353719"/>
    <w:rsid w:val="42562684"/>
    <w:rsid w:val="42A45AE6"/>
    <w:rsid w:val="44451756"/>
    <w:rsid w:val="44670B79"/>
    <w:rsid w:val="44E623E5"/>
    <w:rsid w:val="44F05012"/>
    <w:rsid w:val="45260A34"/>
    <w:rsid w:val="45460437"/>
    <w:rsid w:val="462D66FA"/>
    <w:rsid w:val="467F21AA"/>
    <w:rsid w:val="47110682"/>
    <w:rsid w:val="47BE4F54"/>
    <w:rsid w:val="48D60C67"/>
    <w:rsid w:val="4A96265D"/>
    <w:rsid w:val="4C4628B5"/>
    <w:rsid w:val="4DC332C4"/>
    <w:rsid w:val="4E173610"/>
    <w:rsid w:val="4F530677"/>
    <w:rsid w:val="4F7433EE"/>
    <w:rsid w:val="50760AC1"/>
    <w:rsid w:val="5122602C"/>
    <w:rsid w:val="51402E7D"/>
    <w:rsid w:val="52BC6534"/>
    <w:rsid w:val="52F51698"/>
    <w:rsid w:val="53CD0C9C"/>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FF51154"/>
    <w:rsid w:val="61B2747F"/>
    <w:rsid w:val="637A221F"/>
    <w:rsid w:val="63A64DC2"/>
    <w:rsid w:val="64405216"/>
    <w:rsid w:val="646031C3"/>
    <w:rsid w:val="65AF7D19"/>
    <w:rsid w:val="65D976D1"/>
    <w:rsid w:val="66882EA5"/>
    <w:rsid w:val="66972998"/>
    <w:rsid w:val="66E856F1"/>
    <w:rsid w:val="68282249"/>
    <w:rsid w:val="68B3636C"/>
    <w:rsid w:val="69AD3787"/>
    <w:rsid w:val="69E71C90"/>
    <w:rsid w:val="6AD55F8D"/>
    <w:rsid w:val="6BA6556B"/>
    <w:rsid w:val="6CC4450B"/>
    <w:rsid w:val="6F143527"/>
    <w:rsid w:val="70B34FC2"/>
    <w:rsid w:val="72294188"/>
    <w:rsid w:val="72914E8F"/>
    <w:rsid w:val="72F13B80"/>
    <w:rsid w:val="73BF3BE6"/>
    <w:rsid w:val="76606C42"/>
    <w:rsid w:val="769D3E02"/>
    <w:rsid w:val="769E7B7B"/>
    <w:rsid w:val="777022BA"/>
    <w:rsid w:val="78AC47D1"/>
    <w:rsid w:val="78C95383"/>
    <w:rsid w:val="79222CE5"/>
    <w:rsid w:val="7A316DFD"/>
    <w:rsid w:val="7A9419C0"/>
    <w:rsid w:val="7BB74ACC"/>
    <w:rsid w:val="7BDD2EF3"/>
    <w:rsid w:val="7C077F70"/>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3059</Words>
  <Characters>3362</Characters>
  <TotalTime>1</TotalTime>
  <ScaleCrop>false</ScaleCrop>
  <LinksUpToDate>false</LinksUpToDate>
  <CharactersWithSpaces>3370</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dcterms:modified xsi:type="dcterms:W3CDTF">2025-03-18T06:49:37Z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A48EEE7F2B42479D93D1C2A572729927_13</vt:lpwstr>
  </property>
  <property fmtid="{D5CDD505-2E9C-101B-9397-08002B2CF9AE}" pid="6" name="KSOTemplateDocerSaveRecord">
    <vt:lpwstr>eyJoZGlkIjoiOTIzOTg4OWVjMzI0MmQ3OGQ0M2U1ZWZhNGU5MWJlOWEiLCJ1c2VySWQiOiI2MTQ4MzE5MzgifQ==</vt:lpwstr>
  </property>
</Properties>
</file>