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02C00F">
      <w:pPr>
        <w:spacing w:line="327" w:lineRule="auto"/>
        <w:rPr>
          <w:rFonts w:ascii="Arial"/>
          <w:sz w:val="21"/>
        </w:rPr>
      </w:pPr>
    </w:p>
    <w:p w14:paraId="1D479C88">
      <w:pPr>
        <w:spacing w:line="328" w:lineRule="auto"/>
        <w:rPr>
          <w:rFonts w:ascii="Arial"/>
          <w:sz w:val="21"/>
        </w:rPr>
      </w:pPr>
    </w:p>
    <w:p w14:paraId="5A74C3F1">
      <w:pPr>
        <w:spacing w:line="253" w:lineRule="auto"/>
        <w:rPr>
          <w:rFonts w:ascii="Arial"/>
          <w:sz w:val="21"/>
        </w:rPr>
      </w:pPr>
    </w:p>
    <w:p w14:paraId="1A8B3460">
      <w:pPr>
        <w:spacing w:line="253" w:lineRule="auto"/>
        <w:rPr>
          <w:rFonts w:ascii="Arial"/>
          <w:sz w:val="21"/>
        </w:rPr>
      </w:pPr>
    </w:p>
    <w:p w14:paraId="1F2D8436">
      <w:pPr>
        <w:spacing w:line="253" w:lineRule="auto"/>
        <w:rPr>
          <w:rFonts w:ascii="Arial"/>
          <w:sz w:val="21"/>
        </w:rPr>
      </w:pPr>
    </w:p>
    <w:p w14:paraId="38B308F1">
      <w:pPr>
        <w:spacing w:line="253" w:lineRule="auto"/>
        <w:rPr>
          <w:rFonts w:ascii="Arial"/>
          <w:sz w:val="21"/>
        </w:rPr>
      </w:pPr>
    </w:p>
    <w:p w14:paraId="221226D6">
      <w:pPr>
        <w:spacing w:line="253" w:lineRule="auto"/>
        <w:rPr>
          <w:rFonts w:ascii="Arial"/>
          <w:sz w:val="21"/>
        </w:rPr>
      </w:pPr>
    </w:p>
    <w:p w14:paraId="1D32BDE4">
      <w:pPr>
        <w:spacing w:line="253" w:lineRule="auto"/>
        <w:rPr>
          <w:rFonts w:ascii="Arial"/>
          <w:sz w:val="21"/>
        </w:rPr>
      </w:pPr>
    </w:p>
    <w:p w14:paraId="2E646CBA">
      <w:pPr>
        <w:spacing w:line="253" w:lineRule="auto"/>
        <w:rPr>
          <w:rFonts w:ascii="Arial"/>
          <w:sz w:val="21"/>
        </w:rPr>
      </w:pPr>
    </w:p>
    <w:p w14:paraId="55CE2C62">
      <w:pPr>
        <w:spacing w:line="254" w:lineRule="auto"/>
        <w:rPr>
          <w:rFonts w:ascii="Arial"/>
          <w:sz w:val="21"/>
        </w:rPr>
      </w:pPr>
    </w:p>
    <w:p w14:paraId="60DC042C">
      <w:pPr>
        <w:spacing w:line="254" w:lineRule="auto"/>
        <w:rPr>
          <w:rFonts w:ascii="Arial"/>
          <w:sz w:val="21"/>
        </w:rPr>
      </w:pPr>
    </w:p>
    <w:p w14:paraId="06B2BA2E">
      <w:pPr>
        <w:spacing w:line="254" w:lineRule="auto"/>
        <w:rPr>
          <w:rFonts w:ascii="Arial"/>
          <w:sz w:val="21"/>
        </w:rPr>
      </w:pPr>
    </w:p>
    <w:p w14:paraId="002CCC0E">
      <w:pPr>
        <w:spacing w:before="140" w:line="225" w:lineRule="auto"/>
        <w:jc w:val="center"/>
        <w:rPr>
          <w:rFonts w:hint="eastAsia" w:ascii="宋体" w:hAnsi="宋体" w:eastAsia="宋体" w:cs="宋体"/>
          <w:b/>
          <w:bCs/>
          <w:spacing w:val="7"/>
          <w:sz w:val="48"/>
          <w:szCs w:val="48"/>
          <w:lang w:val="en-US" w:eastAsia="zh-CN"/>
        </w:rPr>
      </w:pPr>
      <w:r>
        <w:rPr>
          <w:rFonts w:hint="eastAsia" w:ascii="Times New Roman" w:hAnsi="Times New Roman" w:eastAsia="Times New Roman" w:cs="Times New Roman"/>
          <w:b/>
          <w:bCs/>
          <w:spacing w:val="7"/>
          <w:sz w:val="48"/>
          <w:szCs w:val="48"/>
          <w:lang w:val="en-US" w:eastAsia="zh-CN"/>
        </w:rPr>
        <w:t>2025</w:t>
      </w:r>
      <w:r>
        <w:rPr>
          <w:rFonts w:ascii="宋体" w:hAnsi="宋体" w:eastAsia="宋体" w:cs="宋体"/>
          <w:b/>
          <w:bCs/>
          <w:spacing w:val="7"/>
          <w:sz w:val="48"/>
          <w:szCs w:val="48"/>
        </w:rPr>
        <w:t>年度</w:t>
      </w:r>
      <w:r>
        <w:rPr>
          <w:rFonts w:hint="eastAsia" w:ascii="宋体" w:hAnsi="宋体" w:eastAsia="宋体" w:cs="宋体"/>
          <w:b/>
          <w:bCs/>
          <w:spacing w:val="7"/>
          <w:sz w:val="48"/>
          <w:szCs w:val="48"/>
          <w:lang w:eastAsia="zh-CN"/>
        </w:rPr>
        <w:t>盘锦市双台子区</w:t>
      </w:r>
      <w:r>
        <w:rPr>
          <w:rFonts w:hint="eastAsia" w:ascii="宋体" w:hAnsi="宋体" w:eastAsia="宋体" w:cs="宋体"/>
          <w:b/>
          <w:bCs/>
          <w:spacing w:val="7"/>
          <w:sz w:val="48"/>
          <w:szCs w:val="48"/>
          <w:lang w:val="en-US" w:eastAsia="zh-CN"/>
        </w:rPr>
        <w:t>人力资源和</w:t>
      </w:r>
    </w:p>
    <w:p w14:paraId="5766A544">
      <w:pPr>
        <w:spacing w:before="140" w:line="225" w:lineRule="auto"/>
        <w:jc w:val="center"/>
        <w:rPr>
          <w:rFonts w:hint="eastAsia" w:ascii="宋体" w:hAnsi="宋体" w:eastAsia="宋体" w:cs="宋体"/>
          <w:sz w:val="40"/>
          <w:szCs w:val="40"/>
          <w:lang w:eastAsia="zh-CN"/>
        </w:rPr>
      </w:pPr>
      <w:r>
        <w:rPr>
          <w:rFonts w:hint="eastAsia" w:ascii="宋体" w:hAnsi="宋体" w:eastAsia="宋体" w:cs="宋体"/>
          <w:b/>
          <w:bCs/>
          <w:spacing w:val="7"/>
          <w:sz w:val="48"/>
          <w:szCs w:val="48"/>
          <w:lang w:val="en-US" w:eastAsia="zh-CN"/>
        </w:rPr>
        <w:t>社会保障局部门</w:t>
      </w:r>
      <w:r>
        <w:rPr>
          <w:rFonts w:ascii="宋体" w:hAnsi="宋体" w:eastAsia="宋体" w:cs="宋体"/>
          <w:b/>
          <w:bCs/>
          <w:spacing w:val="7"/>
          <w:sz w:val="48"/>
          <w:szCs w:val="48"/>
        </w:rPr>
        <w:t>预算</w:t>
      </w:r>
      <w:r>
        <w:rPr>
          <w:rFonts w:hint="eastAsia" w:ascii="宋体" w:hAnsi="宋体" w:eastAsia="宋体" w:cs="宋体"/>
          <w:b/>
          <w:bCs/>
          <w:spacing w:val="7"/>
          <w:sz w:val="48"/>
          <w:szCs w:val="48"/>
          <w:lang w:eastAsia="zh-CN"/>
        </w:rPr>
        <w:t>公开表</w:t>
      </w:r>
    </w:p>
    <w:p w14:paraId="26D2AB9F">
      <w:pPr>
        <w:spacing w:line="225" w:lineRule="auto"/>
        <w:jc w:val="left"/>
        <w:rPr>
          <w:rFonts w:ascii="宋体" w:hAnsi="宋体" w:eastAsia="宋体" w:cs="宋体"/>
          <w:sz w:val="43"/>
          <w:szCs w:val="43"/>
        </w:rPr>
        <w:sectPr>
          <w:footerReference r:id="rId5" w:type="default"/>
          <w:pgSz w:w="11905" w:h="16840"/>
          <w:pgMar w:top="1431" w:right="1785" w:bottom="400" w:left="1785" w:header="0" w:footer="0" w:gutter="0"/>
          <w:cols w:space="720" w:num="1"/>
        </w:sectPr>
      </w:pPr>
    </w:p>
    <w:p w14:paraId="07556E07">
      <w:pPr>
        <w:spacing w:line="240" w:lineRule="auto"/>
        <w:ind w:left="0"/>
        <w:jc w:val="center"/>
        <w:outlineLvl w:val="1"/>
        <w:rPr>
          <w:rFonts w:ascii="宋体" w:hAnsi="宋体" w:eastAsia="宋体" w:cs="宋体"/>
          <w:b/>
          <w:bCs/>
          <w:sz w:val="43"/>
          <w:szCs w:val="43"/>
        </w:rPr>
      </w:pPr>
      <w:r>
        <w:rPr>
          <w:rFonts w:ascii="宋体" w:hAnsi="宋体" w:eastAsia="宋体" w:cs="宋体"/>
          <w:b/>
          <w:bCs/>
          <w:spacing w:val="-51"/>
          <w:sz w:val="43"/>
          <w:szCs w:val="43"/>
        </w:rPr>
        <w:t>目录</w:t>
      </w:r>
    </w:p>
    <w:p w14:paraId="5C915FF0">
      <w:pPr>
        <w:spacing w:line="287" w:lineRule="auto"/>
        <w:rPr>
          <w:rFonts w:ascii="Arial"/>
          <w:sz w:val="21"/>
        </w:rPr>
      </w:pPr>
    </w:p>
    <w:p w14:paraId="09E79269">
      <w:pPr>
        <w:spacing w:line="287" w:lineRule="auto"/>
        <w:rPr>
          <w:rFonts w:ascii="Arial"/>
          <w:sz w:val="21"/>
        </w:rPr>
      </w:pPr>
    </w:p>
    <w:p w14:paraId="22CEA504">
      <w:pPr>
        <w:spacing w:line="287" w:lineRule="auto"/>
        <w:rPr>
          <w:rFonts w:ascii="Arial"/>
          <w:sz w:val="21"/>
        </w:rPr>
      </w:pPr>
    </w:p>
    <w:p w14:paraId="1F17147E">
      <w:pPr>
        <w:spacing w:line="288" w:lineRule="auto"/>
        <w:rPr>
          <w:rFonts w:ascii="Arial"/>
          <w:sz w:val="21"/>
        </w:rPr>
      </w:pPr>
    </w:p>
    <w:p w14:paraId="131C1845">
      <w:pPr>
        <w:numPr>
          <w:ilvl w:val="0"/>
          <w:numId w:val="0"/>
        </w:numPr>
        <w:spacing w:before="100" w:line="318" w:lineRule="auto"/>
        <w:ind w:right="3155" w:rightChars="0"/>
      </w:pPr>
      <w:r>
        <w:rPr>
          <w:rFonts w:ascii="黑体" w:hAnsi="黑体" w:eastAsia="黑体" w:cs="黑体"/>
          <w:spacing w:val="10"/>
          <w:sz w:val="31"/>
          <w:szCs w:val="31"/>
        </w:rPr>
        <w:t>第</w:t>
      </w:r>
      <w:r>
        <w:rPr>
          <w:rFonts w:hint="eastAsia" w:ascii="黑体" w:hAnsi="黑体" w:eastAsia="黑体" w:cs="黑体"/>
          <w:spacing w:val="10"/>
          <w:sz w:val="31"/>
          <w:szCs w:val="31"/>
          <w:lang w:eastAsia="zh-CN"/>
        </w:rPr>
        <w:t>一</w:t>
      </w:r>
      <w:r>
        <w:rPr>
          <w:rFonts w:ascii="黑体" w:hAnsi="黑体" w:eastAsia="黑体" w:cs="黑体"/>
          <w:spacing w:val="10"/>
          <w:sz w:val="31"/>
          <w:szCs w:val="31"/>
        </w:rPr>
        <w:t>部分</w:t>
      </w:r>
      <w:r>
        <w:rPr>
          <w:rFonts w:hint="eastAsia" w:ascii="黑体" w:hAnsi="黑体" w:eastAsia="黑体" w:cs="黑体"/>
          <w:spacing w:val="10"/>
          <w:sz w:val="31"/>
          <w:szCs w:val="31"/>
          <w:lang w:val="en-US" w:eastAsia="zh-CN"/>
        </w:rPr>
        <w:tab/>
      </w:r>
      <w:r>
        <w:rPr>
          <w:rFonts w:ascii="黑体" w:hAnsi="黑体" w:eastAsia="黑体" w:cs="黑体"/>
          <w:spacing w:val="10"/>
          <w:sz w:val="31"/>
          <w:szCs w:val="31"/>
        </w:rPr>
        <w:t>部门预算公开管理</w:t>
      </w:r>
      <w:r>
        <w:rPr>
          <w:rFonts w:hint="eastAsia" w:ascii="黑体" w:hAnsi="黑体" w:eastAsia="黑体" w:cs="黑体"/>
          <w:spacing w:val="10"/>
          <w:sz w:val="31"/>
          <w:szCs w:val="31"/>
          <w:lang w:eastAsia="zh-CN"/>
        </w:rPr>
        <w:t>文</w:t>
      </w:r>
      <w:r>
        <w:rPr>
          <w:rFonts w:ascii="黑体" w:hAnsi="黑体" w:eastAsia="黑体" w:cs="黑体"/>
          <w:spacing w:val="10"/>
          <w:sz w:val="31"/>
          <w:szCs w:val="31"/>
        </w:rPr>
        <w:t>件</w:t>
      </w:r>
    </w:p>
    <w:p w14:paraId="0C0F877F">
      <w:pPr>
        <w:numPr>
          <w:ilvl w:val="0"/>
          <w:numId w:val="0"/>
        </w:numPr>
        <w:spacing w:line="240" w:lineRule="auto"/>
        <w:ind w:right="0" w:rightChars="0"/>
        <w:rPr>
          <w:rFonts w:ascii="黑体" w:hAnsi="黑体" w:eastAsia="黑体" w:cs="黑体"/>
          <w:spacing w:val="10"/>
          <w:sz w:val="31"/>
          <w:szCs w:val="31"/>
        </w:rPr>
      </w:pPr>
      <w:r>
        <w:rPr>
          <w:rFonts w:ascii="黑体" w:hAnsi="黑体" w:eastAsia="黑体" w:cs="黑体"/>
          <w:spacing w:val="10"/>
          <w:sz w:val="31"/>
          <w:szCs w:val="31"/>
        </w:rPr>
        <w:t>第二部分</w:t>
      </w:r>
      <w:r>
        <w:rPr>
          <w:rFonts w:hint="eastAsia" w:ascii="黑体" w:hAnsi="黑体" w:eastAsia="黑体" w:cs="黑体"/>
          <w:spacing w:val="10"/>
          <w:sz w:val="31"/>
          <w:szCs w:val="31"/>
          <w:lang w:val="en-US" w:eastAsia="zh-CN"/>
        </w:rPr>
        <w:tab/>
      </w:r>
      <w:r>
        <w:rPr>
          <w:rFonts w:hint="eastAsia" w:ascii="黑体" w:hAnsi="黑体" w:eastAsia="黑体" w:cs="黑体"/>
          <w:spacing w:val="10"/>
          <w:sz w:val="31"/>
          <w:szCs w:val="31"/>
          <w:lang w:eastAsia="zh-CN"/>
        </w:rPr>
        <w:t>盘锦市双台子区</w:t>
      </w:r>
      <w:r>
        <w:rPr>
          <w:rFonts w:hint="eastAsia" w:ascii="黑体" w:hAnsi="黑体" w:eastAsia="黑体" w:cs="黑体"/>
          <w:spacing w:val="10"/>
          <w:sz w:val="31"/>
          <w:szCs w:val="31"/>
          <w:lang w:val="en-US" w:eastAsia="zh-CN"/>
        </w:rPr>
        <w:t>人社局部门</w:t>
      </w:r>
      <w:r>
        <w:rPr>
          <w:rFonts w:ascii="黑体" w:hAnsi="黑体" w:eastAsia="黑体" w:cs="黑体"/>
          <w:spacing w:val="10"/>
          <w:sz w:val="31"/>
          <w:szCs w:val="31"/>
        </w:rPr>
        <w:t>概况</w:t>
      </w:r>
    </w:p>
    <w:p w14:paraId="28614FC8">
      <w:pPr>
        <w:pStyle w:val="2"/>
        <w:spacing w:before="234" w:line="219" w:lineRule="auto"/>
        <w:ind w:left="583"/>
        <w:rPr>
          <w:spacing w:val="5"/>
          <w:lang w:val="en-US" w:eastAsia="en-US"/>
        </w:rPr>
      </w:pPr>
      <w:r>
        <w:rPr>
          <w:spacing w:val="5"/>
          <w:lang w:val="en-US" w:eastAsia="en-US"/>
        </w:rPr>
        <w:t>一、部门职责</w:t>
      </w:r>
    </w:p>
    <w:p w14:paraId="0FED4FB9">
      <w:pPr>
        <w:pStyle w:val="2"/>
        <w:spacing w:before="234" w:line="219" w:lineRule="auto"/>
        <w:ind w:left="583"/>
        <w:rPr>
          <w:spacing w:val="5"/>
        </w:rPr>
      </w:pPr>
      <w:r>
        <w:rPr>
          <w:spacing w:val="5"/>
        </w:rPr>
        <w:t>二、机构设置</w:t>
      </w:r>
    </w:p>
    <w:p w14:paraId="46CC04D5">
      <w:pPr>
        <w:spacing w:line="189" w:lineRule="exact"/>
      </w:pPr>
    </w:p>
    <w:tbl>
      <w:tblPr>
        <w:tblStyle w:val="5"/>
        <w:tblW w:w="8687" w:type="dxa"/>
        <w:tblInd w:w="23"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487"/>
        <w:gridCol w:w="7200"/>
      </w:tblGrid>
      <w:tr w14:paraId="1ED78E7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2" w:hRule="atLeast"/>
        </w:trPr>
        <w:tc>
          <w:tcPr>
            <w:tcW w:w="1487" w:type="dxa"/>
            <w:vAlign w:val="top"/>
          </w:tcPr>
          <w:p w14:paraId="6357A066">
            <w:pPr>
              <w:spacing w:before="1" w:line="227" w:lineRule="auto"/>
              <w:rPr>
                <w:rFonts w:ascii="黑体" w:hAnsi="黑体" w:eastAsia="黑体" w:cs="黑体"/>
                <w:sz w:val="31"/>
                <w:szCs w:val="31"/>
              </w:rPr>
            </w:pPr>
            <w:r>
              <w:rPr>
                <w:rFonts w:ascii="黑体" w:hAnsi="黑体" w:eastAsia="黑体" w:cs="黑体"/>
                <w:spacing w:val="9"/>
                <w:sz w:val="31"/>
                <w:szCs w:val="31"/>
              </w:rPr>
              <w:t>第三部分</w:t>
            </w:r>
          </w:p>
        </w:tc>
        <w:tc>
          <w:tcPr>
            <w:tcW w:w="7200" w:type="dxa"/>
            <w:vAlign w:val="top"/>
          </w:tcPr>
          <w:p w14:paraId="2CC8710C">
            <w:pPr>
              <w:keepNext w:val="0"/>
              <w:keepLines w:val="0"/>
              <w:pageBreakBefore w:val="0"/>
              <w:widowControl/>
              <w:kinsoku w:val="0"/>
              <w:wordWrap/>
              <w:overflowPunct/>
              <w:topLinePunct w:val="0"/>
              <w:autoSpaceDE w:val="0"/>
              <w:autoSpaceDN w:val="0"/>
              <w:bidi w:val="0"/>
              <w:adjustRightInd w:val="0"/>
              <w:snapToGrid w:val="0"/>
              <w:spacing w:before="1" w:line="320" w:lineRule="auto"/>
              <w:jc w:val="both"/>
              <w:textAlignment w:val="baseline"/>
              <w:rPr>
                <w:rFonts w:ascii="黑体" w:hAnsi="黑体" w:eastAsia="黑体" w:cs="黑体"/>
                <w:sz w:val="31"/>
                <w:szCs w:val="31"/>
              </w:rPr>
            </w:pPr>
            <w:r>
              <w:rPr>
                <w:rFonts w:hint="eastAsia" w:ascii="黑体" w:hAnsi="黑体" w:eastAsia="黑体" w:cs="黑体"/>
                <w:spacing w:val="11"/>
                <w:sz w:val="31"/>
                <w:szCs w:val="31"/>
                <w:lang w:val="en-US" w:eastAsia="zh-CN"/>
              </w:rPr>
              <w:t>2025</w:t>
            </w:r>
            <w:r>
              <w:rPr>
                <w:rFonts w:ascii="黑体" w:hAnsi="黑体" w:eastAsia="黑体" w:cs="黑体"/>
                <w:spacing w:val="11"/>
                <w:sz w:val="31"/>
                <w:szCs w:val="31"/>
              </w:rPr>
              <w:t>年</w:t>
            </w:r>
            <w:r>
              <w:rPr>
                <w:rFonts w:hint="eastAsia" w:ascii="黑体" w:hAnsi="黑体" w:eastAsia="黑体" w:cs="黑体"/>
                <w:spacing w:val="10"/>
                <w:sz w:val="31"/>
                <w:szCs w:val="31"/>
                <w:lang w:eastAsia="zh-CN"/>
              </w:rPr>
              <w:t>盘锦市双台子区</w:t>
            </w:r>
            <w:r>
              <w:rPr>
                <w:rFonts w:hint="eastAsia" w:ascii="黑体" w:hAnsi="黑体" w:eastAsia="黑体" w:cs="黑体"/>
                <w:spacing w:val="10"/>
                <w:sz w:val="31"/>
                <w:szCs w:val="31"/>
                <w:lang w:val="en-US" w:eastAsia="zh-CN"/>
              </w:rPr>
              <w:t>人社局部门</w:t>
            </w:r>
            <w:r>
              <w:rPr>
                <w:rFonts w:ascii="黑体" w:hAnsi="黑体" w:eastAsia="黑体" w:cs="黑体"/>
                <w:spacing w:val="11"/>
                <w:sz w:val="31"/>
                <w:szCs w:val="31"/>
              </w:rPr>
              <w:t>预算情况说明</w:t>
            </w:r>
          </w:p>
        </w:tc>
      </w:tr>
      <w:tr w14:paraId="0DD6A9C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1487" w:type="dxa"/>
            <w:vAlign w:val="top"/>
          </w:tcPr>
          <w:p w14:paraId="163DF28F">
            <w:pPr>
              <w:spacing w:before="117" w:line="228" w:lineRule="auto"/>
              <w:rPr>
                <w:rFonts w:ascii="黑体" w:hAnsi="黑体" w:eastAsia="黑体" w:cs="黑体"/>
                <w:sz w:val="31"/>
                <w:szCs w:val="31"/>
              </w:rPr>
            </w:pPr>
            <w:r>
              <w:rPr>
                <w:rFonts w:ascii="黑体" w:hAnsi="黑体" w:eastAsia="黑体" w:cs="黑体"/>
                <w:spacing w:val="9"/>
                <w:sz w:val="31"/>
                <w:szCs w:val="31"/>
              </w:rPr>
              <w:t>第四部分</w:t>
            </w:r>
          </w:p>
        </w:tc>
        <w:tc>
          <w:tcPr>
            <w:tcW w:w="7200" w:type="dxa"/>
            <w:vAlign w:val="top"/>
          </w:tcPr>
          <w:p w14:paraId="70ED6B7C">
            <w:pPr>
              <w:keepNext w:val="0"/>
              <w:keepLines w:val="0"/>
              <w:pageBreakBefore w:val="0"/>
              <w:widowControl/>
              <w:kinsoku w:val="0"/>
              <w:wordWrap/>
              <w:overflowPunct/>
              <w:topLinePunct w:val="0"/>
              <w:autoSpaceDE w:val="0"/>
              <w:autoSpaceDN w:val="0"/>
              <w:bidi w:val="0"/>
              <w:adjustRightInd w:val="0"/>
              <w:snapToGrid w:val="0"/>
              <w:spacing w:before="118" w:line="320" w:lineRule="auto"/>
              <w:textAlignment w:val="baseline"/>
              <w:rPr>
                <w:rFonts w:ascii="黑体" w:hAnsi="黑体" w:eastAsia="黑体" w:cs="黑体"/>
                <w:sz w:val="31"/>
                <w:szCs w:val="31"/>
              </w:rPr>
            </w:pPr>
            <w:r>
              <w:rPr>
                <w:rFonts w:ascii="黑体" w:hAnsi="黑体" w:eastAsia="黑体" w:cs="黑体"/>
                <w:spacing w:val="8"/>
                <w:sz w:val="31"/>
                <w:szCs w:val="31"/>
              </w:rPr>
              <w:t>名词解释</w:t>
            </w:r>
          </w:p>
        </w:tc>
      </w:tr>
      <w:tr w14:paraId="3BFB8B0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2" w:hRule="atLeast"/>
        </w:trPr>
        <w:tc>
          <w:tcPr>
            <w:tcW w:w="1487" w:type="dxa"/>
            <w:vAlign w:val="top"/>
          </w:tcPr>
          <w:p w14:paraId="0E36D45B">
            <w:pPr>
              <w:spacing w:before="117" w:line="187" w:lineRule="auto"/>
              <w:rPr>
                <w:rFonts w:ascii="黑体" w:hAnsi="黑体" w:eastAsia="黑体" w:cs="黑体"/>
                <w:sz w:val="31"/>
                <w:szCs w:val="31"/>
              </w:rPr>
            </w:pPr>
            <w:r>
              <w:rPr>
                <w:rFonts w:ascii="黑体" w:hAnsi="黑体" w:eastAsia="黑体" w:cs="黑体"/>
                <w:spacing w:val="9"/>
                <w:sz w:val="31"/>
                <w:szCs w:val="31"/>
              </w:rPr>
              <w:t>第五部分</w:t>
            </w:r>
          </w:p>
        </w:tc>
        <w:tc>
          <w:tcPr>
            <w:tcW w:w="7200" w:type="dxa"/>
            <w:vAlign w:val="top"/>
          </w:tcPr>
          <w:p w14:paraId="7B7F4B77">
            <w:pPr>
              <w:keepNext w:val="0"/>
              <w:keepLines w:val="0"/>
              <w:pageBreakBefore w:val="0"/>
              <w:widowControl/>
              <w:kinsoku w:val="0"/>
              <w:wordWrap/>
              <w:overflowPunct/>
              <w:topLinePunct w:val="0"/>
              <w:autoSpaceDE w:val="0"/>
              <w:autoSpaceDN w:val="0"/>
              <w:bidi w:val="0"/>
              <w:adjustRightInd w:val="0"/>
              <w:snapToGrid w:val="0"/>
              <w:spacing w:before="117" w:line="320" w:lineRule="auto"/>
              <w:textAlignment w:val="baseline"/>
              <w:rPr>
                <w:rFonts w:ascii="黑体" w:hAnsi="黑体" w:eastAsia="黑体" w:cs="黑体"/>
                <w:sz w:val="31"/>
                <w:szCs w:val="31"/>
              </w:rPr>
            </w:pPr>
            <w:r>
              <w:rPr>
                <w:rFonts w:hint="eastAsia" w:ascii="黑体" w:hAnsi="黑体" w:eastAsia="黑体" w:cs="黑体"/>
                <w:spacing w:val="11"/>
                <w:sz w:val="31"/>
                <w:szCs w:val="31"/>
                <w:lang w:val="en-US" w:eastAsia="zh-CN"/>
              </w:rPr>
              <w:t>2025</w:t>
            </w:r>
            <w:r>
              <w:rPr>
                <w:rFonts w:ascii="黑体" w:hAnsi="黑体" w:eastAsia="黑体" w:cs="黑体"/>
                <w:spacing w:val="11"/>
                <w:sz w:val="31"/>
                <w:szCs w:val="31"/>
              </w:rPr>
              <w:t>年</w:t>
            </w:r>
            <w:r>
              <w:rPr>
                <w:rFonts w:hint="eastAsia" w:ascii="黑体" w:hAnsi="黑体" w:eastAsia="黑体" w:cs="黑体"/>
                <w:spacing w:val="10"/>
                <w:sz w:val="31"/>
                <w:szCs w:val="31"/>
                <w:lang w:eastAsia="zh-CN"/>
              </w:rPr>
              <w:t>盘锦市双台子区</w:t>
            </w:r>
            <w:r>
              <w:rPr>
                <w:rFonts w:hint="eastAsia" w:ascii="黑体" w:hAnsi="黑体" w:eastAsia="黑体" w:cs="黑体"/>
                <w:spacing w:val="10"/>
                <w:sz w:val="31"/>
                <w:szCs w:val="31"/>
                <w:lang w:val="en-US" w:eastAsia="zh-CN"/>
              </w:rPr>
              <w:t>人社局部门</w:t>
            </w:r>
            <w:r>
              <w:rPr>
                <w:rFonts w:ascii="黑体" w:hAnsi="黑体" w:eastAsia="黑体" w:cs="黑体"/>
                <w:spacing w:val="11"/>
                <w:sz w:val="31"/>
                <w:szCs w:val="31"/>
              </w:rPr>
              <w:t>预算</w:t>
            </w:r>
            <w:r>
              <w:rPr>
                <w:rFonts w:hint="eastAsia" w:ascii="黑体" w:hAnsi="黑体" w:eastAsia="黑体" w:cs="黑体"/>
                <w:spacing w:val="11"/>
                <w:sz w:val="31"/>
                <w:szCs w:val="31"/>
                <w:highlight w:val="none"/>
                <w:lang w:eastAsia="zh-CN"/>
              </w:rPr>
              <w:t>公开</w:t>
            </w:r>
            <w:r>
              <w:rPr>
                <w:rFonts w:ascii="黑体" w:hAnsi="黑体" w:eastAsia="黑体" w:cs="黑体"/>
                <w:spacing w:val="11"/>
                <w:sz w:val="31"/>
                <w:szCs w:val="31"/>
              </w:rPr>
              <w:t>表</w:t>
            </w:r>
          </w:p>
        </w:tc>
      </w:tr>
    </w:tbl>
    <w:p w14:paraId="3B9F5E4F">
      <w:pPr>
        <w:pStyle w:val="2"/>
        <w:spacing w:before="234" w:line="219" w:lineRule="auto"/>
        <w:ind w:left="583"/>
        <w:rPr>
          <w:spacing w:val="5"/>
          <w:lang w:val="en-US" w:eastAsia="en-US"/>
        </w:rPr>
      </w:pPr>
      <w:r>
        <w:rPr>
          <w:spacing w:val="5"/>
          <w:lang w:val="en-US" w:eastAsia="en-US"/>
        </w:rPr>
        <w:t>一、收支预算总表</w:t>
      </w:r>
    </w:p>
    <w:p w14:paraId="09DC8106">
      <w:pPr>
        <w:pStyle w:val="2"/>
        <w:spacing w:before="234" w:line="219" w:lineRule="auto"/>
        <w:ind w:left="583"/>
        <w:rPr>
          <w:spacing w:val="5"/>
          <w:lang w:val="en-US" w:eastAsia="en-US"/>
        </w:rPr>
      </w:pPr>
      <w:r>
        <w:rPr>
          <w:spacing w:val="5"/>
          <w:lang w:val="en-US" w:eastAsia="en-US"/>
        </w:rPr>
        <w:t>二、收入预算总表</w:t>
      </w:r>
    </w:p>
    <w:p w14:paraId="5A3F50D3">
      <w:pPr>
        <w:pStyle w:val="2"/>
        <w:spacing w:before="234" w:line="219" w:lineRule="auto"/>
        <w:ind w:left="583"/>
        <w:rPr>
          <w:spacing w:val="5"/>
          <w:lang w:val="en-US" w:eastAsia="en-US"/>
        </w:rPr>
      </w:pPr>
      <w:r>
        <w:rPr>
          <w:spacing w:val="5"/>
          <w:lang w:val="en-US" w:eastAsia="en-US"/>
        </w:rPr>
        <w:t>三、支出预算总表</w:t>
      </w:r>
    </w:p>
    <w:p w14:paraId="0E396F72">
      <w:pPr>
        <w:pStyle w:val="2"/>
        <w:spacing w:before="234" w:line="219" w:lineRule="auto"/>
        <w:ind w:left="583"/>
        <w:rPr>
          <w:spacing w:val="5"/>
          <w:lang w:val="en-US" w:eastAsia="en-US"/>
        </w:rPr>
      </w:pPr>
      <w:r>
        <w:rPr>
          <w:spacing w:val="5"/>
          <w:lang w:val="en-US" w:eastAsia="en-US"/>
        </w:rPr>
        <w:t>四、财政拨款收支预算总表</w:t>
      </w:r>
    </w:p>
    <w:p w14:paraId="483186E7">
      <w:pPr>
        <w:pStyle w:val="2"/>
        <w:spacing w:before="234" w:line="219" w:lineRule="auto"/>
        <w:ind w:left="583"/>
        <w:rPr>
          <w:spacing w:val="5"/>
          <w:lang w:val="en-US" w:eastAsia="en-US"/>
        </w:rPr>
      </w:pPr>
      <w:r>
        <w:rPr>
          <w:spacing w:val="5"/>
          <w:lang w:val="en-US" w:eastAsia="en-US"/>
        </w:rPr>
        <w:t>五、一般公共预算支出表</w:t>
      </w:r>
    </w:p>
    <w:p w14:paraId="5B26B1AD">
      <w:pPr>
        <w:pStyle w:val="2"/>
        <w:spacing w:before="234" w:line="219" w:lineRule="auto"/>
        <w:ind w:left="583"/>
        <w:rPr>
          <w:spacing w:val="5"/>
          <w:lang w:val="en-US" w:eastAsia="en-US"/>
        </w:rPr>
      </w:pPr>
      <w:r>
        <w:rPr>
          <w:spacing w:val="5"/>
          <w:lang w:val="en-US" w:eastAsia="en-US"/>
        </w:rPr>
        <w:t>六、一般公共预算基本支出表</w:t>
      </w:r>
    </w:p>
    <w:p w14:paraId="17735A39">
      <w:pPr>
        <w:pStyle w:val="2"/>
        <w:spacing w:before="234" w:line="219" w:lineRule="auto"/>
        <w:ind w:left="583"/>
        <w:rPr>
          <w:spacing w:val="5"/>
          <w:lang w:val="en-US" w:eastAsia="en-US"/>
        </w:rPr>
      </w:pPr>
      <w:r>
        <w:rPr>
          <w:spacing w:val="5"/>
          <w:lang w:val="en-US" w:eastAsia="en-US"/>
        </w:rPr>
        <w:t>七、财政拨款预算“三公”经费支出表</w:t>
      </w:r>
    </w:p>
    <w:p w14:paraId="0E0C1515">
      <w:pPr>
        <w:pStyle w:val="2"/>
        <w:spacing w:before="234" w:line="219" w:lineRule="auto"/>
        <w:ind w:left="583"/>
        <w:rPr>
          <w:spacing w:val="5"/>
          <w:lang w:val="en-US" w:eastAsia="en-US"/>
        </w:rPr>
      </w:pPr>
      <w:r>
        <w:rPr>
          <w:spacing w:val="5"/>
          <w:lang w:val="en-US" w:eastAsia="en-US"/>
        </w:rPr>
        <w:t>八、政府性基金预算支出表</w:t>
      </w:r>
    </w:p>
    <w:p w14:paraId="46F42FB6">
      <w:pPr>
        <w:pStyle w:val="2"/>
        <w:spacing w:before="234" w:line="219" w:lineRule="auto"/>
        <w:ind w:left="583"/>
        <w:rPr>
          <w:spacing w:val="5"/>
          <w:lang w:val="en-US" w:eastAsia="en-US"/>
        </w:rPr>
      </w:pPr>
      <w:r>
        <w:rPr>
          <w:spacing w:val="5"/>
          <w:lang w:val="en-US" w:eastAsia="en-US"/>
        </w:rPr>
        <w:t>九、项目支出预算表</w:t>
      </w:r>
    </w:p>
    <w:p w14:paraId="763FAD49">
      <w:pPr>
        <w:pStyle w:val="2"/>
        <w:spacing w:before="234" w:line="219" w:lineRule="auto"/>
        <w:ind w:left="583"/>
        <w:rPr>
          <w:spacing w:val="5"/>
          <w:lang w:val="en-US" w:eastAsia="en-US"/>
        </w:rPr>
      </w:pPr>
      <w:r>
        <w:rPr>
          <w:spacing w:val="5"/>
          <w:lang w:val="en-US" w:eastAsia="en-US"/>
        </w:rPr>
        <w:t>十、支出功能分类预算表</w:t>
      </w:r>
    </w:p>
    <w:p w14:paraId="0FBA88B9">
      <w:pPr>
        <w:pStyle w:val="2"/>
        <w:spacing w:before="234" w:line="219" w:lineRule="auto"/>
        <w:ind w:left="583"/>
        <w:rPr>
          <w:spacing w:val="5"/>
          <w:lang w:val="en-US" w:eastAsia="en-US"/>
        </w:rPr>
      </w:pPr>
      <w:r>
        <w:rPr>
          <w:spacing w:val="5"/>
          <w:lang w:val="en-US" w:eastAsia="en-US"/>
        </w:rPr>
        <w:t>十一、支出经济分类预算表（政府预算）</w:t>
      </w:r>
    </w:p>
    <w:p w14:paraId="36729077">
      <w:pPr>
        <w:pStyle w:val="2"/>
        <w:spacing w:before="234" w:line="219" w:lineRule="auto"/>
        <w:ind w:left="583"/>
        <w:rPr>
          <w:spacing w:val="5"/>
          <w:lang w:val="en-US" w:eastAsia="en-US"/>
        </w:rPr>
      </w:pPr>
      <w:r>
        <w:rPr>
          <w:spacing w:val="5"/>
          <w:lang w:val="en-US" w:eastAsia="en-US"/>
        </w:rPr>
        <w:t>十二、支出经济分类预算表（部门预算）</w:t>
      </w:r>
    </w:p>
    <w:p w14:paraId="1311F914">
      <w:pPr>
        <w:pStyle w:val="2"/>
        <w:spacing w:before="234" w:line="219" w:lineRule="auto"/>
        <w:ind w:left="583"/>
        <w:rPr>
          <w:spacing w:val="5"/>
          <w:lang w:val="en-US" w:eastAsia="en-US"/>
        </w:rPr>
      </w:pPr>
      <w:r>
        <w:rPr>
          <w:spacing w:val="5"/>
          <w:lang w:val="en-US" w:eastAsia="en-US"/>
        </w:rPr>
        <w:t>十三、债务支出预算表</w:t>
      </w:r>
    </w:p>
    <w:p w14:paraId="1FD7B61D">
      <w:pPr>
        <w:pStyle w:val="2"/>
        <w:spacing w:before="234" w:line="219" w:lineRule="auto"/>
        <w:ind w:left="583"/>
        <w:rPr>
          <w:spacing w:val="5"/>
          <w:lang w:val="en-US" w:eastAsia="en-US"/>
        </w:rPr>
      </w:pPr>
      <w:r>
        <w:rPr>
          <w:spacing w:val="5"/>
          <w:lang w:val="en-US" w:eastAsia="en-US"/>
        </w:rPr>
        <w:t>十四、政府采购支出预算表</w:t>
      </w:r>
    </w:p>
    <w:p w14:paraId="4D09047F">
      <w:pPr>
        <w:pStyle w:val="2"/>
        <w:spacing w:before="234" w:line="219" w:lineRule="auto"/>
        <w:ind w:left="583"/>
        <w:rPr>
          <w:spacing w:val="5"/>
          <w:lang w:val="en-US" w:eastAsia="en-US"/>
        </w:rPr>
      </w:pPr>
      <w:r>
        <w:rPr>
          <w:spacing w:val="5"/>
          <w:lang w:val="en-US" w:eastAsia="en-US"/>
        </w:rPr>
        <w:t>十五、政府购买服务支出预算表</w:t>
      </w:r>
    </w:p>
    <w:p w14:paraId="4EEB2DEE">
      <w:pPr>
        <w:pStyle w:val="2"/>
        <w:spacing w:before="234" w:line="219" w:lineRule="auto"/>
        <w:ind w:left="583"/>
        <w:rPr>
          <w:spacing w:val="5"/>
          <w:lang w:val="en-US" w:eastAsia="en-US"/>
        </w:rPr>
      </w:pPr>
      <w:r>
        <w:rPr>
          <w:spacing w:val="5"/>
          <w:lang w:val="en-US" w:eastAsia="en-US"/>
        </w:rPr>
        <w:t>十六、部门（单位）整体绩效目标表</w:t>
      </w:r>
    </w:p>
    <w:p w14:paraId="36DE3826">
      <w:pPr>
        <w:pStyle w:val="2"/>
        <w:spacing w:before="234" w:line="219" w:lineRule="auto"/>
        <w:ind w:left="583"/>
        <w:rPr>
          <w:spacing w:val="5"/>
          <w:lang w:val="en-US" w:eastAsia="en-US"/>
        </w:rPr>
      </w:pPr>
      <w:r>
        <w:rPr>
          <w:spacing w:val="5"/>
          <w:lang w:val="en-US" w:eastAsia="en-US"/>
        </w:rPr>
        <w:t>十七、部门预算项目（政策）绩效目标表</w:t>
      </w:r>
    </w:p>
    <w:p w14:paraId="242E1C55">
      <w:pPr>
        <w:pStyle w:val="2"/>
        <w:spacing w:before="234" w:line="219" w:lineRule="auto"/>
        <w:ind w:left="583"/>
      </w:pPr>
      <w:r>
        <w:rPr>
          <w:spacing w:val="5"/>
          <w:lang w:val="en-US" w:eastAsia="en-US"/>
        </w:rPr>
        <w:t>十八、部门管理专项资金预算表</w:t>
      </w:r>
    </w:p>
    <w:p w14:paraId="167C0CAF">
      <w:pPr>
        <w:spacing w:line="220" w:lineRule="auto"/>
        <w:sectPr>
          <w:footerReference r:id="rId6" w:type="default"/>
          <w:pgSz w:w="11905" w:h="16840"/>
          <w:pgMar w:top="1431" w:right="1785" w:bottom="1156" w:left="1785" w:header="0" w:footer="995" w:gutter="0"/>
          <w:cols w:space="720" w:num="1"/>
        </w:sectPr>
      </w:pPr>
    </w:p>
    <w:p w14:paraId="0ABA6E38">
      <w:pPr>
        <w:spacing w:before="146" w:line="220" w:lineRule="auto"/>
        <w:ind w:left="1267"/>
        <w:outlineLvl w:val="3"/>
        <w:rPr>
          <w:rFonts w:ascii="宋体" w:hAnsi="宋体" w:eastAsia="宋体" w:cs="宋体"/>
          <w:sz w:val="36"/>
          <w:szCs w:val="36"/>
        </w:rPr>
      </w:pPr>
      <w:r>
        <w:rPr>
          <w:rFonts w:ascii="宋体" w:hAnsi="宋体" w:eastAsia="宋体" w:cs="宋体"/>
          <w:b/>
          <w:bCs/>
          <w:sz w:val="36"/>
          <w:szCs w:val="36"/>
        </w:rPr>
        <w:t>第一部分</w:t>
      </w:r>
      <w:r>
        <w:rPr>
          <w:rFonts w:hint="eastAsia" w:ascii="宋体" w:hAnsi="宋体" w:eastAsia="宋体" w:cs="宋体"/>
          <w:b/>
          <w:bCs/>
          <w:sz w:val="36"/>
          <w:szCs w:val="36"/>
          <w:lang w:val="en-US" w:eastAsia="zh-CN"/>
        </w:rPr>
        <w:tab/>
      </w:r>
      <w:r>
        <w:rPr>
          <w:rFonts w:ascii="宋体" w:hAnsi="宋体" w:eastAsia="宋体" w:cs="宋体"/>
          <w:b/>
          <w:bCs/>
          <w:sz w:val="36"/>
          <w:szCs w:val="36"/>
        </w:rPr>
        <w:t>部门预算公开管理文件</w:t>
      </w:r>
    </w:p>
    <w:p w14:paraId="5B494CB4">
      <w:pPr>
        <w:spacing w:line="301" w:lineRule="auto"/>
        <w:rPr>
          <w:rFonts w:ascii="Arial"/>
          <w:sz w:val="21"/>
        </w:rPr>
      </w:pPr>
    </w:p>
    <w:p w14:paraId="50AA79AF">
      <w:pPr>
        <w:spacing w:line="301" w:lineRule="auto"/>
        <w:rPr>
          <w:rFonts w:ascii="Arial"/>
          <w:sz w:val="21"/>
        </w:rPr>
      </w:pPr>
    </w:p>
    <w:p w14:paraId="01E65167">
      <w:pPr>
        <w:pStyle w:val="2"/>
        <w:spacing w:before="101" w:line="358" w:lineRule="auto"/>
        <w:ind w:left="15" w:right="38" w:firstLine="666"/>
      </w:pPr>
      <w:r>
        <w:rPr>
          <w:spacing w:val="7"/>
        </w:rPr>
        <w:t>关于印发《辽宁省财政厅部门预决算信息公开管理办法</w:t>
      </w:r>
      <w:r>
        <w:rPr>
          <w:spacing w:val="-2"/>
        </w:rPr>
        <w:t>（试行）》的通知(辽财办发</w:t>
      </w:r>
      <w:r>
        <w:rPr>
          <w:spacing w:val="-61"/>
        </w:rPr>
        <w:t xml:space="preserve"> </w:t>
      </w:r>
      <w:r>
        <w:rPr>
          <w:spacing w:val="-2"/>
        </w:rPr>
        <w:t>〔2020〕10</w:t>
      </w:r>
      <w:r>
        <w:rPr>
          <w:spacing w:val="-44"/>
        </w:rPr>
        <w:t xml:space="preserve"> </w:t>
      </w:r>
      <w:r>
        <w:rPr>
          <w:spacing w:val="-2"/>
        </w:rPr>
        <w:t>号)</w:t>
      </w:r>
    </w:p>
    <w:p w14:paraId="208EAE67">
      <w:pPr>
        <w:spacing w:line="222" w:lineRule="auto"/>
        <w:sectPr>
          <w:footerReference r:id="rId7" w:type="default"/>
          <w:pgSz w:w="11905" w:h="16840"/>
          <w:pgMar w:top="1431" w:right="1785" w:bottom="1156" w:left="1785" w:header="0" w:footer="995" w:gutter="0"/>
          <w:cols w:space="720" w:num="1"/>
        </w:sectPr>
      </w:pPr>
    </w:p>
    <w:p w14:paraId="61679D2F">
      <w:pPr>
        <w:spacing w:line="240" w:lineRule="auto"/>
        <w:ind w:left="0"/>
        <w:jc w:val="center"/>
        <w:outlineLvl w:val="3"/>
        <w:rPr>
          <w:rFonts w:ascii="宋体" w:hAnsi="宋体" w:eastAsia="宋体" w:cs="宋体"/>
          <w:sz w:val="36"/>
          <w:szCs w:val="36"/>
        </w:rPr>
      </w:pPr>
      <w:r>
        <w:rPr>
          <w:rFonts w:ascii="宋体" w:hAnsi="宋体" w:eastAsia="宋体" w:cs="宋体"/>
          <w:b/>
          <w:bCs/>
          <w:spacing w:val="-1"/>
          <w:sz w:val="36"/>
          <w:szCs w:val="36"/>
        </w:rPr>
        <w:t>第二部分</w:t>
      </w:r>
      <w:r>
        <w:rPr>
          <w:rFonts w:hint="eastAsia" w:ascii="宋体" w:hAnsi="宋体" w:eastAsia="宋体" w:cs="宋体"/>
          <w:b/>
          <w:bCs/>
          <w:spacing w:val="-1"/>
          <w:sz w:val="36"/>
          <w:szCs w:val="36"/>
          <w:lang w:eastAsia="zh-CN"/>
        </w:rPr>
        <w:t>盘锦市双台子区</w:t>
      </w:r>
      <w:r>
        <w:rPr>
          <w:rFonts w:hint="eastAsia" w:ascii="宋体" w:hAnsi="宋体" w:eastAsia="宋体" w:cs="宋体"/>
          <w:b/>
          <w:bCs/>
          <w:spacing w:val="-1"/>
          <w:sz w:val="36"/>
          <w:szCs w:val="36"/>
          <w:lang w:val="en-US" w:eastAsia="zh-CN"/>
        </w:rPr>
        <w:t>人社局部门</w:t>
      </w:r>
      <w:r>
        <w:rPr>
          <w:rFonts w:ascii="宋体" w:hAnsi="宋体" w:eastAsia="宋体" w:cs="宋体"/>
          <w:b/>
          <w:bCs/>
          <w:spacing w:val="-1"/>
          <w:sz w:val="36"/>
          <w:szCs w:val="36"/>
        </w:rPr>
        <w:t>概况</w:t>
      </w:r>
    </w:p>
    <w:p w14:paraId="6E617767">
      <w:pPr>
        <w:spacing w:line="311" w:lineRule="auto"/>
        <w:rPr>
          <w:rFonts w:ascii="Arial"/>
          <w:sz w:val="21"/>
        </w:rPr>
      </w:pPr>
    </w:p>
    <w:p w14:paraId="2B292E00">
      <w:pPr>
        <w:spacing w:line="311" w:lineRule="auto"/>
        <w:rPr>
          <w:rFonts w:ascii="Arial"/>
          <w:sz w:val="21"/>
        </w:rPr>
      </w:pPr>
    </w:p>
    <w:p w14:paraId="583FD00E">
      <w:pPr>
        <w:spacing w:before="100" w:line="227" w:lineRule="auto"/>
        <w:ind w:left="676"/>
        <w:outlineLvl w:val="4"/>
        <w:rPr>
          <w:rFonts w:ascii="黑体" w:hAnsi="黑体" w:eastAsia="黑体" w:cs="黑体"/>
          <w:sz w:val="31"/>
          <w:szCs w:val="31"/>
        </w:rPr>
      </w:pPr>
      <w:r>
        <w:rPr>
          <w:rFonts w:ascii="黑体" w:hAnsi="黑体" w:eastAsia="黑体" w:cs="黑体"/>
          <w:spacing w:val="6"/>
          <w:sz w:val="31"/>
          <w:szCs w:val="31"/>
        </w:rPr>
        <w:t>一、部门职责</w:t>
      </w:r>
    </w:p>
    <w:p w14:paraId="23EB963E">
      <w:pPr>
        <w:spacing w:line="360" w:lineRule="auto"/>
        <w:ind w:firstLine="624" w:firstLineChars="195"/>
        <w:rPr>
          <w:rFonts w:hint="eastAsia" w:ascii="仿宋" w:hAnsi="仿宋" w:eastAsia="仿宋" w:cs="仿宋"/>
          <w:sz w:val="32"/>
        </w:rPr>
      </w:pPr>
      <w:r>
        <w:rPr>
          <w:rFonts w:hint="eastAsia" w:ascii="仿宋" w:hAnsi="仿宋" w:eastAsia="仿宋" w:cs="仿宋"/>
          <w:sz w:val="32"/>
        </w:rPr>
        <w:t>（一）贯彻执行国家、省、市人力资源和社会保障（不含医疗保障，下同）事业发展规划和政策法规，拟订全区人力资源和社会保障事业发展规划并组织实施和监督检查。</w:t>
      </w:r>
    </w:p>
    <w:p w14:paraId="2E9A4C0C">
      <w:pPr>
        <w:spacing w:line="360" w:lineRule="auto"/>
        <w:ind w:firstLine="624" w:firstLineChars="195"/>
        <w:rPr>
          <w:rFonts w:hint="eastAsia" w:ascii="仿宋" w:hAnsi="仿宋" w:eastAsia="仿宋" w:cs="仿宋"/>
          <w:sz w:val="32"/>
        </w:rPr>
      </w:pPr>
      <w:r>
        <w:rPr>
          <w:rFonts w:hint="eastAsia" w:ascii="仿宋" w:hAnsi="仿宋" w:eastAsia="仿宋" w:cs="仿宋"/>
          <w:sz w:val="32"/>
        </w:rPr>
        <w:t>（二）拟订并组织实施全区人力资源市场发展规划和人力资源流动政策，承担区政府人才工作的综合管理，牵头推进人才供给侧结构性改革，指导全区人力资源市场建设</w:t>
      </w:r>
      <w:r>
        <w:rPr>
          <w:rFonts w:hint="eastAsia" w:ascii="仿宋" w:hAnsi="仿宋" w:eastAsia="仿宋" w:cs="仿宋"/>
          <w:sz w:val="32"/>
          <w:lang w:eastAsia="zh-CN"/>
        </w:rPr>
        <w:t>与管理</w:t>
      </w:r>
      <w:r>
        <w:rPr>
          <w:rFonts w:hint="eastAsia" w:ascii="仿宋" w:hAnsi="仿宋" w:eastAsia="仿宋" w:cs="仿宋"/>
          <w:sz w:val="32"/>
        </w:rPr>
        <w:t>，规范人才、全区人力资源市场。</w:t>
      </w:r>
    </w:p>
    <w:p w14:paraId="29D61B8C">
      <w:pPr>
        <w:spacing w:line="360" w:lineRule="auto"/>
        <w:ind w:firstLine="624" w:firstLineChars="195"/>
        <w:rPr>
          <w:rFonts w:hint="eastAsia" w:ascii="仿宋" w:hAnsi="仿宋" w:eastAsia="仿宋" w:cs="仿宋"/>
          <w:sz w:val="32"/>
        </w:rPr>
      </w:pPr>
      <w:r>
        <w:rPr>
          <w:rFonts w:hint="eastAsia" w:ascii="仿宋" w:hAnsi="仿宋" w:eastAsia="仿宋" w:cs="仿宋"/>
          <w:sz w:val="32"/>
        </w:rPr>
        <w:t>（三）完善公共就业服务体系，贯彻落实国家、省、市就业援助制度，完善职业资格制度相关政策，建立面向城乡劳动者的职业培训制度，贯彻落实国家、省、市关于国（境）外人员（不含专家）就业管理政策，做好组织实施工作。</w:t>
      </w:r>
    </w:p>
    <w:p w14:paraId="1CB58A1D">
      <w:pPr>
        <w:spacing w:line="360" w:lineRule="auto"/>
        <w:ind w:firstLine="624" w:firstLineChars="195"/>
        <w:rPr>
          <w:rFonts w:hint="eastAsia" w:ascii="仿宋" w:hAnsi="仿宋" w:eastAsia="仿宋" w:cs="仿宋"/>
          <w:sz w:val="32"/>
        </w:rPr>
      </w:pPr>
      <w:r>
        <w:rPr>
          <w:rFonts w:hint="eastAsia" w:ascii="仿宋" w:hAnsi="仿宋" w:eastAsia="仿宋" w:cs="仿宋"/>
          <w:sz w:val="32"/>
        </w:rPr>
        <w:t>（四）贯彻落实国家、省、市城乡社会保险及其补充保险政策和标准，统筹落实机关企事业单位基本养老保险政策。</w:t>
      </w:r>
    </w:p>
    <w:p w14:paraId="76CCB956">
      <w:pPr>
        <w:spacing w:line="360" w:lineRule="auto"/>
        <w:ind w:firstLine="624" w:firstLineChars="195"/>
        <w:rPr>
          <w:rFonts w:hint="eastAsia" w:ascii="仿宋" w:hAnsi="仿宋" w:eastAsia="仿宋" w:cs="仿宋"/>
          <w:sz w:val="32"/>
        </w:rPr>
      </w:pPr>
      <w:r>
        <w:rPr>
          <w:rFonts w:hint="eastAsia" w:ascii="仿宋" w:hAnsi="仿宋" w:eastAsia="仿宋" w:cs="仿宋"/>
          <w:sz w:val="32"/>
        </w:rPr>
        <w:t>（五）负责就业、失业、社会保险基金预测预警</w:t>
      </w:r>
      <w:r>
        <w:rPr>
          <w:rFonts w:hint="eastAsia" w:ascii="仿宋" w:hAnsi="仿宋" w:eastAsia="仿宋" w:cs="仿宋"/>
          <w:sz w:val="32"/>
          <w:lang w:eastAsia="zh-CN"/>
        </w:rPr>
        <w:t>、职业介绍和</w:t>
      </w:r>
      <w:r>
        <w:rPr>
          <w:rFonts w:hint="eastAsia" w:ascii="仿宋" w:hAnsi="仿宋" w:eastAsia="仿宋" w:cs="仿宋"/>
          <w:sz w:val="32"/>
        </w:rPr>
        <w:t>信息引导，拟订应对预案，实施预防、调节和控制，保持就业形势稳定和社会保险基金总体收支平衡。</w:t>
      </w:r>
    </w:p>
    <w:p w14:paraId="58135971">
      <w:pPr>
        <w:spacing w:line="360" w:lineRule="auto"/>
        <w:ind w:firstLine="624" w:firstLineChars="195"/>
        <w:rPr>
          <w:rFonts w:hint="eastAsia" w:ascii="仿宋" w:hAnsi="仿宋" w:eastAsia="仿宋" w:cs="仿宋"/>
          <w:sz w:val="32"/>
        </w:rPr>
      </w:pPr>
      <w:r>
        <w:rPr>
          <w:rFonts w:hint="eastAsia" w:ascii="仿宋" w:hAnsi="仿宋" w:eastAsia="仿宋" w:cs="仿宋"/>
          <w:sz w:val="32"/>
        </w:rPr>
        <w:t>（六）会同有关部门拟订全区机关事业单位人员工资收入分配制度改革实施意见，建立机关企事业单位人员工资正常增长和支付保障机制，贯彻落实国家、省、市机关企事业单位人员福利和离退休政策。</w:t>
      </w:r>
    </w:p>
    <w:p w14:paraId="2BCB6098">
      <w:pPr>
        <w:spacing w:line="360" w:lineRule="auto"/>
        <w:ind w:firstLine="624" w:firstLineChars="195"/>
        <w:rPr>
          <w:rFonts w:hint="eastAsia" w:ascii="仿宋" w:hAnsi="仿宋" w:eastAsia="仿宋" w:cs="仿宋"/>
          <w:sz w:val="32"/>
        </w:rPr>
      </w:pPr>
      <w:r>
        <w:rPr>
          <w:rFonts w:hint="eastAsia" w:ascii="仿宋" w:hAnsi="仿宋" w:eastAsia="仿宋" w:cs="仿宋"/>
          <w:sz w:val="32"/>
        </w:rPr>
        <w:t>（七）会同有关部门负责事业单位人事制度改革；执行事业单位人员和机关工勤人员管理政策，参与人才管理工作，制定专业技术人员管理和继续教育政策，推进深化职称制度改革工作，负责高层次专业技术人才选拔、培养和引进工作。</w:t>
      </w:r>
    </w:p>
    <w:p w14:paraId="3FAE9DA3">
      <w:pPr>
        <w:spacing w:line="360" w:lineRule="auto"/>
        <w:ind w:firstLine="624" w:firstLineChars="195"/>
        <w:rPr>
          <w:rFonts w:hint="eastAsia" w:ascii="仿宋" w:hAnsi="仿宋" w:eastAsia="仿宋" w:cs="仿宋"/>
          <w:sz w:val="32"/>
        </w:rPr>
      </w:pPr>
      <w:r>
        <w:rPr>
          <w:rFonts w:hint="eastAsia" w:ascii="仿宋" w:hAnsi="仿宋" w:eastAsia="仿宋" w:cs="仿宋"/>
          <w:sz w:val="32"/>
        </w:rPr>
        <w:t>（八）贯彻落实国家、省、市有关农民工工作综合性政策和规划，维护农民工合法权益。</w:t>
      </w:r>
    </w:p>
    <w:p w14:paraId="6D493197">
      <w:pPr>
        <w:spacing w:line="360" w:lineRule="auto"/>
        <w:ind w:firstLine="624" w:firstLineChars="195"/>
        <w:rPr>
          <w:rFonts w:hint="eastAsia" w:ascii="仿宋" w:hAnsi="仿宋" w:eastAsia="仿宋" w:cs="仿宋"/>
          <w:sz w:val="32"/>
        </w:rPr>
      </w:pPr>
      <w:r>
        <w:rPr>
          <w:rFonts w:hint="eastAsia" w:ascii="仿宋" w:hAnsi="仿宋" w:eastAsia="仿宋" w:cs="仿宋"/>
          <w:sz w:val="32"/>
        </w:rPr>
        <w:t>（九）统筹实施劳动、人事争议调解仲裁制度，完善劳动关系协调机制，监督落实消除非法使用童工政策和女工、未成年工的特殊劳动保护政策，组织实施劳动监察，协调劳动者维权工作，完善人力资源和社会保障系统信访工作制度。</w:t>
      </w:r>
    </w:p>
    <w:p w14:paraId="5C1CFDB7">
      <w:pPr>
        <w:spacing w:line="360" w:lineRule="auto"/>
        <w:ind w:firstLine="624" w:firstLineChars="195"/>
        <w:rPr>
          <w:rFonts w:hint="eastAsia" w:ascii="仿宋" w:hAnsi="仿宋" w:eastAsia="仿宋" w:cs="仿宋"/>
          <w:sz w:val="32"/>
        </w:rPr>
      </w:pPr>
      <w:r>
        <w:rPr>
          <w:rFonts w:hint="eastAsia" w:ascii="仿宋" w:hAnsi="仿宋" w:eastAsia="仿宋" w:cs="仿宋"/>
          <w:sz w:val="32"/>
        </w:rPr>
        <w:t>（十）按分工负责企业帮扶工作。</w:t>
      </w:r>
    </w:p>
    <w:p w14:paraId="6258C959">
      <w:pPr>
        <w:spacing w:line="360" w:lineRule="auto"/>
        <w:ind w:firstLine="624" w:firstLineChars="195"/>
        <w:rPr>
          <w:rFonts w:hint="eastAsia" w:ascii="仿宋" w:hAnsi="仿宋" w:eastAsia="仿宋" w:cs="仿宋"/>
          <w:sz w:val="32"/>
        </w:rPr>
      </w:pPr>
      <w:r>
        <w:rPr>
          <w:rFonts w:hint="eastAsia" w:ascii="仿宋" w:hAnsi="仿宋" w:eastAsia="仿宋" w:cs="仿宋"/>
          <w:sz w:val="32"/>
        </w:rPr>
        <w:t>（十一）职能转变。区人力资源和社会保障局应加强促进就业创业、持续推进养老保险制度改革、激励人才创新创造、保障农民工权益等职责。</w:t>
      </w:r>
    </w:p>
    <w:p w14:paraId="1030CB8C">
      <w:pPr>
        <w:spacing w:line="360" w:lineRule="auto"/>
        <w:ind w:firstLine="624" w:firstLineChars="195"/>
        <w:rPr>
          <w:rFonts w:hint="eastAsia" w:ascii="仿宋" w:hAnsi="仿宋" w:eastAsia="仿宋" w:cs="仿宋"/>
          <w:sz w:val="32"/>
        </w:rPr>
      </w:pPr>
      <w:r>
        <w:rPr>
          <w:rFonts w:hint="eastAsia" w:ascii="仿宋" w:hAnsi="仿宋" w:eastAsia="仿宋" w:cs="仿宋"/>
          <w:sz w:val="32"/>
        </w:rPr>
        <w:t>（十二）毕业生离校后的就业指导和服务工作。</w:t>
      </w:r>
    </w:p>
    <w:p w14:paraId="160BB98F">
      <w:pPr>
        <w:spacing w:before="217" w:line="228" w:lineRule="auto"/>
        <w:ind w:left="676"/>
        <w:rPr>
          <w:rFonts w:ascii="黑体" w:hAnsi="黑体" w:eastAsia="黑体" w:cs="黑体"/>
          <w:sz w:val="31"/>
          <w:szCs w:val="31"/>
        </w:rPr>
      </w:pPr>
      <w:r>
        <w:rPr>
          <w:rFonts w:ascii="黑体" w:hAnsi="黑体" w:eastAsia="黑体" w:cs="黑体"/>
          <w:spacing w:val="9"/>
          <w:sz w:val="31"/>
          <w:szCs w:val="31"/>
        </w:rPr>
        <w:t>二、机构设置</w:t>
      </w:r>
    </w:p>
    <w:p w14:paraId="394DC397">
      <w:pPr>
        <w:pStyle w:val="2"/>
        <w:spacing w:before="179" w:line="317" w:lineRule="auto"/>
        <w:ind w:left="30" w:right="301" w:firstLine="648"/>
      </w:pPr>
      <w:r>
        <w:rPr>
          <w:b/>
          <w:bCs/>
          <w:spacing w:val="9"/>
        </w:rPr>
        <w:t>纳入</w:t>
      </w:r>
      <w:r>
        <w:rPr>
          <w:rFonts w:hint="eastAsia" w:eastAsia="黑体"/>
          <w:b/>
          <w:bCs/>
          <w:spacing w:val="9"/>
          <w:lang w:val="en-US" w:eastAsia="zh-CN"/>
        </w:rPr>
        <w:t>2025</w:t>
      </w:r>
      <w:r>
        <w:rPr>
          <w:b/>
          <w:bCs/>
          <w:spacing w:val="9"/>
        </w:rPr>
        <w:t>年</w:t>
      </w:r>
      <w:r>
        <w:rPr>
          <w:rFonts w:hint="eastAsia" w:ascii="黑体" w:hAnsi="黑体" w:eastAsia="黑体" w:cs="黑体"/>
          <w:spacing w:val="10"/>
          <w:sz w:val="31"/>
          <w:szCs w:val="31"/>
          <w:lang w:eastAsia="zh-CN"/>
        </w:rPr>
        <w:t>盘锦市双台子区</w:t>
      </w:r>
      <w:r>
        <w:rPr>
          <w:rFonts w:hint="eastAsia" w:ascii="黑体" w:hAnsi="黑体" w:eastAsia="黑体" w:cs="黑体"/>
          <w:spacing w:val="10"/>
          <w:sz w:val="31"/>
          <w:szCs w:val="31"/>
          <w:lang w:val="en-US" w:eastAsia="zh-CN"/>
        </w:rPr>
        <w:t>人社局部门</w:t>
      </w:r>
      <w:r>
        <w:rPr>
          <w:b/>
          <w:bCs/>
          <w:spacing w:val="9"/>
        </w:rPr>
        <w:t>预算编制范围的二级预算</w:t>
      </w:r>
      <w:r>
        <w:rPr>
          <w:b/>
          <w:bCs/>
          <w:spacing w:val="-11"/>
        </w:rPr>
        <w:t>单位包括：</w:t>
      </w:r>
    </w:p>
    <w:p w14:paraId="76362F30">
      <w:pPr>
        <w:pStyle w:val="2"/>
        <w:spacing w:before="194" w:line="295" w:lineRule="auto"/>
        <w:ind w:left="27" w:firstLine="636"/>
      </w:pPr>
      <w:r>
        <w:rPr>
          <w:spacing w:val="8"/>
        </w:rPr>
        <w:t>1.</w:t>
      </w:r>
      <w:r>
        <w:rPr>
          <w:rFonts w:hint="eastAsia" w:ascii="仿宋_GB2312" w:hAnsi="仿宋" w:eastAsia="仿宋_GB2312"/>
          <w:sz w:val="32"/>
          <w:szCs w:val="32"/>
          <w:highlight w:val="none"/>
        </w:rPr>
        <w:t>盘锦市双台子区人力资源和社会保障服务中心</w:t>
      </w:r>
    </w:p>
    <w:p w14:paraId="412263E8">
      <w:pPr>
        <w:pStyle w:val="2"/>
        <w:spacing w:before="194" w:line="295" w:lineRule="auto"/>
        <w:ind w:left="27" w:firstLine="636"/>
      </w:pPr>
      <w:r>
        <w:rPr>
          <w:spacing w:val="9"/>
        </w:rPr>
        <w:t>2.</w:t>
      </w:r>
      <w:r>
        <w:rPr>
          <w:rFonts w:hint="eastAsia"/>
          <w:spacing w:val="9"/>
        </w:rPr>
        <w:t>盘锦市双台子区劳动者权益维护服务中心</w:t>
      </w:r>
    </w:p>
    <w:p w14:paraId="5AAE6E2D">
      <w:pPr>
        <w:spacing w:line="240" w:lineRule="auto"/>
        <w:ind w:left="0"/>
        <w:outlineLvl w:val="4"/>
        <w:rPr>
          <w:rFonts w:ascii="宋体" w:hAnsi="宋体" w:eastAsia="宋体" w:cs="宋体"/>
          <w:b/>
          <w:bCs/>
          <w:spacing w:val="-1"/>
          <w:sz w:val="36"/>
          <w:szCs w:val="36"/>
        </w:rPr>
      </w:pPr>
    </w:p>
    <w:p w14:paraId="73E0F349">
      <w:pPr>
        <w:spacing w:line="240" w:lineRule="auto"/>
        <w:ind w:left="0"/>
        <w:outlineLvl w:val="4"/>
        <w:rPr>
          <w:rFonts w:ascii="宋体" w:hAnsi="宋体" w:eastAsia="宋体" w:cs="宋体"/>
          <w:b/>
          <w:bCs/>
          <w:spacing w:val="-1"/>
          <w:sz w:val="36"/>
          <w:szCs w:val="36"/>
        </w:rPr>
      </w:pPr>
    </w:p>
    <w:p w14:paraId="1B325597">
      <w:pPr>
        <w:spacing w:line="240" w:lineRule="auto"/>
        <w:ind w:left="0"/>
        <w:outlineLvl w:val="4"/>
        <w:rPr>
          <w:rFonts w:ascii="宋体" w:hAnsi="宋体" w:eastAsia="宋体" w:cs="宋体"/>
          <w:b/>
          <w:bCs/>
          <w:spacing w:val="-1"/>
          <w:sz w:val="36"/>
          <w:szCs w:val="36"/>
        </w:rPr>
      </w:pPr>
    </w:p>
    <w:p w14:paraId="4A418EA7">
      <w:pPr>
        <w:spacing w:line="240" w:lineRule="auto"/>
        <w:ind w:left="0"/>
        <w:outlineLvl w:val="4"/>
        <w:rPr>
          <w:rFonts w:ascii="宋体" w:hAnsi="宋体" w:eastAsia="宋体" w:cs="宋体"/>
          <w:b/>
          <w:bCs/>
          <w:spacing w:val="-1"/>
          <w:sz w:val="36"/>
          <w:szCs w:val="36"/>
        </w:rPr>
      </w:pPr>
    </w:p>
    <w:p w14:paraId="4C397F87">
      <w:pPr>
        <w:spacing w:line="240" w:lineRule="auto"/>
        <w:ind w:left="0"/>
        <w:outlineLvl w:val="4"/>
        <w:rPr>
          <w:rFonts w:ascii="宋体" w:hAnsi="宋体" w:eastAsia="宋体" w:cs="宋体"/>
          <w:b/>
          <w:bCs/>
          <w:spacing w:val="-1"/>
          <w:sz w:val="36"/>
          <w:szCs w:val="36"/>
        </w:rPr>
      </w:pPr>
    </w:p>
    <w:p w14:paraId="3151920F">
      <w:pPr>
        <w:spacing w:line="240" w:lineRule="auto"/>
        <w:ind w:left="0"/>
        <w:outlineLvl w:val="4"/>
        <w:rPr>
          <w:rFonts w:ascii="宋体" w:hAnsi="宋体" w:eastAsia="宋体" w:cs="宋体"/>
          <w:b/>
          <w:bCs/>
          <w:spacing w:val="-1"/>
          <w:sz w:val="36"/>
          <w:szCs w:val="36"/>
        </w:rPr>
      </w:pPr>
    </w:p>
    <w:p w14:paraId="0DC3D8B6">
      <w:pPr>
        <w:spacing w:line="240" w:lineRule="auto"/>
        <w:ind w:left="0"/>
        <w:outlineLvl w:val="4"/>
        <w:rPr>
          <w:rFonts w:ascii="宋体" w:hAnsi="宋体" w:eastAsia="宋体" w:cs="宋体"/>
          <w:b/>
          <w:bCs/>
          <w:spacing w:val="-1"/>
          <w:sz w:val="36"/>
          <w:szCs w:val="36"/>
        </w:rPr>
      </w:pPr>
    </w:p>
    <w:p w14:paraId="588076F6">
      <w:pPr>
        <w:spacing w:line="240" w:lineRule="auto"/>
        <w:ind w:left="0"/>
        <w:outlineLvl w:val="4"/>
        <w:rPr>
          <w:rFonts w:ascii="宋体" w:hAnsi="宋体" w:eastAsia="宋体" w:cs="宋体"/>
          <w:b/>
          <w:bCs/>
          <w:spacing w:val="-1"/>
          <w:sz w:val="36"/>
          <w:szCs w:val="36"/>
        </w:rPr>
      </w:pPr>
    </w:p>
    <w:p w14:paraId="4D8A47CA">
      <w:pPr>
        <w:spacing w:line="240" w:lineRule="auto"/>
        <w:ind w:left="0"/>
        <w:outlineLvl w:val="4"/>
        <w:rPr>
          <w:rFonts w:ascii="宋体" w:hAnsi="宋体" w:eastAsia="宋体" w:cs="宋体"/>
          <w:b/>
          <w:bCs/>
          <w:spacing w:val="-1"/>
          <w:sz w:val="36"/>
          <w:szCs w:val="36"/>
        </w:rPr>
      </w:pPr>
    </w:p>
    <w:p w14:paraId="77F3C563">
      <w:pPr>
        <w:spacing w:line="240" w:lineRule="auto"/>
        <w:ind w:left="0"/>
        <w:outlineLvl w:val="4"/>
        <w:rPr>
          <w:rFonts w:ascii="宋体" w:hAnsi="宋体" w:eastAsia="宋体" w:cs="宋体"/>
          <w:b/>
          <w:bCs/>
          <w:spacing w:val="-1"/>
          <w:sz w:val="36"/>
          <w:szCs w:val="36"/>
        </w:rPr>
      </w:pPr>
    </w:p>
    <w:p w14:paraId="708687E0">
      <w:pPr>
        <w:spacing w:line="240" w:lineRule="auto"/>
        <w:ind w:left="0"/>
        <w:outlineLvl w:val="4"/>
        <w:rPr>
          <w:rFonts w:ascii="宋体" w:hAnsi="宋体" w:eastAsia="宋体" w:cs="宋体"/>
          <w:b/>
          <w:bCs/>
          <w:spacing w:val="-1"/>
          <w:sz w:val="36"/>
          <w:szCs w:val="36"/>
        </w:rPr>
      </w:pPr>
    </w:p>
    <w:p w14:paraId="48527A37">
      <w:pPr>
        <w:spacing w:line="240" w:lineRule="auto"/>
        <w:ind w:left="0"/>
        <w:outlineLvl w:val="4"/>
        <w:rPr>
          <w:rFonts w:ascii="宋体" w:hAnsi="宋体" w:eastAsia="宋体" w:cs="宋体"/>
          <w:b/>
          <w:bCs/>
          <w:spacing w:val="-1"/>
          <w:sz w:val="36"/>
          <w:szCs w:val="36"/>
        </w:rPr>
      </w:pPr>
    </w:p>
    <w:p w14:paraId="6EE11FCF">
      <w:pPr>
        <w:spacing w:line="240" w:lineRule="auto"/>
        <w:ind w:left="0"/>
        <w:outlineLvl w:val="4"/>
        <w:rPr>
          <w:rFonts w:ascii="宋体" w:hAnsi="宋体" w:eastAsia="宋体" w:cs="宋体"/>
          <w:b/>
          <w:bCs/>
          <w:spacing w:val="-1"/>
          <w:sz w:val="36"/>
          <w:szCs w:val="36"/>
        </w:rPr>
      </w:pPr>
    </w:p>
    <w:p w14:paraId="08659204">
      <w:pPr>
        <w:spacing w:line="240" w:lineRule="auto"/>
        <w:ind w:left="0"/>
        <w:outlineLvl w:val="4"/>
        <w:rPr>
          <w:rFonts w:ascii="宋体" w:hAnsi="宋体" w:eastAsia="宋体" w:cs="宋体"/>
          <w:b/>
          <w:bCs/>
          <w:spacing w:val="-1"/>
          <w:sz w:val="36"/>
          <w:szCs w:val="36"/>
        </w:rPr>
      </w:pPr>
    </w:p>
    <w:p w14:paraId="267EFBB0">
      <w:pPr>
        <w:spacing w:line="240" w:lineRule="auto"/>
        <w:ind w:left="0"/>
        <w:outlineLvl w:val="4"/>
        <w:rPr>
          <w:rFonts w:ascii="宋体" w:hAnsi="宋体" w:eastAsia="宋体" w:cs="宋体"/>
          <w:b/>
          <w:bCs/>
          <w:spacing w:val="-1"/>
          <w:sz w:val="36"/>
          <w:szCs w:val="36"/>
        </w:rPr>
      </w:pPr>
    </w:p>
    <w:p w14:paraId="7F9054B7">
      <w:pPr>
        <w:spacing w:line="240" w:lineRule="auto"/>
        <w:ind w:left="0"/>
        <w:outlineLvl w:val="4"/>
        <w:rPr>
          <w:rFonts w:ascii="宋体" w:hAnsi="宋体" w:eastAsia="宋体" w:cs="宋体"/>
          <w:b/>
          <w:bCs/>
          <w:spacing w:val="-1"/>
          <w:sz w:val="36"/>
          <w:szCs w:val="36"/>
        </w:rPr>
      </w:pPr>
    </w:p>
    <w:p w14:paraId="7BF1BBA3">
      <w:pPr>
        <w:spacing w:line="240" w:lineRule="auto"/>
        <w:ind w:left="0"/>
        <w:outlineLvl w:val="4"/>
        <w:rPr>
          <w:rFonts w:ascii="宋体" w:hAnsi="宋体" w:eastAsia="宋体" w:cs="宋体"/>
          <w:b/>
          <w:bCs/>
          <w:spacing w:val="-1"/>
          <w:sz w:val="36"/>
          <w:szCs w:val="36"/>
        </w:rPr>
      </w:pPr>
    </w:p>
    <w:p w14:paraId="1B2AED87">
      <w:pPr>
        <w:spacing w:line="240" w:lineRule="auto"/>
        <w:ind w:left="0"/>
        <w:outlineLvl w:val="4"/>
        <w:rPr>
          <w:rFonts w:ascii="宋体" w:hAnsi="宋体" w:eastAsia="宋体" w:cs="宋体"/>
          <w:b/>
          <w:bCs/>
          <w:spacing w:val="-1"/>
          <w:sz w:val="36"/>
          <w:szCs w:val="36"/>
        </w:rPr>
      </w:pPr>
    </w:p>
    <w:p w14:paraId="01399F4E">
      <w:pPr>
        <w:spacing w:line="240" w:lineRule="auto"/>
        <w:ind w:left="0"/>
        <w:outlineLvl w:val="4"/>
        <w:rPr>
          <w:rFonts w:ascii="宋体" w:hAnsi="宋体" w:eastAsia="宋体" w:cs="宋体"/>
          <w:b/>
          <w:bCs/>
          <w:spacing w:val="-1"/>
          <w:sz w:val="36"/>
          <w:szCs w:val="36"/>
        </w:rPr>
      </w:pPr>
    </w:p>
    <w:p w14:paraId="1EAD7B08">
      <w:pPr>
        <w:spacing w:line="240" w:lineRule="auto"/>
        <w:ind w:left="0"/>
        <w:outlineLvl w:val="4"/>
        <w:rPr>
          <w:rFonts w:ascii="宋体" w:hAnsi="宋体" w:eastAsia="宋体" w:cs="宋体"/>
          <w:b/>
          <w:bCs/>
          <w:spacing w:val="-1"/>
          <w:sz w:val="36"/>
          <w:szCs w:val="36"/>
        </w:rPr>
      </w:pPr>
    </w:p>
    <w:p w14:paraId="02905235">
      <w:pPr>
        <w:spacing w:line="240" w:lineRule="auto"/>
        <w:ind w:left="0"/>
        <w:outlineLvl w:val="4"/>
        <w:rPr>
          <w:rFonts w:ascii="宋体" w:hAnsi="宋体" w:eastAsia="宋体" w:cs="宋体"/>
          <w:b/>
          <w:bCs/>
          <w:spacing w:val="-1"/>
          <w:sz w:val="36"/>
          <w:szCs w:val="36"/>
        </w:rPr>
      </w:pPr>
    </w:p>
    <w:p w14:paraId="0371B5ED">
      <w:pPr>
        <w:spacing w:line="240" w:lineRule="auto"/>
        <w:ind w:left="0"/>
        <w:outlineLvl w:val="4"/>
        <w:rPr>
          <w:rFonts w:ascii="宋体" w:hAnsi="宋体" w:eastAsia="宋体" w:cs="宋体"/>
          <w:b/>
          <w:bCs/>
          <w:spacing w:val="-1"/>
          <w:sz w:val="36"/>
          <w:szCs w:val="36"/>
        </w:rPr>
      </w:pPr>
    </w:p>
    <w:p w14:paraId="3ABD8A97">
      <w:pPr>
        <w:spacing w:line="240" w:lineRule="auto"/>
        <w:ind w:left="0"/>
        <w:outlineLvl w:val="4"/>
        <w:rPr>
          <w:rFonts w:ascii="宋体" w:hAnsi="宋体" w:eastAsia="宋体" w:cs="宋体"/>
          <w:b/>
          <w:bCs/>
          <w:spacing w:val="-1"/>
          <w:sz w:val="36"/>
          <w:szCs w:val="36"/>
        </w:rPr>
      </w:pPr>
    </w:p>
    <w:p w14:paraId="09BA581F">
      <w:pPr>
        <w:spacing w:line="240" w:lineRule="auto"/>
        <w:ind w:left="0"/>
        <w:outlineLvl w:val="4"/>
        <w:rPr>
          <w:rFonts w:ascii="宋体" w:hAnsi="宋体" w:eastAsia="宋体" w:cs="宋体"/>
          <w:b/>
          <w:bCs/>
          <w:spacing w:val="-1"/>
          <w:sz w:val="36"/>
          <w:szCs w:val="36"/>
        </w:rPr>
      </w:pPr>
    </w:p>
    <w:p w14:paraId="506B4167">
      <w:pPr>
        <w:spacing w:line="240" w:lineRule="auto"/>
        <w:ind w:left="0"/>
        <w:outlineLvl w:val="4"/>
        <w:rPr>
          <w:rFonts w:ascii="宋体" w:hAnsi="宋体" w:eastAsia="宋体" w:cs="宋体"/>
          <w:b/>
          <w:bCs/>
          <w:spacing w:val="-1"/>
          <w:sz w:val="36"/>
          <w:szCs w:val="36"/>
        </w:rPr>
      </w:pPr>
    </w:p>
    <w:p w14:paraId="1B73E051">
      <w:pPr>
        <w:spacing w:line="240" w:lineRule="auto"/>
        <w:ind w:left="0"/>
        <w:outlineLvl w:val="4"/>
        <w:rPr>
          <w:rFonts w:ascii="宋体" w:hAnsi="宋体" w:eastAsia="宋体" w:cs="宋体"/>
          <w:b/>
          <w:bCs/>
          <w:spacing w:val="-1"/>
          <w:sz w:val="36"/>
          <w:szCs w:val="36"/>
        </w:rPr>
      </w:pPr>
    </w:p>
    <w:p w14:paraId="632E44EE">
      <w:pPr>
        <w:spacing w:line="240" w:lineRule="auto"/>
        <w:ind w:left="0"/>
        <w:outlineLvl w:val="4"/>
        <w:rPr>
          <w:rFonts w:ascii="宋体" w:hAnsi="宋体" w:eastAsia="宋体" w:cs="宋体"/>
          <w:sz w:val="36"/>
          <w:szCs w:val="36"/>
        </w:rPr>
      </w:pPr>
      <w:r>
        <w:rPr>
          <w:rFonts w:ascii="宋体" w:hAnsi="宋体" w:eastAsia="宋体" w:cs="宋体"/>
          <w:b/>
          <w:bCs/>
          <w:spacing w:val="-1"/>
          <w:sz w:val="36"/>
          <w:szCs w:val="36"/>
        </w:rPr>
        <w:t>第三部分</w:t>
      </w:r>
      <w:r>
        <w:rPr>
          <w:rFonts w:hint="eastAsia" w:ascii="宋体" w:hAnsi="宋体" w:eastAsia="宋体" w:cs="宋体"/>
          <w:b/>
          <w:bCs/>
          <w:spacing w:val="-1"/>
          <w:sz w:val="36"/>
          <w:szCs w:val="36"/>
          <w:lang w:val="en-US" w:eastAsia="zh-CN"/>
        </w:rPr>
        <w:t>2025</w:t>
      </w:r>
      <w:r>
        <w:rPr>
          <w:rFonts w:ascii="宋体" w:hAnsi="宋体" w:eastAsia="宋体" w:cs="宋体"/>
          <w:b/>
          <w:bCs/>
          <w:spacing w:val="-1"/>
          <w:sz w:val="36"/>
          <w:szCs w:val="36"/>
        </w:rPr>
        <w:t>年</w:t>
      </w:r>
      <w:r>
        <w:rPr>
          <w:rFonts w:hint="eastAsia" w:ascii="宋体" w:hAnsi="宋体" w:eastAsia="宋体" w:cs="宋体"/>
          <w:b/>
          <w:bCs/>
          <w:spacing w:val="-1"/>
          <w:sz w:val="36"/>
          <w:szCs w:val="36"/>
          <w:lang w:eastAsia="zh-CN"/>
        </w:rPr>
        <w:t>盘锦市双台子区</w:t>
      </w:r>
      <w:r>
        <w:rPr>
          <w:rFonts w:hint="eastAsia" w:ascii="宋体" w:hAnsi="宋体" w:eastAsia="宋体" w:cs="宋体"/>
          <w:b/>
          <w:bCs/>
          <w:spacing w:val="-1"/>
          <w:sz w:val="36"/>
          <w:szCs w:val="36"/>
          <w:lang w:val="en-US" w:eastAsia="zh-CN"/>
        </w:rPr>
        <w:t>人社局部门</w:t>
      </w:r>
      <w:r>
        <w:rPr>
          <w:rFonts w:ascii="宋体" w:hAnsi="宋体" w:eastAsia="宋体" w:cs="宋体"/>
          <w:b/>
          <w:bCs/>
          <w:spacing w:val="-1"/>
          <w:sz w:val="36"/>
          <w:szCs w:val="36"/>
        </w:rPr>
        <w:t>预算情况说明</w:t>
      </w:r>
    </w:p>
    <w:p w14:paraId="1A63268D">
      <w:pPr>
        <w:spacing w:line="310" w:lineRule="auto"/>
        <w:rPr>
          <w:rFonts w:ascii="Arial"/>
          <w:sz w:val="21"/>
        </w:rPr>
      </w:pPr>
    </w:p>
    <w:p w14:paraId="3173332F">
      <w:pPr>
        <w:spacing w:line="311" w:lineRule="auto"/>
        <w:rPr>
          <w:rFonts w:ascii="Arial"/>
          <w:sz w:val="21"/>
        </w:rPr>
      </w:pPr>
    </w:p>
    <w:p w14:paraId="390B49C3">
      <w:pPr>
        <w:spacing w:before="101" w:line="228" w:lineRule="auto"/>
        <w:ind w:left="663"/>
        <w:rPr>
          <w:rFonts w:ascii="黑体" w:hAnsi="黑体" w:eastAsia="黑体" w:cs="黑体"/>
          <w:sz w:val="31"/>
          <w:szCs w:val="31"/>
        </w:rPr>
      </w:pPr>
      <w:r>
        <w:rPr>
          <w:rFonts w:ascii="黑体" w:hAnsi="黑体" w:eastAsia="黑体" w:cs="黑体"/>
          <w:spacing w:val="10"/>
          <w:sz w:val="31"/>
          <w:szCs w:val="31"/>
        </w:rPr>
        <w:t>一、综合预算收支指标情况</w:t>
      </w:r>
    </w:p>
    <w:p w14:paraId="4ADDA182">
      <w:pPr>
        <w:pStyle w:val="2"/>
        <w:spacing w:before="177" w:line="226" w:lineRule="auto"/>
        <w:ind w:left="709"/>
      </w:pPr>
      <w:r>
        <w:rPr>
          <w:rFonts w:ascii="楷体" w:hAnsi="楷体" w:eastAsia="楷体" w:cs="楷体"/>
          <w:b/>
          <w:bCs/>
          <w:spacing w:val="-1"/>
        </w:rPr>
        <w:t>（一）收入预算</w:t>
      </w:r>
      <w:r>
        <w:rPr>
          <w:rFonts w:hint="eastAsia" w:ascii="楷体" w:hAnsi="楷体" w:eastAsia="楷体" w:cs="楷体"/>
          <w:b/>
          <w:bCs/>
          <w:spacing w:val="-1"/>
        </w:rPr>
        <w:t>37</w:t>
      </w:r>
      <w:r>
        <w:rPr>
          <w:rFonts w:hint="eastAsia" w:ascii="楷体" w:hAnsi="楷体" w:eastAsia="楷体" w:cs="楷体"/>
          <w:b/>
          <w:bCs/>
          <w:spacing w:val="-1"/>
          <w:lang w:val="en-US" w:eastAsia="zh-CN"/>
        </w:rPr>
        <w:t>59</w:t>
      </w:r>
      <w:r>
        <w:rPr>
          <w:rFonts w:hint="eastAsia" w:ascii="楷体" w:hAnsi="楷体" w:eastAsia="楷体" w:cs="楷体"/>
          <w:b/>
          <w:bCs/>
          <w:spacing w:val="-1"/>
        </w:rPr>
        <w:t>.96</w:t>
      </w:r>
      <w:r>
        <w:rPr>
          <w:rFonts w:ascii="楷体" w:hAnsi="楷体" w:eastAsia="楷体" w:cs="楷体"/>
          <w:b/>
          <w:bCs/>
          <w:spacing w:val="-1"/>
        </w:rPr>
        <w:t>万元，</w:t>
      </w:r>
      <w:r>
        <w:rPr>
          <w:spacing w:val="-1"/>
        </w:rPr>
        <w:t>其中：</w:t>
      </w:r>
    </w:p>
    <w:p w14:paraId="102DBC63">
      <w:pPr>
        <w:pStyle w:val="2"/>
        <w:spacing w:before="180" w:line="220" w:lineRule="auto"/>
        <w:ind w:left="703"/>
      </w:pPr>
      <w:r>
        <w:rPr>
          <w:spacing w:val="3"/>
        </w:rPr>
        <w:t>1.一般公共预算拨款收入</w:t>
      </w:r>
      <w:r>
        <w:rPr>
          <w:rFonts w:hint="eastAsia"/>
          <w:spacing w:val="3"/>
        </w:rPr>
        <w:t>3759.96</w:t>
      </w:r>
      <w:r>
        <w:rPr>
          <w:spacing w:val="3"/>
        </w:rPr>
        <w:t>万元；</w:t>
      </w:r>
    </w:p>
    <w:p w14:paraId="0FBD20DB">
      <w:pPr>
        <w:pStyle w:val="2"/>
        <w:spacing w:before="191" w:line="220" w:lineRule="auto"/>
        <w:ind w:left="695"/>
      </w:pPr>
      <w:r>
        <w:rPr>
          <w:spacing w:val="4"/>
        </w:rPr>
        <w:t>2.政府性基金预算拨款收入</w:t>
      </w:r>
      <w:r>
        <w:rPr>
          <w:rFonts w:hint="eastAsia"/>
          <w:lang w:val="en-US" w:eastAsia="zh-CN"/>
        </w:rPr>
        <w:t>0</w:t>
      </w:r>
      <w:r>
        <w:rPr>
          <w:spacing w:val="4"/>
        </w:rPr>
        <w:t>万元；</w:t>
      </w:r>
    </w:p>
    <w:p w14:paraId="71AD122D">
      <w:pPr>
        <w:pStyle w:val="2"/>
        <w:spacing w:before="190" w:line="317" w:lineRule="auto"/>
        <w:ind w:left="698" w:right="2099" w:firstLine="13"/>
        <w:rPr>
          <w:spacing w:val="2"/>
        </w:rPr>
      </w:pPr>
      <w:r>
        <w:rPr>
          <w:spacing w:val="2"/>
        </w:rPr>
        <w:t>3.国有资本经营预算拨款收入</w:t>
      </w:r>
      <w:r>
        <w:rPr>
          <w:rFonts w:hint="eastAsia"/>
          <w:lang w:val="en-US" w:eastAsia="zh-CN"/>
        </w:rPr>
        <w:t>0</w:t>
      </w:r>
      <w:r>
        <w:rPr>
          <w:spacing w:val="2"/>
        </w:rPr>
        <w:t>万元；</w:t>
      </w:r>
    </w:p>
    <w:p w14:paraId="7626C07F">
      <w:pPr>
        <w:pStyle w:val="2"/>
        <w:spacing w:before="190" w:line="317" w:lineRule="auto"/>
        <w:ind w:left="698" w:right="2099" w:firstLine="13"/>
      </w:pPr>
      <w:r>
        <w:rPr>
          <w:spacing w:val="4"/>
        </w:rPr>
        <w:t>4.财政专户管理资金收入</w:t>
      </w:r>
      <w:r>
        <w:rPr>
          <w:rFonts w:hint="eastAsia"/>
          <w:lang w:val="en-US" w:eastAsia="zh-CN"/>
        </w:rPr>
        <w:t>0</w:t>
      </w:r>
      <w:r>
        <w:rPr>
          <w:spacing w:val="4"/>
        </w:rPr>
        <w:t>万元；</w:t>
      </w:r>
    </w:p>
    <w:p w14:paraId="5918299A">
      <w:pPr>
        <w:pStyle w:val="2"/>
        <w:spacing w:before="59" w:line="322" w:lineRule="auto"/>
        <w:ind w:left="30" w:right="7" w:firstLine="656"/>
      </w:pPr>
      <w:r>
        <w:rPr>
          <w:spacing w:val="4"/>
        </w:rPr>
        <w:t>5.单位资金收入</w:t>
      </w:r>
      <w:r>
        <w:rPr>
          <w:rFonts w:hint="eastAsia"/>
          <w:lang w:val="en-US" w:eastAsia="zh-CN"/>
        </w:rPr>
        <w:t>0</w:t>
      </w:r>
      <w:r>
        <w:rPr>
          <w:spacing w:val="4"/>
        </w:rPr>
        <w:t>万元，其中：事业收入</w:t>
      </w:r>
      <w:r>
        <w:rPr>
          <w:rFonts w:hint="eastAsia"/>
          <w:lang w:val="en-US" w:eastAsia="zh-CN"/>
        </w:rPr>
        <w:t>0</w:t>
      </w:r>
      <w:r>
        <w:rPr>
          <w:spacing w:val="4"/>
        </w:rPr>
        <w:t>万元，事</w:t>
      </w:r>
      <w:r>
        <w:rPr>
          <w:spacing w:val="5"/>
        </w:rPr>
        <w:t>业单位经营收入</w:t>
      </w:r>
      <w:r>
        <w:rPr>
          <w:rFonts w:hint="eastAsia"/>
          <w:lang w:val="en-US" w:eastAsia="zh-CN"/>
        </w:rPr>
        <w:t>0</w:t>
      </w:r>
      <w:r>
        <w:rPr>
          <w:spacing w:val="5"/>
        </w:rPr>
        <w:t>万元，上级补助收入</w:t>
      </w:r>
      <w:r>
        <w:rPr>
          <w:rFonts w:hint="eastAsia"/>
          <w:lang w:val="en-US" w:eastAsia="zh-CN"/>
        </w:rPr>
        <w:t>0</w:t>
      </w:r>
      <w:r>
        <w:rPr>
          <w:spacing w:val="5"/>
        </w:rPr>
        <w:t>万元，附属单位</w:t>
      </w:r>
      <w:r>
        <w:rPr>
          <w:spacing w:val="2"/>
        </w:rPr>
        <w:t>上缴收入</w:t>
      </w:r>
      <w:r>
        <w:rPr>
          <w:rFonts w:hint="eastAsia"/>
          <w:lang w:val="en-US" w:eastAsia="zh-CN"/>
        </w:rPr>
        <w:t>0</w:t>
      </w:r>
      <w:r>
        <w:rPr>
          <w:spacing w:val="2"/>
        </w:rPr>
        <w:t>万元，其他收入</w:t>
      </w:r>
      <w:r>
        <w:rPr>
          <w:rFonts w:hint="eastAsia"/>
          <w:lang w:val="en-US" w:eastAsia="zh-CN"/>
        </w:rPr>
        <w:t>0</w:t>
      </w:r>
      <w:r>
        <w:rPr>
          <w:spacing w:val="2"/>
        </w:rPr>
        <w:t>万元；</w:t>
      </w:r>
    </w:p>
    <w:p w14:paraId="2C8F578E">
      <w:pPr>
        <w:pStyle w:val="2"/>
        <w:spacing w:before="58" w:line="322" w:lineRule="auto"/>
        <w:ind w:left="17" w:right="7" w:firstLine="669"/>
      </w:pPr>
      <w:r>
        <w:rPr>
          <w:spacing w:val="12"/>
        </w:rPr>
        <w:t>6.上年结转结余</w:t>
      </w:r>
      <w:r>
        <w:rPr>
          <w:rFonts w:hint="eastAsia"/>
          <w:lang w:val="en-US" w:eastAsia="zh-CN"/>
        </w:rPr>
        <w:t>0</w:t>
      </w:r>
      <w:r>
        <w:rPr>
          <w:spacing w:val="12"/>
        </w:rPr>
        <w:t>万元，其中上年财政专户管理资金</w:t>
      </w:r>
      <w:r>
        <w:rPr>
          <w:spacing w:val="6"/>
        </w:rPr>
        <w:t>超收收入</w:t>
      </w:r>
      <w:r>
        <w:rPr>
          <w:rFonts w:hint="eastAsia"/>
          <w:lang w:val="en-US" w:eastAsia="zh-CN"/>
        </w:rPr>
        <w:t>0</w:t>
      </w:r>
      <w:r>
        <w:rPr>
          <w:spacing w:val="6"/>
        </w:rPr>
        <w:t>万元，政府性基金预算超收收入</w:t>
      </w:r>
      <w:r>
        <w:rPr>
          <w:rFonts w:hint="eastAsia"/>
          <w:lang w:val="en-US" w:eastAsia="zh-CN"/>
        </w:rPr>
        <w:t>0</w:t>
      </w:r>
      <w:r>
        <w:rPr>
          <w:spacing w:val="6"/>
        </w:rPr>
        <w:t>万元，单位</w:t>
      </w:r>
      <w:r>
        <w:rPr>
          <w:spacing w:val="2"/>
        </w:rPr>
        <w:t>资金超收收入</w:t>
      </w:r>
      <w:r>
        <w:rPr>
          <w:rFonts w:hint="eastAsia"/>
          <w:lang w:val="en-US" w:eastAsia="zh-CN"/>
        </w:rPr>
        <w:t>0</w:t>
      </w:r>
      <w:r>
        <w:rPr>
          <w:spacing w:val="2"/>
        </w:rPr>
        <w:t>万元。</w:t>
      </w:r>
    </w:p>
    <w:p w14:paraId="0B04D0FC">
      <w:pPr>
        <w:pStyle w:val="2"/>
        <w:spacing w:before="55" w:line="226" w:lineRule="auto"/>
        <w:ind w:left="712"/>
      </w:pPr>
      <w:r>
        <w:rPr>
          <w:rFonts w:ascii="楷体" w:hAnsi="楷体" w:eastAsia="楷体" w:cs="楷体"/>
          <w:b/>
          <w:bCs/>
          <w:spacing w:val="-1"/>
        </w:rPr>
        <w:t>（二）支出预算</w:t>
      </w:r>
      <w:r>
        <w:rPr>
          <w:rFonts w:hint="eastAsia" w:ascii="楷体" w:hAnsi="楷体" w:eastAsia="楷体" w:cs="楷体"/>
          <w:b/>
          <w:bCs/>
          <w:spacing w:val="-1"/>
        </w:rPr>
        <w:t>37</w:t>
      </w:r>
      <w:r>
        <w:rPr>
          <w:rFonts w:hint="eastAsia" w:ascii="楷体" w:hAnsi="楷体" w:eastAsia="楷体" w:cs="楷体"/>
          <w:b/>
          <w:bCs/>
          <w:spacing w:val="-1"/>
          <w:lang w:val="en-US" w:eastAsia="zh-CN"/>
        </w:rPr>
        <w:t>59</w:t>
      </w:r>
      <w:r>
        <w:rPr>
          <w:rFonts w:hint="eastAsia" w:ascii="楷体" w:hAnsi="楷体" w:eastAsia="楷体" w:cs="楷体"/>
          <w:b/>
          <w:bCs/>
          <w:spacing w:val="-1"/>
        </w:rPr>
        <w:t>.96</w:t>
      </w:r>
      <w:r>
        <w:rPr>
          <w:rFonts w:ascii="楷体" w:hAnsi="楷体" w:eastAsia="楷体" w:cs="楷体"/>
          <w:b/>
          <w:bCs/>
          <w:spacing w:val="-1"/>
        </w:rPr>
        <w:t>万元，</w:t>
      </w:r>
      <w:r>
        <w:rPr>
          <w:spacing w:val="-1"/>
        </w:rPr>
        <w:t>其中：</w:t>
      </w:r>
    </w:p>
    <w:p w14:paraId="62E9E1CD">
      <w:pPr>
        <w:pStyle w:val="2"/>
        <w:spacing w:before="180" w:line="219" w:lineRule="auto"/>
        <w:ind w:left="691"/>
      </w:pPr>
      <w:r>
        <w:rPr>
          <w:spacing w:val="1"/>
        </w:rPr>
        <w:t>1.基本支出</w:t>
      </w:r>
      <w:r>
        <w:rPr>
          <w:rFonts w:hint="eastAsia"/>
          <w:lang w:val="en-US" w:eastAsia="zh-CN"/>
        </w:rPr>
        <w:t>678.4</w:t>
      </w:r>
      <w:r>
        <w:rPr>
          <w:spacing w:val="1"/>
        </w:rPr>
        <w:t>万元；</w:t>
      </w:r>
    </w:p>
    <w:p w14:paraId="5232AA5C">
      <w:pPr>
        <w:pStyle w:val="2"/>
        <w:spacing w:before="192" w:line="219" w:lineRule="auto"/>
        <w:ind w:left="683"/>
      </w:pPr>
      <w:r>
        <w:rPr>
          <w:spacing w:val="3"/>
        </w:rPr>
        <w:t>2.项目支出</w:t>
      </w:r>
      <w:r>
        <w:rPr>
          <w:rFonts w:hint="eastAsia"/>
          <w:lang w:val="en-US" w:eastAsia="zh-CN"/>
        </w:rPr>
        <w:t>3081.56</w:t>
      </w:r>
      <w:r>
        <w:rPr>
          <w:spacing w:val="3"/>
        </w:rPr>
        <w:t>万元。</w:t>
      </w:r>
    </w:p>
    <w:p w14:paraId="013FB49B">
      <w:pPr>
        <w:pStyle w:val="2"/>
        <w:spacing w:before="189" w:line="323" w:lineRule="auto"/>
        <w:ind w:left="23" w:firstLine="651"/>
      </w:pPr>
      <w:r>
        <w:rPr>
          <w:spacing w:val="48"/>
        </w:rPr>
        <w:t>在支出预算中债务支出</w:t>
      </w:r>
      <w:r>
        <w:rPr>
          <w:rFonts w:hint="eastAsia"/>
          <w:lang w:val="en-US" w:eastAsia="zh-CN"/>
        </w:rPr>
        <w:t>0</w:t>
      </w:r>
      <w:r>
        <w:rPr>
          <w:spacing w:val="48"/>
        </w:rPr>
        <w:t>万元；政府采购支出</w:t>
      </w:r>
      <w:r>
        <w:rPr>
          <w:rFonts w:hint="eastAsia"/>
          <w:lang w:val="en-US" w:eastAsia="zh-CN"/>
        </w:rPr>
        <w:t>0</w:t>
      </w:r>
      <w:r>
        <w:rPr>
          <w:spacing w:val="10"/>
        </w:rPr>
        <w:t>万元；政府购买服务支出</w:t>
      </w:r>
      <w:r>
        <w:rPr>
          <w:rFonts w:hint="eastAsia"/>
          <w:lang w:val="en-US" w:eastAsia="zh-CN"/>
        </w:rPr>
        <w:t>0</w:t>
      </w:r>
      <w:r>
        <w:rPr>
          <w:spacing w:val="10"/>
        </w:rPr>
        <w:t>万元；纳入预算绩效管理的</w:t>
      </w:r>
      <w:r>
        <w:rPr>
          <w:spacing w:val="7"/>
        </w:rPr>
        <w:t>特定目标类和其他运转类项目共</w:t>
      </w:r>
      <w:r>
        <w:rPr>
          <w:rFonts w:hint="eastAsia"/>
          <w:lang w:val="en-US" w:eastAsia="zh-CN"/>
        </w:rPr>
        <w:t>5</w:t>
      </w:r>
      <w:r>
        <w:rPr>
          <w:spacing w:val="7"/>
        </w:rPr>
        <w:t>个，涉及资金</w:t>
      </w:r>
      <w:r>
        <w:rPr>
          <w:rFonts w:hint="eastAsia"/>
          <w:lang w:val="en-US" w:eastAsia="zh-CN"/>
        </w:rPr>
        <w:t>3081.56</w:t>
      </w:r>
      <w:r>
        <w:rPr>
          <w:spacing w:val="7"/>
        </w:rPr>
        <w:t>万元。</w:t>
      </w:r>
    </w:p>
    <w:p w14:paraId="49BEFAFC">
      <w:pPr>
        <w:spacing w:line="360" w:lineRule="auto"/>
        <w:ind w:firstLine="640" w:firstLineChars="200"/>
        <w:rPr>
          <w:rFonts w:ascii="仿宋" w:hAnsi="仿宋" w:eastAsia="仿宋" w:cs="仿宋"/>
          <w:sz w:val="32"/>
        </w:rPr>
      </w:pPr>
      <w:r>
        <w:rPr>
          <w:rFonts w:hint="eastAsia" w:ascii="仿宋" w:hAnsi="仿宋" w:eastAsia="仿宋" w:cs="仿宋"/>
          <w:sz w:val="32"/>
          <w:highlight w:val="none"/>
          <w:lang w:val="en-US" w:eastAsia="zh-CN"/>
        </w:rPr>
        <w:t>2025年预算同</w:t>
      </w:r>
      <w:r>
        <w:rPr>
          <w:rFonts w:hint="eastAsia" w:ascii="仿宋" w:hAnsi="仿宋" w:eastAsia="仿宋" w:cs="仿宋"/>
          <w:sz w:val="32"/>
          <w:highlight w:val="none"/>
        </w:rPr>
        <w:t>20</w:t>
      </w:r>
      <w:r>
        <w:rPr>
          <w:rFonts w:hint="eastAsia" w:ascii="仿宋" w:hAnsi="仿宋" w:eastAsia="仿宋" w:cs="仿宋"/>
          <w:sz w:val="32"/>
          <w:highlight w:val="none"/>
          <w:lang w:val="en-US" w:eastAsia="zh-CN"/>
        </w:rPr>
        <w:t>24</w:t>
      </w:r>
      <w:r>
        <w:rPr>
          <w:rFonts w:hint="eastAsia" w:ascii="仿宋" w:hAnsi="仿宋" w:eastAsia="仿宋" w:cs="仿宋"/>
          <w:sz w:val="32"/>
          <w:highlight w:val="none"/>
        </w:rPr>
        <w:t>年</w:t>
      </w:r>
      <w:r>
        <w:rPr>
          <w:rFonts w:hint="eastAsia" w:ascii="仿宋" w:hAnsi="仿宋" w:eastAsia="仿宋" w:cs="仿宋"/>
          <w:sz w:val="32"/>
          <w:highlight w:val="none"/>
          <w:lang w:eastAsia="zh-CN"/>
        </w:rPr>
        <w:t>比较</w:t>
      </w:r>
      <w:r>
        <w:rPr>
          <w:rFonts w:hint="eastAsia" w:ascii="仿宋" w:hAnsi="仿宋" w:eastAsia="仿宋" w:cs="仿宋"/>
          <w:sz w:val="32"/>
          <w:highlight w:val="none"/>
        </w:rPr>
        <w:t>，收入</w:t>
      </w:r>
      <w:r>
        <w:rPr>
          <w:rFonts w:hint="eastAsia" w:ascii="仿宋" w:hAnsi="仿宋" w:eastAsia="仿宋" w:cs="仿宋"/>
          <w:sz w:val="32"/>
          <w:highlight w:val="none"/>
          <w:lang w:val="en-US" w:eastAsia="zh-CN"/>
        </w:rPr>
        <w:t>减少2021.83</w:t>
      </w:r>
      <w:r>
        <w:rPr>
          <w:rFonts w:hint="eastAsia" w:ascii="仿宋" w:hAnsi="仿宋" w:eastAsia="仿宋" w:cs="仿宋"/>
          <w:sz w:val="32"/>
          <w:highlight w:val="none"/>
        </w:rPr>
        <w:t>万元，</w:t>
      </w:r>
      <w:r>
        <w:rPr>
          <w:rFonts w:hint="eastAsia" w:ascii="仿宋" w:hAnsi="仿宋" w:eastAsia="仿宋" w:cs="仿宋"/>
          <w:sz w:val="32"/>
          <w:highlight w:val="none"/>
          <w:lang w:val="en-US" w:eastAsia="zh-CN"/>
        </w:rPr>
        <w:t>减少34.93</w:t>
      </w:r>
      <w:r>
        <w:rPr>
          <w:rFonts w:hint="eastAsia" w:ascii="仿宋" w:hAnsi="仿宋" w:eastAsia="仿宋" w:cs="仿宋"/>
          <w:sz w:val="32"/>
          <w:highlight w:val="none"/>
        </w:rPr>
        <w:t>%；支出</w:t>
      </w:r>
      <w:r>
        <w:rPr>
          <w:rFonts w:hint="eastAsia" w:ascii="仿宋" w:hAnsi="仿宋" w:eastAsia="仿宋" w:cs="仿宋"/>
          <w:sz w:val="32"/>
          <w:highlight w:val="none"/>
          <w:lang w:val="en-US" w:eastAsia="zh-CN"/>
        </w:rPr>
        <w:t>减少2021.83</w:t>
      </w:r>
      <w:r>
        <w:rPr>
          <w:rFonts w:hint="eastAsia" w:ascii="仿宋" w:hAnsi="仿宋" w:eastAsia="仿宋" w:cs="仿宋"/>
          <w:sz w:val="32"/>
          <w:highlight w:val="none"/>
        </w:rPr>
        <w:t>万元，</w:t>
      </w:r>
      <w:r>
        <w:rPr>
          <w:rFonts w:hint="eastAsia" w:ascii="仿宋" w:hAnsi="仿宋" w:eastAsia="仿宋" w:cs="仿宋"/>
          <w:sz w:val="32"/>
          <w:highlight w:val="none"/>
          <w:lang w:val="en-US" w:eastAsia="zh-CN"/>
        </w:rPr>
        <w:t>减少34.93</w:t>
      </w:r>
      <w:r>
        <w:rPr>
          <w:rFonts w:hint="eastAsia" w:ascii="仿宋" w:hAnsi="仿宋" w:eastAsia="仿宋" w:cs="仿宋"/>
          <w:sz w:val="32"/>
          <w:highlight w:val="none"/>
        </w:rPr>
        <w:t>%。</w:t>
      </w:r>
      <w:r>
        <w:rPr>
          <w:rFonts w:hint="eastAsia" w:ascii="仿宋" w:hAnsi="仿宋" w:eastAsia="仿宋" w:cs="仿宋"/>
          <w:sz w:val="32"/>
          <w:highlight w:val="none"/>
          <w:lang w:eastAsia="zh-CN"/>
        </w:rPr>
        <w:t>增减</w:t>
      </w:r>
      <w:r>
        <w:rPr>
          <w:rFonts w:hint="eastAsia" w:ascii="仿宋" w:hAnsi="仿宋" w:eastAsia="仿宋" w:cs="仿宋"/>
          <w:sz w:val="32"/>
          <w:lang w:eastAsia="zh-CN"/>
        </w:rPr>
        <w:t>变化的主要</w:t>
      </w:r>
      <w:r>
        <w:rPr>
          <w:rFonts w:hint="eastAsia" w:ascii="仿宋" w:hAnsi="仿宋" w:eastAsia="仿宋" w:cs="仿宋"/>
          <w:sz w:val="32"/>
        </w:rPr>
        <w:t>原因是</w:t>
      </w:r>
      <w:r>
        <w:rPr>
          <w:rFonts w:hint="eastAsia" w:ascii="仿宋" w:hAnsi="仿宋" w:eastAsia="仿宋" w:cs="仿宋"/>
          <w:sz w:val="32"/>
          <w:lang w:eastAsia="zh-CN"/>
        </w:rPr>
        <w:t>项目支出减少</w:t>
      </w:r>
      <w:r>
        <w:rPr>
          <w:rFonts w:hint="eastAsia" w:ascii="仿宋" w:hAnsi="仿宋" w:eastAsia="仿宋" w:cs="仿宋"/>
          <w:sz w:val="32"/>
        </w:rPr>
        <w:t>。</w:t>
      </w:r>
    </w:p>
    <w:p w14:paraId="77C342FD">
      <w:pPr>
        <w:spacing w:line="360" w:lineRule="auto"/>
        <w:ind w:firstLine="640" w:firstLineChars="200"/>
        <w:rPr>
          <w:rFonts w:hint="default" w:ascii="仿宋" w:hAnsi="仿宋" w:eastAsia="仿宋" w:cs="仿宋"/>
          <w:sz w:val="32"/>
          <w:highlight w:val="yellow"/>
          <w:lang w:val="en-US" w:eastAsia="zh-CN"/>
        </w:rPr>
      </w:pPr>
    </w:p>
    <w:p w14:paraId="51FE213A">
      <w:pPr>
        <w:numPr>
          <w:ilvl w:val="0"/>
          <w:numId w:val="1"/>
        </w:numPr>
        <w:spacing w:before="50" w:line="228" w:lineRule="auto"/>
        <w:ind w:left="676"/>
        <w:rPr>
          <w:rFonts w:ascii="黑体" w:hAnsi="黑体" w:eastAsia="黑体" w:cs="黑体"/>
          <w:spacing w:val="11"/>
          <w:sz w:val="31"/>
          <w:szCs w:val="31"/>
        </w:rPr>
      </w:pPr>
      <w:r>
        <w:rPr>
          <w:rFonts w:ascii="黑体" w:hAnsi="黑体" w:eastAsia="黑体" w:cs="黑体"/>
          <w:spacing w:val="11"/>
          <w:sz w:val="31"/>
          <w:szCs w:val="31"/>
        </w:rPr>
        <w:t>部门管理专项资金情况</w:t>
      </w:r>
    </w:p>
    <w:p w14:paraId="16C6B52A">
      <w:pPr>
        <w:pStyle w:val="2"/>
        <w:keepNext w:val="0"/>
        <w:keepLines w:val="0"/>
        <w:pageBreakBefore w:val="0"/>
        <w:widowControl/>
        <w:kinsoku w:val="0"/>
        <w:wordWrap/>
        <w:overflowPunct/>
        <w:topLinePunct w:val="0"/>
        <w:autoSpaceDE w:val="0"/>
        <w:autoSpaceDN w:val="0"/>
        <w:bidi w:val="0"/>
        <w:adjustRightInd w:val="0"/>
        <w:snapToGrid w:val="0"/>
        <w:spacing w:before="179" w:line="322" w:lineRule="auto"/>
        <w:ind w:firstLine="636" w:firstLineChars="200"/>
        <w:textAlignment w:val="baseline"/>
        <w:rPr>
          <w:spacing w:val="10"/>
        </w:rPr>
      </w:pPr>
      <w:r>
        <w:rPr>
          <w:rFonts w:hint="eastAsia"/>
          <w:spacing w:val="4"/>
          <w:lang w:val="en-US" w:eastAsia="zh-CN"/>
        </w:rPr>
        <w:t>2025年，盘锦市双台子区人社局部门管理专项资金共0个，涉及资金0万元。</w:t>
      </w:r>
    </w:p>
    <w:p w14:paraId="5EB7754C">
      <w:pPr>
        <w:spacing w:before="50" w:line="228" w:lineRule="auto"/>
        <w:ind w:left="674"/>
        <w:rPr>
          <w:rFonts w:ascii="黑体" w:hAnsi="黑体" w:eastAsia="黑体" w:cs="黑体"/>
          <w:sz w:val="31"/>
          <w:szCs w:val="31"/>
        </w:rPr>
      </w:pPr>
      <w:r>
        <w:rPr>
          <w:rFonts w:ascii="黑体" w:hAnsi="黑体" w:eastAsia="黑体" w:cs="黑体"/>
          <w:spacing w:val="11"/>
          <w:sz w:val="31"/>
          <w:szCs w:val="31"/>
        </w:rPr>
        <w:t>三、机关运行经费安排情况</w:t>
      </w:r>
    </w:p>
    <w:p w14:paraId="568ED2B5">
      <w:pPr>
        <w:pStyle w:val="2"/>
        <w:spacing w:before="178" w:line="318" w:lineRule="auto"/>
        <w:ind w:left="13" w:right="11" w:firstLine="671"/>
        <w:rPr>
          <w:highlight w:val="none"/>
        </w:rPr>
      </w:pPr>
      <w:r>
        <w:rPr>
          <w:rFonts w:hint="eastAsia"/>
          <w:spacing w:val="12"/>
          <w:highlight w:val="none"/>
          <w:lang w:val="en-US" w:eastAsia="zh-CN"/>
        </w:rPr>
        <w:t>2025</w:t>
      </w:r>
      <w:r>
        <w:rPr>
          <w:spacing w:val="12"/>
          <w:highlight w:val="none"/>
        </w:rPr>
        <w:t>年</w:t>
      </w:r>
      <w:r>
        <w:rPr>
          <w:rFonts w:hint="eastAsia"/>
          <w:spacing w:val="12"/>
          <w:highlight w:val="none"/>
          <w:lang w:eastAsia="zh-CN"/>
        </w:rPr>
        <w:t>盘锦市双台子区</w:t>
      </w:r>
      <w:r>
        <w:rPr>
          <w:rFonts w:hint="eastAsia"/>
          <w:spacing w:val="12"/>
          <w:highlight w:val="none"/>
          <w:lang w:val="en-US" w:eastAsia="zh-CN"/>
        </w:rPr>
        <w:t>人社局部门</w:t>
      </w:r>
      <w:r>
        <w:rPr>
          <w:spacing w:val="12"/>
          <w:highlight w:val="none"/>
        </w:rPr>
        <w:t>运行经费预算为</w:t>
      </w:r>
      <w:r>
        <w:rPr>
          <w:rFonts w:hint="eastAsia"/>
          <w:spacing w:val="12"/>
          <w:highlight w:val="none"/>
          <w:lang w:val="en-US" w:eastAsia="zh-CN"/>
        </w:rPr>
        <w:t>41.33</w:t>
      </w:r>
      <w:r>
        <w:rPr>
          <w:spacing w:val="12"/>
          <w:highlight w:val="none"/>
        </w:rPr>
        <w:t>万元，主要包括</w:t>
      </w:r>
      <w:r>
        <w:rPr>
          <w:rFonts w:hint="eastAsia"/>
          <w:spacing w:val="12"/>
          <w:highlight w:val="none"/>
        </w:rPr>
        <w:t>办公费</w:t>
      </w:r>
      <w:r>
        <w:rPr>
          <w:rFonts w:hint="eastAsia"/>
          <w:spacing w:val="12"/>
          <w:highlight w:val="none"/>
          <w:lang w:val="en-US" w:eastAsia="zh-CN"/>
        </w:rPr>
        <w:t>20.14万元，委托业务费0.9万元，工会经费8.01万元，福利费0.64万元，其他交通费用5.64万元，公务用车运行维护费6万元</w:t>
      </w:r>
      <w:r>
        <w:rPr>
          <w:spacing w:val="12"/>
          <w:highlight w:val="none"/>
        </w:rPr>
        <w:t>。</w:t>
      </w:r>
    </w:p>
    <w:p w14:paraId="21527A44">
      <w:pPr>
        <w:spacing w:before="51" w:line="229" w:lineRule="auto"/>
        <w:ind w:left="702"/>
        <w:rPr>
          <w:rFonts w:ascii="黑体" w:hAnsi="黑体" w:eastAsia="黑体" w:cs="黑体"/>
          <w:sz w:val="31"/>
          <w:szCs w:val="31"/>
        </w:rPr>
      </w:pPr>
      <w:r>
        <w:rPr>
          <w:rFonts w:ascii="黑体" w:hAnsi="黑体" w:eastAsia="黑体" w:cs="黑体"/>
          <w:spacing w:val="9"/>
          <w:sz w:val="31"/>
          <w:szCs w:val="31"/>
        </w:rPr>
        <w:t>四、政府采购情况</w:t>
      </w:r>
    </w:p>
    <w:p w14:paraId="64A184EA">
      <w:pPr>
        <w:pStyle w:val="2"/>
        <w:spacing w:before="173" w:line="323" w:lineRule="auto"/>
        <w:ind w:left="25" w:right="5" w:firstLine="663"/>
        <w:rPr>
          <w:spacing w:val="6"/>
        </w:rPr>
      </w:pPr>
      <w:r>
        <w:rPr>
          <w:rFonts w:hint="eastAsia"/>
          <w:spacing w:val="6"/>
          <w:lang w:val="en-US" w:eastAsia="zh-CN"/>
        </w:rPr>
        <w:t>2025年盘锦市双台子区人社局部门安排政府采购预算0万元，具体为货物0万元，服务0万元，工程0万元；预留面向中小企业采购份额0万元，其中预留给小微企业0万元。</w:t>
      </w:r>
    </w:p>
    <w:p w14:paraId="42DAA6A5">
      <w:pPr>
        <w:spacing w:before="53" w:line="228" w:lineRule="auto"/>
        <w:ind w:left="691"/>
        <w:rPr>
          <w:rFonts w:ascii="黑体" w:hAnsi="黑体" w:eastAsia="黑体" w:cs="黑体"/>
          <w:sz w:val="31"/>
          <w:szCs w:val="31"/>
        </w:rPr>
      </w:pPr>
      <w:r>
        <w:rPr>
          <w:rFonts w:ascii="黑体" w:hAnsi="黑体" w:eastAsia="黑体" w:cs="黑体"/>
          <w:spacing w:val="-3"/>
          <w:sz w:val="31"/>
          <w:szCs w:val="31"/>
        </w:rPr>
        <w:t>五、“三公”经费预算情况</w:t>
      </w:r>
    </w:p>
    <w:p w14:paraId="06A9A6A4">
      <w:pPr>
        <w:pStyle w:val="2"/>
        <w:spacing w:before="181" w:line="322" w:lineRule="auto"/>
        <w:ind w:left="27" w:right="12" w:firstLine="673"/>
        <w:rPr>
          <w:rFonts w:hint="eastAsia"/>
          <w:spacing w:val="10"/>
          <w:highlight w:val="none"/>
          <w:lang w:eastAsia="zh-CN"/>
        </w:rPr>
      </w:pPr>
      <w:r>
        <w:rPr>
          <w:rFonts w:hint="eastAsia"/>
          <w:spacing w:val="10"/>
          <w:highlight w:val="none"/>
          <w:lang w:val="en-US" w:eastAsia="zh-CN"/>
        </w:rPr>
        <w:t>2025</w:t>
      </w:r>
      <w:r>
        <w:rPr>
          <w:rFonts w:hint="eastAsia"/>
          <w:spacing w:val="10"/>
          <w:highlight w:val="none"/>
          <w:lang w:eastAsia="zh-CN"/>
        </w:rPr>
        <w:t>年，盘锦市双台子区</w:t>
      </w:r>
      <w:r>
        <w:rPr>
          <w:rFonts w:hint="eastAsia"/>
          <w:spacing w:val="10"/>
          <w:highlight w:val="none"/>
          <w:lang w:val="en-US" w:eastAsia="zh-CN"/>
        </w:rPr>
        <w:t>人社局部门</w:t>
      </w:r>
      <w:r>
        <w:rPr>
          <w:rFonts w:hint="eastAsia"/>
          <w:spacing w:val="10"/>
          <w:highlight w:val="none"/>
          <w:lang w:eastAsia="zh-CN"/>
        </w:rPr>
        <w:t>财政拨款预算安排的“三公”经费预算为</w:t>
      </w:r>
      <w:r>
        <w:rPr>
          <w:rFonts w:hint="eastAsia"/>
          <w:spacing w:val="10"/>
          <w:highlight w:val="none"/>
          <w:lang w:val="en-US" w:eastAsia="zh-CN"/>
        </w:rPr>
        <w:t>6</w:t>
      </w:r>
      <w:r>
        <w:rPr>
          <w:rFonts w:hint="eastAsia"/>
          <w:spacing w:val="10"/>
          <w:highlight w:val="none"/>
          <w:lang w:eastAsia="zh-CN"/>
        </w:rPr>
        <w:t>万元，比上年减少（增加）</w:t>
      </w:r>
      <w:r>
        <w:rPr>
          <w:rFonts w:hint="eastAsia"/>
          <w:spacing w:val="10"/>
          <w:highlight w:val="none"/>
          <w:lang w:val="en-US" w:eastAsia="zh-CN"/>
        </w:rPr>
        <w:t>0</w:t>
      </w:r>
      <w:r>
        <w:rPr>
          <w:rFonts w:hint="eastAsia"/>
          <w:spacing w:val="10"/>
          <w:highlight w:val="none"/>
          <w:lang w:eastAsia="zh-CN"/>
        </w:rPr>
        <w:t>万元，下降（增长）</w:t>
      </w:r>
      <w:r>
        <w:rPr>
          <w:rFonts w:hint="eastAsia"/>
          <w:spacing w:val="10"/>
          <w:highlight w:val="none"/>
          <w:lang w:val="en-US" w:eastAsia="zh-CN"/>
        </w:rPr>
        <w:t>0</w:t>
      </w:r>
      <w:r>
        <w:rPr>
          <w:rFonts w:hint="eastAsia"/>
          <w:spacing w:val="10"/>
          <w:highlight w:val="none"/>
          <w:lang w:eastAsia="zh-CN"/>
        </w:rPr>
        <w:t>%。其中：</w:t>
      </w:r>
    </w:p>
    <w:p w14:paraId="154D9BB1">
      <w:pPr>
        <w:pStyle w:val="2"/>
        <w:spacing w:before="53" w:line="319" w:lineRule="auto"/>
        <w:ind w:left="40" w:right="66" w:firstLine="662"/>
        <w:rPr>
          <w:rFonts w:hint="eastAsia"/>
          <w:spacing w:val="10"/>
          <w:lang w:eastAsia="zh-CN"/>
        </w:rPr>
      </w:pPr>
      <w:r>
        <w:rPr>
          <w:rFonts w:hint="eastAsia"/>
          <w:spacing w:val="10"/>
          <w:lang w:eastAsia="zh-CN"/>
        </w:rPr>
        <w:t>1.因公出国（境）费</w:t>
      </w:r>
      <w:r>
        <w:rPr>
          <w:rFonts w:hint="eastAsia"/>
          <w:spacing w:val="10"/>
          <w:lang w:val="en-US" w:eastAsia="zh-CN"/>
        </w:rPr>
        <w:t>0</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%。主要原因为</w:t>
      </w:r>
      <w:r>
        <w:rPr>
          <w:rFonts w:hint="eastAsia"/>
          <w:spacing w:val="10"/>
          <w:lang w:val="en-US" w:eastAsia="zh-CN"/>
        </w:rPr>
        <w:t>0</w:t>
      </w:r>
      <w:r>
        <w:rPr>
          <w:rFonts w:hint="eastAsia"/>
          <w:spacing w:val="10"/>
          <w:lang w:eastAsia="zh-CN"/>
        </w:rPr>
        <w:t>。</w:t>
      </w:r>
    </w:p>
    <w:p w14:paraId="19895A28">
      <w:pPr>
        <w:pStyle w:val="2"/>
        <w:spacing w:before="53" w:line="319" w:lineRule="auto"/>
        <w:ind w:left="40" w:right="66" w:firstLine="662"/>
        <w:rPr>
          <w:rFonts w:hint="eastAsia"/>
          <w:spacing w:val="10"/>
          <w:lang w:eastAsia="zh-CN"/>
        </w:rPr>
      </w:pPr>
      <w:r>
        <w:rPr>
          <w:rFonts w:hint="eastAsia"/>
          <w:spacing w:val="10"/>
          <w:lang w:eastAsia="zh-CN"/>
        </w:rPr>
        <w:t>2.公务接待费</w:t>
      </w:r>
      <w:r>
        <w:rPr>
          <w:rFonts w:hint="eastAsia"/>
          <w:spacing w:val="10"/>
          <w:lang w:val="en-US" w:eastAsia="zh-CN"/>
        </w:rPr>
        <w:t>0</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%。主要原因为</w:t>
      </w:r>
      <w:r>
        <w:rPr>
          <w:rFonts w:hint="eastAsia"/>
          <w:spacing w:val="10"/>
          <w:lang w:val="en-US" w:eastAsia="zh-CN"/>
        </w:rPr>
        <w:t>0</w:t>
      </w:r>
      <w:r>
        <w:rPr>
          <w:rFonts w:hint="eastAsia"/>
          <w:spacing w:val="10"/>
          <w:lang w:eastAsia="zh-CN"/>
        </w:rPr>
        <w:t>。</w:t>
      </w:r>
    </w:p>
    <w:p w14:paraId="50247DB1">
      <w:pPr>
        <w:pStyle w:val="2"/>
        <w:spacing w:before="53" w:line="319" w:lineRule="auto"/>
        <w:ind w:left="40" w:right="66" w:firstLine="662"/>
        <w:rPr>
          <w:spacing w:val="10"/>
        </w:rPr>
      </w:pPr>
      <w:r>
        <w:rPr>
          <w:rFonts w:hint="eastAsia"/>
          <w:spacing w:val="10"/>
          <w:lang w:eastAsia="zh-CN"/>
        </w:rPr>
        <w:t>3.公务用车购置及运行费</w:t>
      </w:r>
      <w:r>
        <w:rPr>
          <w:rFonts w:hint="eastAsia"/>
          <w:spacing w:val="10"/>
          <w:lang w:val="en-US" w:eastAsia="zh-CN"/>
        </w:rPr>
        <w:t>6</w:t>
      </w:r>
      <w:r>
        <w:rPr>
          <w:rFonts w:hint="eastAsia"/>
          <w:spacing w:val="10"/>
          <w:lang w:eastAsia="zh-CN"/>
        </w:rPr>
        <w:t>万元（其中：公务用车购置费</w:t>
      </w:r>
      <w:r>
        <w:rPr>
          <w:rFonts w:hint="eastAsia"/>
          <w:spacing w:val="10"/>
          <w:lang w:val="en-US" w:eastAsia="zh-CN"/>
        </w:rPr>
        <w:t>0</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%；公务用车运行费</w:t>
      </w:r>
      <w:r>
        <w:rPr>
          <w:rFonts w:hint="eastAsia"/>
          <w:spacing w:val="10"/>
          <w:lang w:val="en-US" w:eastAsia="zh-CN"/>
        </w:rPr>
        <w:t>6</w:t>
      </w:r>
      <w:r>
        <w:rPr>
          <w:rFonts w:hint="eastAsia"/>
          <w:spacing w:val="10"/>
          <w:lang w:eastAsia="zh-CN"/>
        </w:rPr>
        <w:t>万元，比上年减少（增加）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%），比上年减少（增加）</w:t>
      </w:r>
      <w:r>
        <w:rPr>
          <w:rFonts w:hint="eastAsia"/>
          <w:spacing w:val="10"/>
          <w:lang w:val="en-US" w:eastAsia="zh-CN"/>
        </w:rPr>
        <w:t>0</w:t>
      </w:r>
      <w:r>
        <w:rPr>
          <w:rFonts w:hint="eastAsia"/>
          <w:spacing w:val="10"/>
          <w:lang w:eastAsia="zh-CN"/>
        </w:rPr>
        <w:t>万元，下降（增长）</w:t>
      </w:r>
      <w:r>
        <w:rPr>
          <w:rFonts w:hint="eastAsia"/>
          <w:spacing w:val="10"/>
          <w:lang w:val="en-US" w:eastAsia="zh-CN"/>
        </w:rPr>
        <w:t>0</w:t>
      </w:r>
      <w:r>
        <w:rPr>
          <w:rFonts w:hint="eastAsia"/>
          <w:spacing w:val="10"/>
          <w:lang w:eastAsia="zh-CN"/>
        </w:rPr>
        <w:t>%。主要原因是</w:t>
      </w:r>
      <w:r>
        <w:rPr>
          <w:rFonts w:hint="eastAsia"/>
          <w:spacing w:val="10"/>
          <w:lang w:val="en-US" w:eastAsia="zh-CN"/>
        </w:rPr>
        <w:t>0</w:t>
      </w:r>
      <w:r>
        <w:rPr>
          <w:rFonts w:hint="eastAsia"/>
          <w:spacing w:val="10"/>
          <w:lang w:eastAsia="zh-CN"/>
        </w:rPr>
        <w:t>。</w:t>
      </w:r>
    </w:p>
    <w:p w14:paraId="0E090B22">
      <w:pPr>
        <w:pStyle w:val="2"/>
        <w:spacing w:before="181" w:line="322" w:lineRule="auto"/>
        <w:ind w:left="27" w:right="12" w:firstLine="673"/>
        <w:rPr>
          <w:spacing w:val="10"/>
        </w:rPr>
        <w:sectPr>
          <w:footerReference r:id="rId8" w:type="default"/>
          <w:pgSz w:w="11905" w:h="16840"/>
          <w:pgMar w:top="1431" w:right="1782" w:bottom="1156" w:left="1785" w:header="0" w:footer="995" w:gutter="0"/>
          <w:cols w:space="720" w:num="1"/>
        </w:sectPr>
      </w:pPr>
    </w:p>
    <w:p w14:paraId="00ACB493">
      <w:pPr>
        <w:spacing w:before="219" w:line="220" w:lineRule="auto"/>
        <w:ind w:left="2153"/>
        <w:rPr>
          <w:rFonts w:ascii="宋体" w:hAnsi="宋体" w:eastAsia="宋体" w:cs="宋体"/>
          <w:sz w:val="30"/>
          <w:szCs w:val="30"/>
        </w:rPr>
      </w:pPr>
      <w:r>
        <w:rPr>
          <w:rFonts w:ascii="宋体" w:hAnsi="宋体" w:eastAsia="宋体" w:cs="宋体"/>
          <w:b/>
          <w:bCs/>
          <w:sz w:val="30"/>
          <w:szCs w:val="30"/>
        </w:rPr>
        <w:t>财政拨款预算“三公”经费支出表</w:t>
      </w:r>
    </w:p>
    <w:p w14:paraId="1EC49942">
      <w:pPr>
        <w:spacing w:before="288" w:line="221" w:lineRule="auto"/>
        <w:ind w:left="7526"/>
        <w:rPr>
          <w:rFonts w:ascii="宋体" w:hAnsi="宋体" w:eastAsia="宋体" w:cs="宋体"/>
          <w:sz w:val="24"/>
          <w:szCs w:val="24"/>
        </w:rPr>
      </w:pPr>
      <w:r>
        <w:rPr>
          <w:rFonts w:ascii="宋体" w:hAnsi="宋体" w:eastAsia="宋体" w:cs="宋体"/>
          <w:spacing w:val="-1"/>
          <w:sz w:val="24"/>
          <w:szCs w:val="24"/>
        </w:rPr>
        <w:t>单位：万元</w:t>
      </w:r>
    </w:p>
    <w:p w14:paraId="39CFF995">
      <w:pPr>
        <w:spacing w:line="46" w:lineRule="exact"/>
      </w:pPr>
    </w:p>
    <w:tbl>
      <w:tblPr>
        <w:tblStyle w:val="5"/>
        <w:tblW w:w="8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425"/>
        <w:gridCol w:w="2828"/>
        <w:gridCol w:w="2586"/>
      </w:tblGrid>
      <w:tr w14:paraId="420E7B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3425" w:type="dxa"/>
            <w:vMerge w:val="restart"/>
            <w:tcBorders>
              <w:bottom w:val="nil"/>
            </w:tcBorders>
            <w:vAlign w:val="top"/>
          </w:tcPr>
          <w:p w14:paraId="1E6B25B0">
            <w:pPr>
              <w:pStyle w:val="6"/>
            </w:pPr>
          </w:p>
          <w:p w14:paraId="5C9EBE10">
            <w:pPr>
              <w:pStyle w:val="6"/>
            </w:pPr>
          </w:p>
          <w:p w14:paraId="2F2A78FE">
            <w:pPr>
              <w:spacing w:before="78" w:line="221" w:lineRule="auto"/>
              <w:ind w:left="1479"/>
              <w:rPr>
                <w:rFonts w:ascii="宋体" w:hAnsi="宋体" w:eastAsia="宋体" w:cs="宋体"/>
                <w:sz w:val="24"/>
                <w:szCs w:val="24"/>
              </w:rPr>
            </w:pPr>
            <w:r>
              <w:rPr>
                <w:rFonts w:ascii="宋体" w:hAnsi="宋体" w:eastAsia="宋体" w:cs="宋体"/>
                <w:b/>
                <w:bCs/>
                <w:spacing w:val="-5"/>
                <w:sz w:val="24"/>
                <w:szCs w:val="24"/>
              </w:rPr>
              <w:t>项目</w:t>
            </w:r>
          </w:p>
        </w:tc>
        <w:tc>
          <w:tcPr>
            <w:tcW w:w="5414" w:type="dxa"/>
            <w:gridSpan w:val="2"/>
            <w:vAlign w:val="top"/>
          </w:tcPr>
          <w:p w14:paraId="33E6B751">
            <w:pPr>
              <w:spacing w:before="261" w:line="220" w:lineRule="auto"/>
              <w:ind w:left="2469"/>
              <w:rPr>
                <w:rFonts w:ascii="宋体" w:hAnsi="宋体" w:eastAsia="宋体" w:cs="宋体"/>
                <w:sz w:val="24"/>
                <w:szCs w:val="24"/>
              </w:rPr>
            </w:pPr>
            <w:r>
              <w:rPr>
                <w:rFonts w:ascii="宋体" w:hAnsi="宋体" w:eastAsia="宋体" w:cs="宋体"/>
                <w:b/>
                <w:bCs/>
                <w:spacing w:val="-5"/>
                <w:sz w:val="24"/>
                <w:szCs w:val="24"/>
              </w:rPr>
              <w:t>金额</w:t>
            </w:r>
          </w:p>
        </w:tc>
      </w:tr>
      <w:tr w14:paraId="10B58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Merge w:val="continue"/>
            <w:tcBorders>
              <w:top w:val="nil"/>
            </w:tcBorders>
            <w:vAlign w:val="top"/>
          </w:tcPr>
          <w:p w14:paraId="5286ACAE">
            <w:pPr>
              <w:pStyle w:val="6"/>
            </w:pPr>
          </w:p>
        </w:tc>
        <w:tc>
          <w:tcPr>
            <w:tcW w:w="2828" w:type="dxa"/>
            <w:vAlign w:val="top"/>
          </w:tcPr>
          <w:p w14:paraId="02BEB199">
            <w:pPr>
              <w:spacing w:before="257" w:line="220" w:lineRule="auto"/>
              <w:ind w:left="817"/>
              <w:rPr>
                <w:rFonts w:ascii="宋体" w:hAnsi="宋体" w:eastAsia="宋体" w:cs="宋体"/>
                <w:sz w:val="24"/>
                <w:szCs w:val="24"/>
              </w:rPr>
            </w:pPr>
            <w:r>
              <w:rPr>
                <w:rFonts w:hint="eastAsia" w:ascii="宋体" w:hAnsi="宋体" w:eastAsia="宋体" w:cs="宋体"/>
                <w:b/>
                <w:bCs/>
                <w:spacing w:val="-3"/>
                <w:sz w:val="24"/>
                <w:szCs w:val="24"/>
                <w:lang w:val="en-US" w:eastAsia="zh-CN"/>
              </w:rPr>
              <w:t>2024</w:t>
            </w:r>
            <w:r>
              <w:rPr>
                <w:rFonts w:ascii="宋体" w:hAnsi="宋体" w:eastAsia="宋体" w:cs="宋体"/>
                <w:b/>
                <w:bCs/>
                <w:spacing w:val="-3"/>
                <w:sz w:val="24"/>
                <w:szCs w:val="24"/>
              </w:rPr>
              <w:t>年</w:t>
            </w:r>
          </w:p>
        </w:tc>
        <w:tc>
          <w:tcPr>
            <w:tcW w:w="2586" w:type="dxa"/>
            <w:vAlign w:val="top"/>
          </w:tcPr>
          <w:p w14:paraId="39309D41">
            <w:pPr>
              <w:spacing w:before="257" w:line="220" w:lineRule="auto"/>
              <w:ind w:left="1053"/>
              <w:rPr>
                <w:rFonts w:ascii="宋体" w:hAnsi="宋体" w:eastAsia="宋体" w:cs="宋体"/>
                <w:sz w:val="24"/>
                <w:szCs w:val="24"/>
              </w:rPr>
            </w:pPr>
            <w:r>
              <w:rPr>
                <w:rFonts w:hint="eastAsia" w:ascii="宋体" w:hAnsi="宋体" w:eastAsia="宋体" w:cs="宋体"/>
                <w:b/>
                <w:bCs/>
                <w:spacing w:val="-4"/>
                <w:sz w:val="24"/>
                <w:szCs w:val="24"/>
                <w:lang w:val="en-US" w:eastAsia="zh-CN"/>
              </w:rPr>
              <w:t>2025</w:t>
            </w:r>
            <w:r>
              <w:rPr>
                <w:rFonts w:ascii="宋体" w:hAnsi="宋体" w:eastAsia="宋体" w:cs="宋体"/>
                <w:b/>
                <w:bCs/>
                <w:spacing w:val="-4"/>
                <w:sz w:val="24"/>
                <w:szCs w:val="24"/>
              </w:rPr>
              <w:t>年</w:t>
            </w:r>
          </w:p>
        </w:tc>
      </w:tr>
      <w:tr w14:paraId="29D81E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Align w:val="top"/>
          </w:tcPr>
          <w:p w14:paraId="7190C88C">
            <w:pPr>
              <w:spacing w:before="258" w:line="222" w:lineRule="auto"/>
              <w:ind w:left="1476"/>
              <w:rPr>
                <w:rFonts w:ascii="宋体" w:hAnsi="宋体" w:eastAsia="宋体" w:cs="宋体"/>
                <w:sz w:val="24"/>
                <w:szCs w:val="24"/>
              </w:rPr>
            </w:pPr>
            <w:r>
              <w:rPr>
                <w:rFonts w:ascii="宋体" w:hAnsi="宋体" w:eastAsia="宋体" w:cs="宋体"/>
                <w:b/>
                <w:bCs/>
                <w:spacing w:val="-5"/>
                <w:sz w:val="24"/>
                <w:szCs w:val="24"/>
              </w:rPr>
              <w:t>合计</w:t>
            </w:r>
          </w:p>
        </w:tc>
        <w:tc>
          <w:tcPr>
            <w:tcW w:w="2828" w:type="dxa"/>
            <w:vAlign w:val="top"/>
          </w:tcPr>
          <w:p w14:paraId="1DF024B5">
            <w:pPr>
              <w:pStyle w:val="6"/>
            </w:pPr>
          </w:p>
          <w:p w14:paraId="6D95A648">
            <w:pPr>
              <w:bidi w:val="0"/>
              <w:jc w:val="center"/>
              <w:rPr>
                <w:rFonts w:hint="eastAsia" w:eastAsia="宋体"/>
                <w:lang w:val="en-US" w:eastAsia="zh-CN"/>
              </w:rPr>
            </w:pPr>
            <w:r>
              <w:rPr>
                <w:rFonts w:hint="eastAsia" w:eastAsia="宋体"/>
                <w:lang w:val="en-US" w:eastAsia="zh-CN"/>
              </w:rPr>
              <w:t>6</w:t>
            </w:r>
          </w:p>
        </w:tc>
        <w:tc>
          <w:tcPr>
            <w:tcW w:w="2586" w:type="dxa"/>
            <w:vAlign w:val="top"/>
          </w:tcPr>
          <w:p w14:paraId="6FADB4BC">
            <w:pPr>
              <w:pStyle w:val="6"/>
            </w:pPr>
          </w:p>
          <w:p w14:paraId="1D53C3B0">
            <w:pPr>
              <w:bidi w:val="0"/>
              <w:jc w:val="center"/>
              <w:rPr>
                <w:rFonts w:hint="eastAsia" w:eastAsia="宋体"/>
                <w:lang w:val="en-US" w:eastAsia="zh-CN"/>
              </w:rPr>
            </w:pPr>
            <w:r>
              <w:rPr>
                <w:rFonts w:hint="eastAsia" w:eastAsia="宋体"/>
                <w:lang w:val="en-US" w:eastAsia="zh-CN"/>
              </w:rPr>
              <w:t>6</w:t>
            </w:r>
          </w:p>
        </w:tc>
      </w:tr>
      <w:tr w14:paraId="67B24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Align w:val="top"/>
          </w:tcPr>
          <w:p w14:paraId="66D60C61">
            <w:pPr>
              <w:spacing w:before="259" w:line="221" w:lineRule="auto"/>
              <w:ind w:left="133"/>
              <w:rPr>
                <w:rFonts w:ascii="宋体" w:hAnsi="宋体" w:eastAsia="宋体" w:cs="宋体"/>
                <w:sz w:val="24"/>
                <w:szCs w:val="24"/>
              </w:rPr>
            </w:pPr>
            <w:r>
              <w:rPr>
                <w:rFonts w:ascii="宋体" w:hAnsi="宋体" w:eastAsia="宋体" w:cs="宋体"/>
                <w:spacing w:val="-2"/>
                <w:sz w:val="24"/>
                <w:szCs w:val="24"/>
              </w:rPr>
              <w:t>1.因公出国（境）费</w:t>
            </w:r>
          </w:p>
        </w:tc>
        <w:tc>
          <w:tcPr>
            <w:tcW w:w="2828" w:type="dxa"/>
            <w:vAlign w:val="top"/>
          </w:tcPr>
          <w:p w14:paraId="6495F8C6">
            <w:pPr>
              <w:pStyle w:val="6"/>
            </w:pPr>
          </w:p>
        </w:tc>
        <w:tc>
          <w:tcPr>
            <w:tcW w:w="2586" w:type="dxa"/>
            <w:vAlign w:val="top"/>
          </w:tcPr>
          <w:p w14:paraId="764FED08">
            <w:pPr>
              <w:pStyle w:val="6"/>
            </w:pPr>
          </w:p>
        </w:tc>
      </w:tr>
      <w:tr w14:paraId="207B01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3425" w:type="dxa"/>
            <w:vAlign w:val="top"/>
          </w:tcPr>
          <w:p w14:paraId="32F261C3">
            <w:pPr>
              <w:spacing w:before="260" w:line="220" w:lineRule="auto"/>
              <w:ind w:left="118"/>
              <w:rPr>
                <w:rFonts w:ascii="宋体" w:hAnsi="宋体" w:eastAsia="宋体" w:cs="宋体"/>
                <w:sz w:val="24"/>
                <w:szCs w:val="24"/>
              </w:rPr>
            </w:pPr>
            <w:r>
              <w:rPr>
                <w:rFonts w:ascii="宋体" w:hAnsi="宋体" w:eastAsia="宋体" w:cs="宋体"/>
                <w:sz w:val="24"/>
                <w:szCs w:val="24"/>
              </w:rPr>
              <w:t>2.公务接待费</w:t>
            </w:r>
          </w:p>
        </w:tc>
        <w:tc>
          <w:tcPr>
            <w:tcW w:w="2828" w:type="dxa"/>
            <w:vAlign w:val="top"/>
          </w:tcPr>
          <w:p w14:paraId="24C4C702">
            <w:pPr>
              <w:pStyle w:val="6"/>
            </w:pPr>
          </w:p>
        </w:tc>
        <w:tc>
          <w:tcPr>
            <w:tcW w:w="2586" w:type="dxa"/>
            <w:vAlign w:val="top"/>
          </w:tcPr>
          <w:p w14:paraId="712F7815">
            <w:pPr>
              <w:pStyle w:val="6"/>
            </w:pPr>
          </w:p>
        </w:tc>
      </w:tr>
      <w:tr w14:paraId="0E1BE9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3425" w:type="dxa"/>
            <w:vAlign w:val="top"/>
          </w:tcPr>
          <w:p w14:paraId="7E971F05">
            <w:pPr>
              <w:spacing w:before="261" w:line="220" w:lineRule="auto"/>
              <w:ind w:left="120"/>
              <w:rPr>
                <w:rFonts w:ascii="宋体" w:hAnsi="宋体" w:eastAsia="宋体" w:cs="宋体"/>
                <w:sz w:val="24"/>
                <w:szCs w:val="24"/>
              </w:rPr>
            </w:pPr>
            <w:r>
              <w:rPr>
                <w:rFonts w:ascii="宋体" w:hAnsi="宋体" w:eastAsia="宋体" w:cs="宋体"/>
                <w:spacing w:val="1"/>
                <w:sz w:val="24"/>
                <w:szCs w:val="24"/>
              </w:rPr>
              <w:t>3.公务用车购置及运行费</w:t>
            </w:r>
          </w:p>
        </w:tc>
        <w:tc>
          <w:tcPr>
            <w:tcW w:w="2828" w:type="dxa"/>
            <w:vAlign w:val="top"/>
          </w:tcPr>
          <w:p w14:paraId="183D3D64">
            <w:pPr>
              <w:pStyle w:val="6"/>
            </w:pPr>
          </w:p>
          <w:p w14:paraId="160AD428">
            <w:pPr>
              <w:bidi w:val="0"/>
              <w:jc w:val="center"/>
              <w:rPr>
                <w:rFonts w:hint="eastAsia" w:eastAsia="宋体"/>
                <w:lang w:val="en-US" w:eastAsia="zh-CN"/>
              </w:rPr>
            </w:pPr>
            <w:r>
              <w:rPr>
                <w:rFonts w:hint="eastAsia" w:eastAsia="宋体"/>
                <w:lang w:val="en-US" w:eastAsia="zh-CN"/>
              </w:rPr>
              <w:t>6</w:t>
            </w:r>
          </w:p>
        </w:tc>
        <w:tc>
          <w:tcPr>
            <w:tcW w:w="2586" w:type="dxa"/>
            <w:vAlign w:val="top"/>
          </w:tcPr>
          <w:p w14:paraId="330A10D7">
            <w:pPr>
              <w:pStyle w:val="6"/>
            </w:pPr>
          </w:p>
          <w:p w14:paraId="5ED02F5C">
            <w:pPr>
              <w:bidi w:val="0"/>
              <w:jc w:val="center"/>
              <w:rPr>
                <w:rFonts w:hint="eastAsia" w:eastAsia="宋体"/>
                <w:lang w:val="en-US" w:eastAsia="zh-CN"/>
              </w:rPr>
            </w:pPr>
            <w:r>
              <w:rPr>
                <w:rFonts w:hint="eastAsia" w:eastAsia="宋体"/>
                <w:lang w:val="en-US" w:eastAsia="zh-CN"/>
              </w:rPr>
              <w:t>6</w:t>
            </w:r>
          </w:p>
        </w:tc>
      </w:tr>
      <w:tr w14:paraId="2A1B40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3425" w:type="dxa"/>
            <w:vAlign w:val="top"/>
          </w:tcPr>
          <w:p w14:paraId="58ACD242">
            <w:pPr>
              <w:spacing w:before="261" w:line="220" w:lineRule="auto"/>
              <w:ind w:left="238"/>
              <w:rPr>
                <w:rFonts w:ascii="宋体" w:hAnsi="宋体" w:eastAsia="宋体" w:cs="宋体"/>
                <w:sz w:val="24"/>
                <w:szCs w:val="24"/>
              </w:rPr>
            </w:pPr>
            <w:r>
              <w:rPr>
                <w:rFonts w:ascii="宋体" w:hAnsi="宋体" w:eastAsia="宋体" w:cs="宋体"/>
                <w:spacing w:val="1"/>
                <w:sz w:val="24"/>
                <w:szCs w:val="24"/>
              </w:rPr>
              <w:t>其中：公务用车购置费</w:t>
            </w:r>
          </w:p>
        </w:tc>
        <w:tc>
          <w:tcPr>
            <w:tcW w:w="2828" w:type="dxa"/>
            <w:vAlign w:val="top"/>
          </w:tcPr>
          <w:p w14:paraId="0B0960E9">
            <w:pPr>
              <w:pStyle w:val="6"/>
            </w:pPr>
          </w:p>
        </w:tc>
        <w:tc>
          <w:tcPr>
            <w:tcW w:w="2586" w:type="dxa"/>
            <w:vAlign w:val="top"/>
          </w:tcPr>
          <w:p w14:paraId="27D1CAB7">
            <w:pPr>
              <w:pStyle w:val="6"/>
            </w:pPr>
          </w:p>
        </w:tc>
      </w:tr>
      <w:tr w14:paraId="171FB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3425" w:type="dxa"/>
            <w:vAlign w:val="top"/>
          </w:tcPr>
          <w:p w14:paraId="462A5DDB">
            <w:pPr>
              <w:spacing w:before="261" w:line="220" w:lineRule="auto"/>
              <w:ind w:left="972"/>
              <w:rPr>
                <w:rFonts w:ascii="宋体" w:hAnsi="宋体" w:eastAsia="宋体" w:cs="宋体"/>
                <w:sz w:val="24"/>
                <w:szCs w:val="24"/>
              </w:rPr>
            </w:pPr>
            <w:r>
              <w:rPr>
                <w:rFonts w:ascii="宋体" w:hAnsi="宋体" w:eastAsia="宋体" w:cs="宋体"/>
                <w:sz w:val="24"/>
                <w:szCs w:val="24"/>
              </w:rPr>
              <w:t>公务用车运行费</w:t>
            </w:r>
          </w:p>
        </w:tc>
        <w:tc>
          <w:tcPr>
            <w:tcW w:w="2828" w:type="dxa"/>
            <w:vAlign w:val="top"/>
          </w:tcPr>
          <w:p w14:paraId="1B9A648C">
            <w:pPr>
              <w:pStyle w:val="6"/>
              <w:ind w:firstLine="1470" w:firstLineChars="700"/>
              <w:rPr>
                <w:rFonts w:hint="eastAsia" w:eastAsia="宋体"/>
                <w:lang w:val="en-US" w:eastAsia="zh-CN"/>
              </w:rPr>
            </w:pPr>
          </w:p>
          <w:p w14:paraId="4CAD4D25">
            <w:pPr>
              <w:pStyle w:val="6"/>
              <w:ind w:firstLine="1470" w:firstLineChars="700"/>
              <w:rPr>
                <w:rFonts w:hint="eastAsia" w:eastAsia="宋体"/>
                <w:lang w:val="en-US" w:eastAsia="zh-CN"/>
              </w:rPr>
            </w:pPr>
            <w:r>
              <w:rPr>
                <w:rFonts w:hint="eastAsia" w:eastAsia="宋体"/>
                <w:lang w:val="en-US" w:eastAsia="zh-CN"/>
              </w:rPr>
              <w:t>6</w:t>
            </w:r>
          </w:p>
        </w:tc>
        <w:tc>
          <w:tcPr>
            <w:tcW w:w="2586" w:type="dxa"/>
            <w:vAlign w:val="top"/>
          </w:tcPr>
          <w:p w14:paraId="6B29D712">
            <w:pPr>
              <w:pStyle w:val="6"/>
              <w:ind w:firstLine="1260" w:firstLineChars="600"/>
              <w:rPr>
                <w:rFonts w:hint="eastAsia" w:eastAsia="宋体"/>
                <w:lang w:val="en-US" w:eastAsia="zh-CN"/>
              </w:rPr>
            </w:pPr>
          </w:p>
          <w:p w14:paraId="273FC6AB">
            <w:pPr>
              <w:pStyle w:val="6"/>
              <w:ind w:firstLine="1260" w:firstLineChars="600"/>
              <w:rPr>
                <w:rFonts w:hint="eastAsia" w:eastAsia="宋体"/>
                <w:lang w:val="en-US" w:eastAsia="zh-CN"/>
              </w:rPr>
            </w:pPr>
            <w:r>
              <w:rPr>
                <w:rFonts w:hint="eastAsia" w:eastAsia="宋体"/>
                <w:lang w:val="en-US" w:eastAsia="zh-CN"/>
              </w:rPr>
              <w:t>6</w:t>
            </w:r>
          </w:p>
        </w:tc>
      </w:tr>
    </w:tbl>
    <w:p w14:paraId="5E44730D">
      <w:pPr>
        <w:spacing w:before="172" w:line="228" w:lineRule="auto"/>
        <w:ind w:left="689"/>
        <w:rPr>
          <w:rFonts w:ascii="黑体" w:hAnsi="黑体" w:eastAsia="黑体" w:cs="黑体"/>
          <w:sz w:val="31"/>
          <w:szCs w:val="31"/>
        </w:rPr>
      </w:pPr>
      <w:r>
        <w:rPr>
          <w:rFonts w:ascii="黑体" w:hAnsi="黑体" w:eastAsia="黑体" w:cs="黑体"/>
          <w:spacing w:val="10"/>
          <w:sz w:val="31"/>
          <w:szCs w:val="31"/>
        </w:rPr>
        <w:t>六、国有资产占用情况</w:t>
      </w:r>
    </w:p>
    <w:p w14:paraId="54D20F1F">
      <w:pPr>
        <w:pStyle w:val="2"/>
        <w:spacing w:before="179" w:line="323" w:lineRule="auto"/>
        <w:ind w:left="42" w:right="503" w:firstLine="640"/>
      </w:pPr>
      <w:r>
        <w:rPr>
          <w:rFonts w:hint="eastAsia"/>
          <w:spacing w:val="10"/>
          <w:lang w:eastAsia="zh-CN"/>
        </w:rPr>
        <w:t>盘锦市双台子区</w:t>
      </w:r>
      <w:r>
        <w:rPr>
          <w:rFonts w:hint="eastAsia"/>
          <w:spacing w:val="10"/>
          <w:lang w:val="en-US" w:eastAsia="zh-CN"/>
        </w:rPr>
        <w:t>人社局部门2025年</w:t>
      </w:r>
      <w:r>
        <w:rPr>
          <w:spacing w:val="2"/>
        </w:rPr>
        <w:t>年初预算购置车辆</w:t>
      </w:r>
      <w:r>
        <w:rPr>
          <w:rFonts w:hint="eastAsia"/>
          <w:lang w:val="en-US" w:eastAsia="zh-CN"/>
        </w:rPr>
        <w:t>0</w:t>
      </w:r>
      <w:r>
        <w:rPr>
          <w:spacing w:val="2"/>
        </w:rPr>
        <w:t>台，金额</w:t>
      </w:r>
      <w:r>
        <w:rPr>
          <w:rFonts w:hint="eastAsia"/>
          <w:lang w:val="en-US" w:eastAsia="zh-CN"/>
        </w:rPr>
        <w:t>0</w:t>
      </w:r>
      <w:r>
        <w:rPr>
          <w:spacing w:val="2"/>
        </w:rPr>
        <w:t>万</w:t>
      </w:r>
      <w:r>
        <w:rPr>
          <w:spacing w:val="4"/>
        </w:rPr>
        <w:t>元，单位价值50万元以上的通用设备</w:t>
      </w:r>
      <w:r>
        <w:rPr>
          <w:rFonts w:hint="eastAsia"/>
          <w:lang w:val="en-US" w:eastAsia="zh-CN"/>
        </w:rPr>
        <w:t>0</w:t>
      </w:r>
      <w:r>
        <w:rPr>
          <w:spacing w:val="4"/>
        </w:rPr>
        <w:t>台，单位价值</w:t>
      </w:r>
      <w:r>
        <w:rPr>
          <w:spacing w:val="3"/>
        </w:rPr>
        <w:t>100</w:t>
      </w:r>
      <w:r>
        <w:rPr>
          <w:spacing w:val="2"/>
        </w:rPr>
        <w:t>万元以上的专用设备</w:t>
      </w:r>
      <w:r>
        <w:rPr>
          <w:rFonts w:hint="eastAsia"/>
          <w:lang w:val="en-US" w:eastAsia="zh-CN"/>
        </w:rPr>
        <w:t>0</w:t>
      </w:r>
      <w:r>
        <w:rPr>
          <w:spacing w:val="2"/>
        </w:rPr>
        <w:t>台。</w:t>
      </w:r>
    </w:p>
    <w:p w14:paraId="0C8B56A6">
      <w:pPr>
        <w:spacing w:before="51" w:line="227" w:lineRule="auto"/>
        <w:ind w:left="678"/>
        <w:rPr>
          <w:rFonts w:ascii="黑体" w:hAnsi="黑体" w:eastAsia="黑体" w:cs="黑体"/>
          <w:sz w:val="31"/>
          <w:szCs w:val="31"/>
        </w:rPr>
      </w:pPr>
      <w:r>
        <w:rPr>
          <w:rFonts w:ascii="黑体" w:hAnsi="黑体" w:eastAsia="黑体" w:cs="黑体"/>
          <w:spacing w:val="11"/>
          <w:sz w:val="31"/>
          <w:szCs w:val="31"/>
        </w:rPr>
        <w:t>七、预算绩效目标情况</w:t>
      </w:r>
    </w:p>
    <w:p w14:paraId="7D0AF968">
      <w:pPr>
        <w:pStyle w:val="2"/>
        <w:spacing w:before="180" w:line="330" w:lineRule="auto"/>
        <w:ind w:left="24" w:right="505" w:firstLine="638"/>
      </w:pPr>
      <w:r>
        <w:rPr>
          <w:spacing w:val="9"/>
        </w:rPr>
        <w:t>根据预算绩效管理要求，</w:t>
      </w:r>
      <w:r>
        <w:rPr>
          <w:rFonts w:hint="eastAsia"/>
          <w:spacing w:val="10"/>
          <w:lang w:eastAsia="zh-CN"/>
        </w:rPr>
        <w:t>盘锦市双台子区</w:t>
      </w:r>
      <w:r>
        <w:rPr>
          <w:rFonts w:hint="eastAsia"/>
          <w:spacing w:val="10"/>
          <w:lang w:val="en-US" w:eastAsia="zh-CN"/>
        </w:rPr>
        <w:t>人社局部门</w:t>
      </w:r>
      <w:r>
        <w:rPr>
          <w:rFonts w:hint="eastAsia"/>
          <w:spacing w:val="9"/>
          <w:lang w:val="en-US" w:eastAsia="zh-CN"/>
        </w:rPr>
        <w:t>2025</w:t>
      </w:r>
      <w:r>
        <w:rPr>
          <w:spacing w:val="9"/>
        </w:rPr>
        <w:t>年应编制部门</w:t>
      </w:r>
      <w:r>
        <w:rPr>
          <w:spacing w:val="12"/>
        </w:rPr>
        <w:t>（单位）整体绩效目标共</w:t>
      </w:r>
      <w:r>
        <w:rPr>
          <w:rFonts w:hint="eastAsia"/>
          <w:lang w:val="en-US" w:eastAsia="zh-CN"/>
        </w:rPr>
        <w:t>5</w:t>
      </w:r>
      <w:r>
        <w:rPr>
          <w:spacing w:val="12"/>
        </w:rPr>
        <w:t>个，实际编制部门（单位）整</w:t>
      </w:r>
      <w:r>
        <w:rPr>
          <w:spacing w:val="14"/>
        </w:rPr>
        <w:t>体绩效目标共</w:t>
      </w:r>
      <w:r>
        <w:rPr>
          <w:rFonts w:hint="eastAsia"/>
          <w:lang w:val="en-US" w:eastAsia="zh-CN"/>
        </w:rPr>
        <w:t>5</w:t>
      </w:r>
      <w:r>
        <w:rPr>
          <w:spacing w:val="14"/>
        </w:rPr>
        <w:t>个，编制部门（单位）整体绩效目标覆盖</w:t>
      </w:r>
      <w:r>
        <w:rPr>
          <w:spacing w:val="12"/>
        </w:rPr>
        <w:t>率（实际编制绩效目标的数量/应编制绩效目标的数量）为</w:t>
      </w:r>
      <w:r>
        <w:rPr>
          <w:rFonts w:hint="eastAsia"/>
          <w:lang w:val="en-US" w:eastAsia="zh-CN"/>
        </w:rPr>
        <w:t>100</w:t>
      </w:r>
      <w:r>
        <w:rPr>
          <w:spacing w:val="15"/>
        </w:rPr>
        <w:t>%。</w:t>
      </w:r>
      <w:r>
        <w:rPr>
          <w:rFonts w:hint="eastAsia"/>
          <w:spacing w:val="15"/>
          <w:lang w:val="en-US" w:eastAsia="zh-CN"/>
        </w:rPr>
        <w:t>2025</w:t>
      </w:r>
      <w:r>
        <w:rPr>
          <w:spacing w:val="15"/>
        </w:rPr>
        <w:t>年应编制绩效目标的特定目标类和其他运转类项目共</w:t>
      </w:r>
      <w:r>
        <w:rPr>
          <w:rFonts w:hint="eastAsia"/>
          <w:lang w:val="en-US" w:eastAsia="zh-CN"/>
        </w:rPr>
        <w:t>5</w:t>
      </w:r>
      <w:r>
        <w:rPr>
          <w:spacing w:val="15"/>
        </w:rPr>
        <w:t>个，实际编制绩效目标的特定目标类和其他运转</w:t>
      </w:r>
      <w:r>
        <w:rPr>
          <w:spacing w:val="14"/>
        </w:rPr>
        <w:t>类项</w:t>
      </w:r>
      <w:r>
        <w:rPr>
          <w:spacing w:val="7"/>
        </w:rPr>
        <w:t>目共</w:t>
      </w:r>
      <w:r>
        <w:rPr>
          <w:rFonts w:hint="eastAsia"/>
          <w:lang w:val="en-US" w:eastAsia="zh-CN"/>
        </w:rPr>
        <w:t>5</w:t>
      </w:r>
      <w:r>
        <w:rPr>
          <w:spacing w:val="7"/>
        </w:rPr>
        <w:t>个，涉及资金</w:t>
      </w:r>
      <w:r>
        <w:rPr>
          <w:rFonts w:hint="eastAsia"/>
          <w:lang w:val="en-US" w:eastAsia="zh-CN"/>
        </w:rPr>
        <w:t>3081.56</w:t>
      </w:r>
      <w:r>
        <w:rPr>
          <w:spacing w:val="7"/>
        </w:rPr>
        <w:t>万元，编制特定目标类和其他运转</w:t>
      </w:r>
      <w:r>
        <w:rPr>
          <w:spacing w:val="15"/>
        </w:rPr>
        <w:t>类绩效目标的项目覆盖率（实际编制绩效目标的数量/应编</w:t>
      </w:r>
      <w:r>
        <w:rPr>
          <w:spacing w:val="10"/>
        </w:rPr>
        <w:t>制绩效目标的数量）为</w:t>
      </w:r>
      <w:r>
        <w:rPr>
          <w:rFonts w:hint="eastAsia"/>
          <w:lang w:val="en-US" w:eastAsia="zh-CN"/>
        </w:rPr>
        <w:t>100</w:t>
      </w:r>
      <w:r>
        <w:rPr>
          <w:spacing w:val="10"/>
        </w:rPr>
        <w:t>%。</w:t>
      </w:r>
    </w:p>
    <w:p w14:paraId="2242FA81">
      <w:pPr>
        <w:spacing w:line="330" w:lineRule="auto"/>
        <w:sectPr>
          <w:footerReference r:id="rId9" w:type="default"/>
          <w:pgSz w:w="11905" w:h="16840"/>
          <w:pgMar w:top="1431" w:right="1283" w:bottom="1156" w:left="1777" w:header="0" w:footer="995" w:gutter="0"/>
          <w:cols w:space="720" w:num="1"/>
        </w:sectPr>
      </w:pPr>
    </w:p>
    <w:p w14:paraId="14D1400F">
      <w:pPr>
        <w:spacing w:before="146" w:line="220" w:lineRule="auto"/>
        <w:ind w:left="2633"/>
        <w:outlineLvl w:val="3"/>
        <w:rPr>
          <w:rFonts w:ascii="宋体" w:hAnsi="宋体" w:eastAsia="宋体" w:cs="宋体"/>
          <w:sz w:val="36"/>
          <w:szCs w:val="36"/>
        </w:rPr>
      </w:pPr>
      <w:r>
        <w:rPr>
          <w:rFonts w:ascii="宋体" w:hAnsi="宋体" w:eastAsia="宋体" w:cs="宋体"/>
          <w:b/>
          <w:bCs/>
          <w:spacing w:val="-2"/>
          <w:sz w:val="36"/>
          <w:szCs w:val="36"/>
        </w:rPr>
        <w:t>第四部分名词解释</w:t>
      </w:r>
    </w:p>
    <w:p w14:paraId="2D356B4E">
      <w:pPr>
        <w:spacing w:line="309" w:lineRule="auto"/>
        <w:rPr>
          <w:rFonts w:ascii="Arial"/>
          <w:sz w:val="21"/>
        </w:rPr>
      </w:pPr>
    </w:p>
    <w:p w14:paraId="47662592">
      <w:pPr>
        <w:spacing w:line="309" w:lineRule="auto"/>
        <w:rPr>
          <w:rFonts w:ascii="Arial"/>
          <w:sz w:val="21"/>
        </w:rPr>
      </w:pPr>
    </w:p>
    <w:p w14:paraId="386C48BD">
      <w:pPr>
        <w:pStyle w:val="2"/>
        <w:spacing w:before="101" w:line="322" w:lineRule="auto"/>
        <w:ind w:left="23" w:right="223" w:firstLine="668"/>
      </w:pPr>
      <w:r>
        <w:rPr>
          <w:b/>
          <w:bCs/>
        </w:rPr>
        <w:t>1.一般公共预算：</w:t>
      </w:r>
      <w:r>
        <w:t>是对以税收为主体的财政收入，安排</w:t>
      </w:r>
      <w:r>
        <w:rPr>
          <w:spacing w:val="10"/>
        </w:rPr>
        <w:t>用于保障和改善民生、推动经济社会发展、维护国家安全、</w:t>
      </w:r>
      <w:r>
        <w:rPr>
          <w:spacing w:val="8"/>
        </w:rPr>
        <w:t>维持国家机构正常运转等方面的收支预算。</w:t>
      </w:r>
    </w:p>
    <w:p w14:paraId="1B15FF49">
      <w:pPr>
        <w:pStyle w:val="2"/>
        <w:spacing w:before="63" w:line="314" w:lineRule="auto"/>
        <w:ind w:left="29" w:right="247" w:firstLine="654"/>
      </w:pPr>
      <w:r>
        <w:rPr>
          <w:b/>
          <w:bCs/>
          <w:spacing w:val="7"/>
        </w:rPr>
        <w:t>2.基本支出：</w:t>
      </w:r>
      <w:r>
        <w:rPr>
          <w:spacing w:val="7"/>
        </w:rPr>
        <w:t>是为保障机构正常运转、完成日常</w:t>
      </w:r>
      <w:r>
        <w:rPr>
          <w:spacing w:val="6"/>
        </w:rPr>
        <w:t>工作任</w:t>
      </w:r>
      <w:r>
        <w:rPr>
          <w:spacing w:val="8"/>
        </w:rPr>
        <w:t>务而发生的支出，包括人员经费和公用经费。</w:t>
      </w:r>
    </w:p>
    <w:p w14:paraId="6A7AFA61">
      <w:pPr>
        <w:pStyle w:val="2"/>
        <w:spacing w:before="64" w:line="315" w:lineRule="auto"/>
        <w:ind w:left="23" w:right="244" w:firstLine="672"/>
      </w:pPr>
      <w:r>
        <w:rPr>
          <w:b/>
          <w:bCs/>
          <w:spacing w:val="6"/>
        </w:rPr>
        <w:t>3.项目支出：</w:t>
      </w:r>
      <w:r>
        <w:rPr>
          <w:spacing w:val="6"/>
        </w:rPr>
        <w:t>指为完成特定工作任务和事业发展目标所</w:t>
      </w:r>
      <w:r>
        <w:rPr>
          <w:spacing w:val="-2"/>
        </w:rPr>
        <w:t>发生的支出。</w:t>
      </w:r>
    </w:p>
    <w:p w14:paraId="1C73522C">
      <w:pPr>
        <w:pStyle w:val="2"/>
        <w:spacing w:before="61" w:line="327" w:lineRule="auto"/>
        <w:ind w:left="13" w:firstLine="669"/>
      </w:pPr>
      <w:r>
        <w:rPr>
          <w:b/>
          <w:bCs/>
          <w:spacing w:val="4"/>
        </w:rPr>
        <w:t>4.机关运行经费：</w:t>
      </w:r>
      <w:r>
        <w:rPr>
          <w:spacing w:val="4"/>
        </w:rPr>
        <w:t>是指行政机关及参公单位的公用经费，</w:t>
      </w:r>
      <w:r>
        <w:rPr>
          <w:spacing w:val="9"/>
        </w:rPr>
        <w:t>包括办公及印刷费、邮电费、差旅费、会议费、福利费、日</w:t>
      </w:r>
      <w:r>
        <w:rPr>
          <w:spacing w:val="12"/>
        </w:rPr>
        <w:t>常维护费、专用材料及一般设备购置费、办公用房水电费、</w:t>
      </w:r>
      <w:r>
        <w:rPr>
          <w:spacing w:val="9"/>
        </w:rPr>
        <w:t>办公用房取暖费、办公用房物业管理费、办公用车运行维护</w:t>
      </w:r>
      <w:r>
        <w:rPr>
          <w:spacing w:val="3"/>
        </w:rPr>
        <w:t>费以及其他费用。</w:t>
      </w:r>
    </w:p>
    <w:p w14:paraId="6A524BFE">
      <w:pPr>
        <w:pStyle w:val="2"/>
        <w:spacing w:before="57" w:line="316" w:lineRule="auto"/>
        <w:ind w:left="24" w:right="247" w:firstLine="663"/>
      </w:pPr>
      <w:r>
        <w:rPr>
          <w:b/>
          <w:bCs/>
          <w:spacing w:val="6"/>
        </w:rPr>
        <w:t>5.上年结转：</w:t>
      </w:r>
      <w:r>
        <w:rPr>
          <w:spacing w:val="6"/>
        </w:rPr>
        <w:t>指以前年度尚未使用完毕，结转到本年仍按原规定用途继续使用的资金。</w:t>
      </w:r>
    </w:p>
    <w:p w14:paraId="54D0AF68">
      <w:pPr>
        <w:pStyle w:val="2"/>
        <w:spacing w:before="55" w:line="329" w:lineRule="auto"/>
        <w:ind w:left="15" w:right="91" w:firstLine="670"/>
      </w:pPr>
      <w:r>
        <w:rPr>
          <w:b/>
          <w:bCs/>
          <w:spacing w:val="-11"/>
        </w:rPr>
        <w:t>6.“三公”经费：</w:t>
      </w:r>
      <w:r>
        <w:rPr>
          <w:spacing w:val="-11"/>
        </w:rPr>
        <w:t>指用财政拨款预算安排的因公出</w:t>
      </w:r>
      <w:r>
        <w:rPr>
          <w:spacing w:val="-12"/>
        </w:rPr>
        <w:t>国（境）</w:t>
      </w:r>
      <w:r>
        <w:rPr>
          <w:spacing w:val="9"/>
        </w:rPr>
        <w:t>费、公务用车购置及运行费和公务接待费。其中，因公出国（境）费反映单位公务出国（境）的国际旅费、国外城市间</w:t>
      </w:r>
      <w:r>
        <w:rPr>
          <w:spacing w:val="6"/>
        </w:rPr>
        <w:t>交通费、住宿费、伙食费、培训费、公杂费等支出；公务用</w:t>
      </w:r>
      <w:r>
        <w:rPr>
          <w:spacing w:val="8"/>
        </w:rPr>
        <w:t>车购置及运行费反映单位公务用车车辆购置支出（含车辆购</w:t>
      </w:r>
      <w:r>
        <w:rPr>
          <w:spacing w:val="5"/>
        </w:rPr>
        <w:t>置税）、燃料费、维修费、过路过桥费、保险费、安全奖励</w:t>
      </w:r>
      <w:r>
        <w:rPr>
          <w:spacing w:val="9"/>
        </w:rPr>
        <w:t>费用等支出；公务接待费反映单位为执行公务或开展业务活</w:t>
      </w:r>
      <w:r>
        <w:rPr>
          <w:spacing w:val="7"/>
        </w:rPr>
        <w:t>动需要合理开支的接待费用。</w:t>
      </w:r>
    </w:p>
    <w:p w14:paraId="1B3EB8BC">
      <w:pPr>
        <w:spacing w:line="329" w:lineRule="auto"/>
        <w:sectPr>
          <w:footerReference r:id="rId10" w:type="default"/>
          <w:pgSz w:w="11905" w:h="16840"/>
          <w:pgMar w:top="1431" w:right="1551" w:bottom="1156" w:left="1785" w:header="0" w:footer="995" w:gutter="0"/>
          <w:cols w:space="720" w:num="1"/>
        </w:sectPr>
      </w:pPr>
    </w:p>
    <w:p w14:paraId="79FFB2CC">
      <w:pPr>
        <w:pStyle w:val="2"/>
        <w:spacing w:before="179" w:line="221" w:lineRule="auto"/>
        <w:jc w:val="right"/>
        <w:outlineLvl w:val="5"/>
      </w:pPr>
      <w:r>
        <w:rPr>
          <w:b/>
          <w:bCs/>
          <w:spacing w:val="-23"/>
        </w:rPr>
        <w:t>7.一般公共服务支出（类）财政事务（款）行政运行（项</w:t>
      </w:r>
      <w:r>
        <w:rPr>
          <w:b/>
          <w:bCs/>
          <w:spacing w:val="-81"/>
        </w:rPr>
        <w:t>）：</w:t>
      </w:r>
    </w:p>
    <w:p w14:paraId="383B44E5">
      <w:pPr>
        <w:pStyle w:val="2"/>
        <w:spacing w:before="194" w:line="322" w:lineRule="auto"/>
        <w:ind w:left="63" w:right="90" w:hanging="39"/>
      </w:pPr>
      <w:r>
        <w:rPr>
          <w:spacing w:val="9"/>
        </w:rPr>
        <w:t>反映行政单位（包括实行公务员管理的事业单位）的基本支</w:t>
      </w:r>
      <w:r>
        <w:rPr>
          <w:spacing w:val="-26"/>
        </w:rPr>
        <w:t>出。</w:t>
      </w:r>
    </w:p>
    <w:p w14:paraId="161665A6">
      <w:pPr>
        <w:pStyle w:val="2"/>
        <w:spacing w:before="33" w:line="221" w:lineRule="auto"/>
        <w:ind w:left="686"/>
        <w:outlineLvl w:val="5"/>
      </w:pPr>
      <w:r>
        <w:rPr>
          <w:b/>
          <w:bCs/>
          <w:spacing w:val="4"/>
        </w:rPr>
        <w:t>8.一般公共服务支出（类）财政事务（款）一般行政管</w:t>
      </w:r>
    </w:p>
    <w:p w14:paraId="5C21EBEB">
      <w:pPr>
        <w:pStyle w:val="2"/>
        <w:spacing w:before="192" w:line="315" w:lineRule="auto"/>
        <w:ind w:left="30" w:right="152" w:hanging="3"/>
        <w:jc w:val="both"/>
      </w:pPr>
      <w:r>
        <w:rPr>
          <w:b/>
          <w:bCs/>
          <w:spacing w:val="6"/>
        </w:rPr>
        <w:t>理事务（项</w:t>
      </w:r>
      <w:r>
        <w:rPr>
          <w:b/>
          <w:bCs/>
          <w:spacing w:val="4"/>
        </w:rPr>
        <w:t>）：</w:t>
      </w:r>
      <w:r>
        <w:rPr>
          <w:spacing w:val="6"/>
        </w:rPr>
        <w:t>反映行政单位（包括实行公务员</w:t>
      </w:r>
      <w:r>
        <w:rPr>
          <w:spacing w:val="5"/>
        </w:rPr>
        <w:t>管理的事业</w:t>
      </w:r>
      <w:r>
        <w:rPr>
          <w:spacing w:val="8"/>
        </w:rPr>
        <w:t>单位）未单独设置项级科目的其他项目支出。</w:t>
      </w:r>
    </w:p>
    <w:p w14:paraId="5E64C18D">
      <w:pPr>
        <w:pStyle w:val="2"/>
        <w:spacing w:before="58" w:line="221" w:lineRule="auto"/>
        <w:jc w:val="right"/>
        <w:outlineLvl w:val="5"/>
      </w:pPr>
      <w:r>
        <w:rPr>
          <w:b/>
          <w:bCs/>
          <w:spacing w:val="-23"/>
        </w:rPr>
        <w:t>9.一般公共服务支出（类）财政事务（款）事业运行（项</w:t>
      </w:r>
      <w:r>
        <w:rPr>
          <w:b/>
          <w:bCs/>
          <w:spacing w:val="-81"/>
        </w:rPr>
        <w:t>）：</w:t>
      </w:r>
    </w:p>
    <w:p w14:paraId="733E51F9">
      <w:pPr>
        <w:pStyle w:val="2"/>
        <w:spacing w:before="188" w:line="319" w:lineRule="auto"/>
        <w:ind w:left="46" w:hanging="22"/>
      </w:pPr>
      <w:r>
        <w:rPr>
          <w:spacing w:val="8"/>
        </w:rPr>
        <w:t>反映事业单位的基本支出，不包括行政单位（包括实行公务</w:t>
      </w:r>
      <w:r>
        <w:t>员管理的事业单位）后勤服务中心、医务室等</w:t>
      </w:r>
      <w:r>
        <w:rPr>
          <w:spacing w:val="-1"/>
        </w:rPr>
        <w:t>附属事业单位。</w:t>
      </w:r>
    </w:p>
    <w:p w14:paraId="3F4477EE">
      <w:pPr>
        <w:pStyle w:val="2"/>
        <w:spacing w:before="49" w:line="219" w:lineRule="auto"/>
        <w:ind w:left="691"/>
        <w:outlineLvl w:val="5"/>
      </w:pPr>
      <w:r>
        <w:rPr>
          <w:b/>
          <w:bCs/>
          <w:spacing w:val="8"/>
        </w:rPr>
        <w:t>10.一般公共服务支出（类）财政事务（款）其他财政</w:t>
      </w:r>
    </w:p>
    <w:p w14:paraId="361D2C96">
      <w:pPr>
        <w:pStyle w:val="2"/>
        <w:spacing w:before="193" w:line="317" w:lineRule="auto"/>
        <w:ind w:left="30" w:right="153" w:firstLine="2"/>
        <w:jc w:val="both"/>
      </w:pPr>
      <w:r>
        <w:rPr>
          <w:b/>
          <w:bCs/>
          <w:spacing w:val="5"/>
        </w:rPr>
        <w:t>事务支出（项</w:t>
      </w:r>
      <w:r>
        <w:rPr>
          <w:b/>
          <w:bCs/>
          <w:spacing w:val="8"/>
        </w:rPr>
        <w:t>）：</w:t>
      </w:r>
      <w:r>
        <w:rPr>
          <w:spacing w:val="5"/>
        </w:rPr>
        <w:t>反映除上述项目以外其他财政事务方面的</w:t>
      </w:r>
      <w:r>
        <w:rPr>
          <w:spacing w:val="-13"/>
        </w:rPr>
        <w:t>支出。</w:t>
      </w:r>
    </w:p>
    <w:p w14:paraId="67B79E75">
      <w:pPr>
        <w:spacing w:line="136" w:lineRule="exact"/>
        <w:sectPr>
          <w:footerReference r:id="rId11" w:type="default"/>
          <w:pgSz w:w="11905" w:h="16840"/>
          <w:pgMar w:top="1431" w:right="1707" w:bottom="1156" w:left="1785" w:header="0" w:footer="995" w:gutter="0"/>
          <w:cols w:space="720" w:num="1"/>
        </w:sectPr>
      </w:pPr>
    </w:p>
    <w:p w14:paraId="3AC7828C">
      <w:pPr>
        <w:spacing w:line="240" w:lineRule="auto"/>
        <w:ind w:left="0"/>
        <w:jc w:val="center"/>
        <w:outlineLvl w:val="3"/>
        <w:rPr>
          <w:rFonts w:ascii="宋体" w:hAnsi="宋体" w:eastAsia="宋体" w:cs="宋体"/>
          <w:b/>
          <w:bCs/>
          <w:spacing w:val="-2"/>
          <w:sz w:val="36"/>
          <w:szCs w:val="36"/>
        </w:rPr>
      </w:pPr>
      <w:r>
        <w:rPr>
          <w:rFonts w:ascii="宋体" w:hAnsi="宋体" w:eastAsia="宋体" w:cs="宋体"/>
          <w:b/>
          <w:bCs/>
          <w:spacing w:val="-2"/>
          <w:sz w:val="36"/>
          <w:szCs w:val="36"/>
        </w:rPr>
        <w:t>第五部分</w:t>
      </w:r>
      <w:r>
        <w:rPr>
          <w:rFonts w:hint="eastAsia" w:ascii="宋体" w:hAnsi="宋体" w:eastAsia="宋体" w:cs="宋体"/>
          <w:b/>
          <w:bCs/>
          <w:spacing w:val="-2"/>
          <w:sz w:val="36"/>
          <w:szCs w:val="36"/>
          <w:lang w:val="en-US" w:eastAsia="zh-CN"/>
        </w:rPr>
        <w:t>2025</w:t>
      </w:r>
      <w:r>
        <w:rPr>
          <w:rFonts w:ascii="宋体" w:hAnsi="宋体" w:eastAsia="宋体" w:cs="宋体"/>
          <w:b/>
          <w:bCs/>
          <w:spacing w:val="-2"/>
          <w:sz w:val="36"/>
          <w:szCs w:val="36"/>
        </w:rPr>
        <w:t>年</w:t>
      </w:r>
      <w:r>
        <w:rPr>
          <w:rFonts w:hint="eastAsia" w:ascii="宋体" w:hAnsi="宋体" w:eastAsia="宋体" w:cs="宋体"/>
          <w:b/>
          <w:bCs/>
          <w:spacing w:val="-2"/>
          <w:sz w:val="36"/>
          <w:szCs w:val="36"/>
          <w:lang w:val="en-US" w:eastAsia="zh-CN"/>
        </w:rPr>
        <w:t>盘锦市双台子区人社局部门</w:t>
      </w:r>
      <w:r>
        <w:rPr>
          <w:rFonts w:ascii="宋体" w:hAnsi="宋体" w:eastAsia="宋体" w:cs="宋体"/>
          <w:b/>
          <w:bCs/>
          <w:spacing w:val="-2"/>
          <w:sz w:val="36"/>
          <w:szCs w:val="36"/>
        </w:rPr>
        <w:t>预算</w:t>
      </w:r>
      <w:r>
        <w:rPr>
          <w:rFonts w:hint="eastAsia" w:ascii="宋体" w:hAnsi="宋体" w:eastAsia="宋体" w:cs="宋体"/>
          <w:b/>
          <w:bCs/>
          <w:spacing w:val="-2"/>
          <w:sz w:val="36"/>
          <w:szCs w:val="36"/>
          <w:highlight w:val="none"/>
          <w:lang w:eastAsia="zh-CN"/>
        </w:rPr>
        <w:t>公开</w:t>
      </w:r>
      <w:r>
        <w:rPr>
          <w:rFonts w:ascii="宋体" w:hAnsi="宋体" w:eastAsia="宋体" w:cs="宋体"/>
          <w:b/>
          <w:bCs/>
          <w:spacing w:val="-2"/>
          <w:sz w:val="36"/>
          <w:szCs w:val="36"/>
        </w:rPr>
        <w:t>表</w:t>
      </w:r>
    </w:p>
    <w:p w14:paraId="683BD713">
      <w:pPr>
        <w:spacing w:line="240" w:lineRule="auto"/>
        <w:jc w:val="center"/>
        <w:outlineLvl w:val="1"/>
        <w:rPr>
          <w:rFonts w:ascii="宋体" w:hAnsi="宋体" w:eastAsia="宋体" w:cs="宋体"/>
          <w:b/>
          <w:bCs/>
          <w:spacing w:val="4"/>
          <w:sz w:val="43"/>
          <w:szCs w:val="43"/>
        </w:rPr>
      </w:pPr>
      <w:r>
        <w:rPr>
          <w:rFonts w:ascii="宋体" w:hAnsi="宋体" w:eastAsia="宋体" w:cs="宋体"/>
          <w:b/>
          <w:bCs/>
          <w:spacing w:val="4"/>
          <w:sz w:val="43"/>
          <w:szCs w:val="43"/>
        </w:rPr>
        <w:t>收支预算总表</w:t>
      </w:r>
    </w:p>
    <w:p w14:paraId="72BD06EE">
      <w:pPr>
        <w:spacing w:before="62" w:line="231" w:lineRule="auto"/>
        <w:ind w:left="54"/>
        <w:rPr>
          <w:rFonts w:ascii="宋体" w:hAnsi="宋体" w:eastAsia="宋体" w:cs="宋体"/>
          <w:sz w:val="19"/>
          <w:szCs w:val="19"/>
        </w:rPr>
      </w:pPr>
      <w:r>
        <w:rPr>
          <w:rFonts w:ascii="宋体" w:hAnsi="宋体" w:eastAsia="宋体" w:cs="宋体"/>
          <w:spacing w:val="4"/>
          <w:sz w:val="19"/>
          <w:szCs w:val="19"/>
        </w:rPr>
        <w:t>表1</w:t>
      </w:r>
    </w:p>
    <w:p w14:paraId="1F6B821C">
      <w:pPr>
        <w:spacing w:before="76" w:line="226" w:lineRule="auto"/>
        <w:ind w:left="58"/>
        <w:jc w:val="left"/>
        <w:rPr>
          <w:rFonts w:ascii="宋体" w:hAnsi="宋体" w:eastAsia="宋体" w:cs="宋体"/>
          <w:sz w:val="19"/>
          <w:szCs w:val="19"/>
        </w:rPr>
      </w:pPr>
      <w:r>
        <w:rPr>
          <w:rFonts w:ascii="宋体" w:hAnsi="宋体" w:eastAsia="宋体" w:cs="宋体"/>
          <w:spacing w:val="8"/>
          <w:sz w:val="19"/>
          <w:szCs w:val="19"/>
        </w:rPr>
        <w:t>部门名称：</w:t>
      </w:r>
      <w:r>
        <w:rPr>
          <w:rFonts w:hint="eastAsia" w:ascii="宋体" w:hAnsi="宋体" w:eastAsia="宋体" w:cs="宋体"/>
          <w:spacing w:val="8"/>
          <w:sz w:val="19"/>
          <w:szCs w:val="19"/>
          <w:lang w:val="en-US" w:eastAsia="zh-CN"/>
        </w:rPr>
        <w:t xml:space="preserve">盘锦市双台子区人社局                                                                                              </w:t>
      </w:r>
      <w:r>
        <w:rPr>
          <w:rFonts w:ascii="宋体" w:hAnsi="宋体" w:eastAsia="宋体" w:cs="宋体"/>
          <w:spacing w:val="8"/>
          <w:sz w:val="19"/>
          <w:szCs w:val="19"/>
        </w:rPr>
        <w:t>单位：万元</w:t>
      </w:r>
    </w:p>
    <w:tbl>
      <w:tblPr>
        <w:tblStyle w:val="5"/>
        <w:tblW w:w="14154"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531"/>
        <w:gridCol w:w="2546"/>
        <w:gridCol w:w="4521"/>
        <w:gridCol w:w="2556"/>
      </w:tblGrid>
      <w:tr w14:paraId="1BCA17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7077" w:type="dxa"/>
            <w:gridSpan w:val="2"/>
            <w:vAlign w:val="top"/>
          </w:tcPr>
          <w:p w14:paraId="332D126E">
            <w:pPr>
              <w:spacing w:before="158" w:line="230" w:lineRule="auto"/>
              <w:ind w:left="3052"/>
              <w:rPr>
                <w:rFonts w:ascii="宋体" w:hAnsi="宋体" w:eastAsia="宋体" w:cs="宋体"/>
                <w:sz w:val="19"/>
                <w:szCs w:val="19"/>
              </w:rPr>
            </w:pPr>
            <w:r>
              <w:rPr>
                <w:rFonts w:ascii="宋体" w:hAnsi="宋体" w:eastAsia="宋体" w:cs="宋体"/>
                <w:spacing w:val="-1"/>
                <w:sz w:val="19"/>
                <w:szCs w:val="19"/>
              </w:rPr>
              <w:t>收入</w:t>
            </w:r>
          </w:p>
        </w:tc>
        <w:tc>
          <w:tcPr>
            <w:tcW w:w="7077" w:type="dxa"/>
            <w:gridSpan w:val="2"/>
            <w:vAlign w:val="top"/>
          </w:tcPr>
          <w:p w14:paraId="7737DDFA">
            <w:pPr>
              <w:spacing w:before="158" w:line="231" w:lineRule="auto"/>
              <w:ind w:left="3145"/>
              <w:rPr>
                <w:rFonts w:ascii="宋体" w:hAnsi="宋体" w:eastAsia="宋体" w:cs="宋体"/>
                <w:sz w:val="19"/>
                <w:szCs w:val="19"/>
              </w:rPr>
            </w:pPr>
            <w:r>
              <w:rPr>
                <w:rFonts w:ascii="宋体" w:hAnsi="宋体" w:eastAsia="宋体" w:cs="宋体"/>
                <w:sz w:val="19"/>
                <w:szCs w:val="19"/>
              </w:rPr>
              <w:t>支出</w:t>
            </w:r>
          </w:p>
        </w:tc>
      </w:tr>
      <w:tr w14:paraId="670A73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47D1906">
            <w:pPr>
              <w:spacing w:before="148" w:line="231" w:lineRule="auto"/>
              <w:ind w:left="1873"/>
              <w:rPr>
                <w:rFonts w:ascii="宋体" w:hAnsi="宋体" w:eastAsia="宋体" w:cs="宋体"/>
                <w:sz w:val="19"/>
                <w:szCs w:val="19"/>
              </w:rPr>
            </w:pPr>
            <w:r>
              <w:rPr>
                <w:rFonts w:ascii="宋体" w:hAnsi="宋体" w:eastAsia="宋体" w:cs="宋体"/>
                <w:spacing w:val="-1"/>
                <w:sz w:val="19"/>
                <w:szCs w:val="19"/>
              </w:rPr>
              <w:t>项目</w:t>
            </w:r>
          </w:p>
        </w:tc>
        <w:tc>
          <w:tcPr>
            <w:tcW w:w="2546" w:type="dxa"/>
            <w:vAlign w:val="top"/>
          </w:tcPr>
          <w:p w14:paraId="5548E9A4">
            <w:pPr>
              <w:spacing w:before="148" w:line="230" w:lineRule="auto"/>
              <w:ind w:left="981"/>
              <w:rPr>
                <w:rFonts w:ascii="宋体" w:hAnsi="宋体" w:eastAsia="宋体" w:cs="宋体"/>
                <w:sz w:val="19"/>
                <w:szCs w:val="19"/>
              </w:rPr>
            </w:pPr>
            <w:r>
              <w:rPr>
                <w:rFonts w:ascii="宋体" w:hAnsi="宋体" w:eastAsia="宋体" w:cs="宋体"/>
                <w:spacing w:val="6"/>
                <w:sz w:val="19"/>
                <w:szCs w:val="19"/>
              </w:rPr>
              <w:t>预算数</w:t>
            </w:r>
          </w:p>
        </w:tc>
        <w:tc>
          <w:tcPr>
            <w:tcW w:w="4521" w:type="dxa"/>
            <w:vAlign w:val="top"/>
          </w:tcPr>
          <w:p w14:paraId="11A22FCB">
            <w:pPr>
              <w:spacing w:before="148" w:line="231" w:lineRule="auto"/>
              <w:ind w:left="1871"/>
              <w:rPr>
                <w:rFonts w:ascii="宋体" w:hAnsi="宋体" w:eastAsia="宋体" w:cs="宋体"/>
                <w:sz w:val="19"/>
                <w:szCs w:val="19"/>
              </w:rPr>
            </w:pPr>
            <w:r>
              <w:rPr>
                <w:rFonts w:ascii="宋体" w:hAnsi="宋体" w:eastAsia="宋体" w:cs="宋体"/>
                <w:spacing w:val="-1"/>
                <w:sz w:val="19"/>
                <w:szCs w:val="19"/>
              </w:rPr>
              <w:t>项目</w:t>
            </w:r>
          </w:p>
        </w:tc>
        <w:tc>
          <w:tcPr>
            <w:tcW w:w="2556" w:type="dxa"/>
            <w:vAlign w:val="top"/>
          </w:tcPr>
          <w:p w14:paraId="6ECA0085">
            <w:pPr>
              <w:spacing w:before="148" w:line="230" w:lineRule="auto"/>
              <w:ind w:left="989"/>
              <w:rPr>
                <w:rFonts w:ascii="宋体" w:hAnsi="宋体" w:eastAsia="宋体" w:cs="宋体"/>
                <w:sz w:val="19"/>
                <w:szCs w:val="19"/>
              </w:rPr>
            </w:pPr>
            <w:r>
              <w:rPr>
                <w:rFonts w:ascii="宋体" w:hAnsi="宋体" w:eastAsia="宋体" w:cs="宋体"/>
                <w:spacing w:val="7"/>
                <w:sz w:val="19"/>
                <w:szCs w:val="19"/>
              </w:rPr>
              <w:t>预算数</w:t>
            </w:r>
          </w:p>
        </w:tc>
      </w:tr>
      <w:tr w14:paraId="360D9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6E277F44">
            <w:pPr>
              <w:spacing w:before="151" w:line="230" w:lineRule="auto"/>
              <w:ind w:left="43"/>
              <w:rPr>
                <w:rFonts w:ascii="宋体" w:hAnsi="宋体" w:eastAsia="宋体" w:cs="宋体"/>
                <w:sz w:val="19"/>
                <w:szCs w:val="19"/>
              </w:rPr>
            </w:pPr>
            <w:r>
              <w:rPr>
                <w:rFonts w:ascii="宋体" w:hAnsi="宋体" w:eastAsia="宋体" w:cs="宋体"/>
                <w:spacing w:val="9"/>
                <w:sz w:val="19"/>
                <w:szCs w:val="19"/>
              </w:rPr>
              <w:t>一、一般公共预算拨款收入</w:t>
            </w:r>
          </w:p>
        </w:tc>
        <w:tc>
          <w:tcPr>
            <w:tcW w:w="2546" w:type="dxa"/>
            <w:vAlign w:val="top"/>
          </w:tcPr>
          <w:p w14:paraId="65557A2B">
            <w:pPr>
              <w:pStyle w:val="6"/>
            </w:pPr>
          </w:p>
          <w:p w14:paraId="470AA4D0">
            <w:pPr>
              <w:bidi w:val="0"/>
              <w:jc w:val="center"/>
              <w:rPr>
                <w:rFonts w:hint="eastAsia" w:eastAsia="宋体"/>
                <w:lang w:eastAsia="zh-CN"/>
              </w:rPr>
            </w:pPr>
            <w:r>
              <w:rPr>
                <w:rFonts w:hint="eastAsia"/>
              </w:rPr>
              <w:t>3759.96</w:t>
            </w:r>
          </w:p>
        </w:tc>
        <w:tc>
          <w:tcPr>
            <w:tcW w:w="4521" w:type="dxa"/>
            <w:vAlign w:val="top"/>
          </w:tcPr>
          <w:p w14:paraId="11DED63C">
            <w:pPr>
              <w:spacing w:before="151" w:line="230" w:lineRule="auto"/>
              <w:ind w:left="42"/>
              <w:rPr>
                <w:rFonts w:ascii="宋体" w:hAnsi="宋体" w:eastAsia="宋体" w:cs="宋体"/>
                <w:sz w:val="19"/>
                <w:szCs w:val="19"/>
              </w:rPr>
            </w:pPr>
            <w:r>
              <w:rPr>
                <w:rFonts w:ascii="宋体" w:hAnsi="宋体" w:eastAsia="宋体" w:cs="宋体"/>
                <w:spacing w:val="8"/>
                <w:sz w:val="19"/>
                <w:szCs w:val="19"/>
              </w:rPr>
              <w:t>一、一般公共服务支出</w:t>
            </w:r>
          </w:p>
        </w:tc>
        <w:tc>
          <w:tcPr>
            <w:tcW w:w="2556" w:type="dxa"/>
            <w:vAlign w:val="top"/>
          </w:tcPr>
          <w:p w14:paraId="039B1D27">
            <w:pPr>
              <w:pStyle w:val="6"/>
              <w:jc w:val="center"/>
              <w:rPr>
                <w:rFonts w:hint="eastAsia"/>
              </w:rPr>
            </w:pPr>
          </w:p>
          <w:p w14:paraId="107327FF">
            <w:pPr>
              <w:pStyle w:val="6"/>
              <w:jc w:val="center"/>
              <w:rPr>
                <w:rFonts w:hint="eastAsia" w:eastAsia="宋体"/>
                <w:lang w:val="en-US" w:eastAsia="zh-CN"/>
              </w:rPr>
            </w:pPr>
            <w:r>
              <w:rPr>
                <w:rFonts w:hint="eastAsia"/>
              </w:rPr>
              <w:t>3675.2</w:t>
            </w:r>
            <w:r>
              <w:rPr>
                <w:rFonts w:hint="eastAsia" w:eastAsia="宋体"/>
                <w:lang w:val="en-US" w:eastAsia="zh-CN"/>
              </w:rPr>
              <w:t>5</w:t>
            </w:r>
          </w:p>
        </w:tc>
      </w:tr>
      <w:tr w14:paraId="11BE78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FF9138C">
            <w:pPr>
              <w:spacing w:before="152" w:line="229" w:lineRule="auto"/>
              <w:ind w:left="43"/>
              <w:rPr>
                <w:rFonts w:ascii="宋体" w:hAnsi="宋体" w:eastAsia="宋体" w:cs="宋体"/>
                <w:sz w:val="19"/>
                <w:szCs w:val="19"/>
              </w:rPr>
            </w:pPr>
            <w:r>
              <w:rPr>
                <w:rFonts w:ascii="宋体" w:hAnsi="宋体" w:eastAsia="宋体" w:cs="宋体"/>
                <w:spacing w:val="9"/>
                <w:sz w:val="19"/>
                <w:szCs w:val="19"/>
              </w:rPr>
              <w:t>二、政府性基金预算拨款收入</w:t>
            </w:r>
          </w:p>
        </w:tc>
        <w:tc>
          <w:tcPr>
            <w:tcW w:w="2546" w:type="dxa"/>
            <w:vAlign w:val="top"/>
          </w:tcPr>
          <w:p w14:paraId="46AD56AB">
            <w:pPr>
              <w:pStyle w:val="6"/>
            </w:pPr>
          </w:p>
        </w:tc>
        <w:tc>
          <w:tcPr>
            <w:tcW w:w="4521" w:type="dxa"/>
            <w:vAlign w:val="top"/>
          </w:tcPr>
          <w:p w14:paraId="748EEEB8">
            <w:pPr>
              <w:spacing w:before="152" w:line="229" w:lineRule="auto"/>
              <w:ind w:left="42"/>
              <w:rPr>
                <w:rFonts w:ascii="宋体" w:hAnsi="宋体" w:eastAsia="宋体" w:cs="宋体"/>
                <w:sz w:val="19"/>
                <w:szCs w:val="19"/>
              </w:rPr>
            </w:pPr>
            <w:r>
              <w:rPr>
                <w:rFonts w:ascii="宋体" w:hAnsi="宋体" w:eastAsia="宋体" w:cs="宋体"/>
                <w:spacing w:val="9"/>
                <w:sz w:val="19"/>
                <w:szCs w:val="19"/>
              </w:rPr>
              <w:t>二、社会保障和就业支出</w:t>
            </w:r>
          </w:p>
        </w:tc>
        <w:tc>
          <w:tcPr>
            <w:tcW w:w="2556" w:type="dxa"/>
            <w:vAlign w:val="top"/>
          </w:tcPr>
          <w:p w14:paraId="12933D5F">
            <w:pPr>
              <w:pStyle w:val="6"/>
              <w:jc w:val="center"/>
              <w:rPr>
                <w:rFonts w:hint="eastAsia"/>
              </w:rPr>
            </w:pPr>
          </w:p>
          <w:p w14:paraId="05A0AB07">
            <w:pPr>
              <w:pStyle w:val="6"/>
              <w:jc w:val="center"/>
              <w:rPr>
                <w:rFonts w:hint="eastAsia" w:eastAsia="宋体"/>
                <w:lang w:eastAsia="zh-CN"/>
              </w:rPr>
            </w:pPr>
            <w:r>
              <w:rPr>
                <w:rFonts w:hint="eastAsia"/>
              </w:rPr>
              <w:t>30.6</w:t>
            </w:r>
            <w:r>
              <w:rPr>
                <w:rFonts w:hint="eastAsia" w:eastAsia="宋体"/>
                <w:lang w:val="en-US" w:eastAsia="zh-CN"/>
              </w:rPr>
              <w:t>7</w:t>
            </w:r>
          </w:p>
        </w:tc>
      </w:tr>
      <w:tr w14:paraId="1F1DB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50199035">
            <w:pPr>
              <w:spacing w:before="152" w:line="229" w:lineRule="auto"/>
              <w:ind w:left="40"/>
              <w:rPr>
                <w:rFonts w:ascii="宋体" w:hAnsi="宋体" w:eastAsia="宋体" w:cs="宋体"/>
                <w:sz w:val="19"/>
                <w:szCs w:val="19"/>
              </w:rPr>
            </w:pPr>
            <w:r>
              <w:rPr>
                <w:rFonts w:ascii="宋体" w:hAnsi="宋体" w:eastAsia="宋体" w:cs="宋体"/>
                <w:spacing w:val="9"/>
                <w:sz w:val="19"/>
                <w:szCs w:val="19"/>
              </w:rPr>
              <w:t>三、国有资本经营预算拨款收入</w:t>
            </w:r>
          </w:p>
        </w:tc>
        <w:tc>
          <w:tcPr>
            <w:tcW w:w="2546" w:type="dxa"/>
            <w:vAlign w:val="top"/>
          </w:tcPr>
          <w:p w14:paraId="4243EB4E">
            <w:pPr>
              <w:pStyle w:val="6"/>
            </w:pPr>
          </w:p>
        </w:tc>
        <w:tc>
          <w:tcPr>
            <w:tcW w:w="4521" w:type="dxa"/>
            <w:vAlign w:val="top"/>
          </w:tcPr>
          <w:p w14:paraId="78E93509">
            <w:pPr>
              <w:spacing w:before="152" w:line="230" w:lineRule="auto"/>
              <w:ind w:left="38"/>
              <w:rPr>
                <w:rFonts w:ascii="宋体" w:hAnsi="宋体" w:eastAsia="宋体" w:cs="宋体"/>
                <w:sz w:val="19"/>
                <w:szCs w:val="19"/>
              </w:rPr>
            </w:pPr>
            <w:r>
              <w:rPr>
                <w:rFonts w:ascii="宋体" w:hAnsi="宋体" w:eastAsia="宋体" w:cs="宋体"/>
                <w:spacing w:val="9"/>
                <w:sz w:val="19"/>
                <w:szCs w:val="19"/>
              </w:rPr>
              <w:t>三、卫生健康支出</w:t>
            </w:r>
          </w:p>
        </w:tc>
        <w:tc>
          <w:tcPr>
            <w:tcW w:w="2556" w:type="dxa"/>
            <w:vAlign w:val="top"/>
          </w:tcPr>
          <w:p w14:paraId="7128AA68">
            <w:pPr>
              <w:pStyle w:val="6"/>
            </w:pPr>
          </w:p>
        </w:tc>
      </w:tr>
      <w:tr w14:paraId="70A7DF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0574384A">
            <w:pPr>
              <w:spacing w:before="154" w:line="230" w:lineRule="auto"/>
              <w:ind w:left="59"/>
              <w:rPr>
                <w:rFonts w:ascii="宋体" w:hAnsi="宋体" w:eastAsia="宋体" w:cs="宋体"/>
                <w:sz w:val="19"/>
                <w:szCs w:val="19"/>
              </w:rPr>
            </w:pPr>
            <w:r>
              <w:rPr>
                <w:rFonts w:ascii="宋体" w:hAnsi="宋体" w:eastAsia="宋体" w:cs="宋体"/>
                <w:spacing w:val="7"/>
                <w:sz w:val="19"/>
                <w:szCs w:val="19"/>
              </w:rPr>
              <w:t>四、财政专户管理资金收入</w:t>
            </w:r>
          </w:p>
        </w:tc>
        <w:tc>
          <w:tcPr>
            <w:tcW w:w="2546" w:type="dxa"/>
            <w:vAlign w:val="top"/>
          </w:tcPr>
          <w:p w14:paraId="5EAF851F">
            <w:pPr>
              <w:pStyle w:val="6"/>
            </w:pPr>
          </w:p>
        </w:tc>
        <w:tc>
          <w:tcPr>
            <w:tcW w:w="4521" w:type="dxa"/>
            <w:vAlign w:val="top"/>
          </w:tcPr>
          <w:p w14:paraId="2437E7DE">
            <w:pPr>
              <w:spacing w:before="154" w:line="230" w:lineRule="auto"/>
              <w:ind w:left="57"/>
              <w:rPr>
                <w:rFonts w:ascii="宋体" w:hAnsi="宋体" w:eastAsia="宋体" w:cs="宋体"/>
                <w:sz w:val="19"/>
                <w:szCs w:val="19"/>
              </w:rPr>
            </w:pPr>
            <w:r>
              <w:rPr>
                <w:rFonts w:ascii="宋体" w:hAnsi="宋体" w:eastAsia="宋体" w:cs="宋体"/>
                <w:spacing w:val="6"/>
                <w:sz w:val="19"/>
                <w:szCs w:val="19"/>
              </w:rPr>
              <w:t>四、住房保障支出</w:t>
            </w:r>
          </w:p>
        </w:tc>
        <w:tc>
          <w:tcPr>
            <w:tcW w:w="2556" w:type="dxa"/>
            <w:vAlign w:val="top"/>
          </w:tcPr>
          <w:p w14:paraId="0C4ABD1C">
            <w:pPr>
              <w:pStyle w:val="6"/>
              <w:jc w:val="center"/>
              <w:rPr>
                <w:rFonts w:hint="eastAsia"/>
              </w:rPr>
            </w:pPr>
          </w:p>
          <w:p w14:paraId="0CF5BA23">
            <w:pPr>
              <w:pStyle w:val="6"/>
              <w:jc w:val="center"/>
            </w:pPr>
            <w:r>
              <w:rPr>
                <w:rFonts w:hint="eastAsia"/>
              </w:rPr>
              <w:t>54.04</w:t>
            </w:r>
          </w:p>
        </w:tc>
      </w:tr>
      <w:tr w14:paraId="028273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DCA5017">
            <w:pPr>
              <w:spacing w:before="153" w:line="230" w:lineRule="auto"/>
              <w:ind w:left="43"/>
              <w:rPr>
                <w:rFonts w:ascii="宋体" w:hAnsi="宋体" w:eastAsia="宋体" w:cs="宋体"/>
                <w:sz w:val="19"/>
                <w:szCs w:val="19"/>
              </w:rPr>
            </w:pPr>
            <w:r>
              <w:rPr>
                <w:rFonts w:ascii="宋体" w:hAnsi="宋体" w:eastAsia="宋体" w:cs="宋体"/>
                <w:spacing w:val="8"/>
                <w:sz w:val="19"/>
                <w:szCs w:val="19"/>
              </w:rPr>
              <w:t>五、单位资金收入</w:t>
            </w:r>
          </w:p>
        </w:tc>
        <w:tc>
          <w:tcPr>
            <w:tcW w:w="2546" w:type="dxa"/>
            <w:vAlign w:val="top"/>
          </w:tcPr>
          <w:p w14:paraId="370C19BE">
            <w:pPr>
              <w:pStyle w:val="6"/>
            </w:pPr>
          </w:p>
          <w:p w14:paraId="155AA2BF">
            <w:pPr>
              <w:bidi w:val="0"/>
              <w:jc w:val="center"/>
              <w:rPr>
                <w:rFonts w:hint="eastAsia" w:eastAsia="宋体"/>
                <w:lang w:val="en-US" w:eastAsia="zh-CN"/>
              </w:rPr>
            </w:pPr>
          </w:p>
        </w:tc>
        <w:tc>
          <w:tcPr>
            <w:tcW w:w="4521" w:type="dxa"/>
            <w:vAlign w:val="top"/>
          </w:tcPr>
          <w:p w14:paraId="1192D350">
            <w:pPr>
              <w:pStyle w:val="6"/>
            </w:pPr>
          </w:p>
        </w:tc>
        <w:tc>
          <w:tcPr>
            <w:tcW w:w="2556" w:type="dxa"/>
            <w:vAlign w:val="top"/>
          </w:tcPr>
          <w:p w14:paraId="76E79585">
            <w:pPr>
              <w:pStyle w:val="6"/>
            </w:pPr>
          </w:p>
        </w:tc>
      </w:tr>
      <w:tr w14:paraId="29AAA8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1F566A60">
            <w:pPr>
              <w:spacing w:before="156" w:line="230" w:lineRule="auto"/>
              <w:ind w:left="51"/>
              <w:rPr>
                <w:rFonts w:ascii="宋体" w:hAnsi="宋体" w:eastAsia="宋体" w:cs="宋体"/>
                <w:sz w:val="19"/>
                <w:szCs w:val="19"/>
              </w:rPr>
            </w:pPr>
            <w:r>
              <w:rPr>
                <w:rFonts w:ascii="宋体" w:hAnsi="宋体" w:eastAsia="宋体" w:cs="宋体"/>
                <w:spacing w:val="6"/>
                <w:sz w:val="19"/>
                <w:szCs w:val="19"/>
              </w:rPr>
              <w:t>（一）事业收入</w:t>
            </w:r>
          </w:p>
        </w:tc>
        <w:tc>
          <w:tcPr>
            <w:tcW w:w="2546" w:type="dxa"/>
            <w:vAlign w:val="top"/>
          </w:tcPr>
          <w:p w14:paraId="26AC0821">
            <w:pPr>
              <w:pStyle w:val="6"/>
            </w:pPr>
          </w:p>
        </w:tc>
        <w:tc>
          <w:tcPr>
            <w:tcW w:w="4521" w:type="dxa"/>
            <w:vAlign w:val="top"/>
          </w:tcPr>
          <w:p w14:paraId="2A2D42F8">
            <w:pPr>
              <w:pStyle w:val="6"/>
            </w:pPr>
          </w:p>
        </w:tc>
        <w:tc>
          <w:tcPr>
            <w:tcW w:w="2556" w:type="dxa"/>
            <w:vAlign w:val="top"/>
          </w:tcPr>
          <w:p w14:paraId="1132CF08">
            <w:pPr>
              <w:pStyle w:val="6"/>
            </w:pPr>
          </w:p>
        </w:tc>
      </w:tr>
      <w:tr w14:paraId="7D6BC3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3022AB64">
            <w:pPr>
              <w:spacing w:before="157" w:line="230" w:lineRule="auto"/>
              <w:ind w:left="51"/>
              <w:rPr>
                <w:rFonts w:ascii="宋体" w:hAnsi="宋体" w:eastAsia="宋体" w:cs="宋体"/>
                <w:sz w:val="19"/>
                <w:szCs w:val="19"/>
              </w:rPr>
            </w:pPr>
            <w:r>
              <w:rPr>
                <w:rFonts w:ascii="宋体" w:hAnsi="宋体" w:eastAsia="宋体" w:cs="宋体"/>
                <w:spacing w:val="7"/>
                <w:sz w:val="19"/>
                <w:szCs w:val="19"/>
              </w:rPr>
              <w:t>（二）事业单位经营收入</w:t>
            </w:r>
          </w:p>
        </w:tc>
        <w:tc>
          <w:tcPr>
            <w:tcW w:w="2546" w:type="dxa"/>
            <w:vAlign w:val="top"/>
          </w:tcPr>
          <w:p w14:paraId="4793F918">
            <w:pPr>
              <w:pStyle w:val="6"/>
            </w:pPr>
          </w:p>
        </w:tc>
        <w:tc>
          <w:tcPr>
            <w:tcW w:w="4521" w:type="dxa"/>
            <w:vAlign w:val="top"/>
          </w:tcPr>
          <w:p w14:paraId="2360F016">
            <w:pPr>
              <w:pStyle w:val="6"/>
            </w:pPr>
          </w:p>
        </w:tc>
        <w:tc>
          <w:tcPr>
            <w:tcW w:w="2556" w:type="dxa"/>
            <w:vAlign w:val="top"/>
          </w:tcPr>
          <w:p w14:paraId="3C700D97">
            <w:pPr>
              <w:pStyle w:val="6"/>
            </w:pPr>
          </w:p>
        </w:tc>
      </w:tr>
      <w:tr w14:paraId="66D48D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1D1B09BC">
            <w:pPr>
              <w:spacing w:before="157" w:line="230" w:lineRule="auto"/>
              <w:ind w:left="51"/>
              <w:rPr>
                <w:rFonts w:ascii="宋体" w:hAnsi="宋体" w:eastAsia="宋体" w:cs="宋体"/>
                <w:sz w:val="19"/>
                <w:szCs w:val="19"/>
              </w:rPr>
            </w:pPr>
            <w:r>
              <w:rPr>
                <w:rFonts w:ascii="宋体" w:hAnsi="宋体" w:eastAsia="宋体" w:cs="宋体"/>
                <w:spacing w:val="7"/>
                <w:sz w:val="19"/>
                <w:szCs w:val="19"/>
              </w:rPr>
              <w:t>（三）上级补助收入</w:t>
            </w:r>
          </w:p>
        </w:tc>
        <w:tc>
          <w:tcPr>
            <w:tcW w:w="2546" w:type="dxa"/>
            <w:vAlign w:val="top"/>
          </w:tcPr>
          <w:p w14:paraId="35B27371">
            <w:pPr>
              <w:pStyle w:val="6"/>
            </w:pPr>
          </w:p>
        </w:tc>
        <w:tc>
          <w:tcPr>
            <w:tcW w:w="4521" w:type="dxa"/>
            <w:vAlign w:val="top"/>
          </w:tcPr>
          <w:p w14:paraId="6FE31A01">
            <w:pPr>
              <w:pStyle w:val="6"/>
            </w:pPr>
          </w:p>
        </w:tc>
        <w:tc>
          <w:tcPr>
            <w:tcW w:w="2556" w:type="dxa"/>
            <w:vAlign w:val="top"/>
          </w:tcPr>
          <w:p w14:paraId="1A03BC3D">
            <w:pPr>
              <w:pStyle w:val="6"/>
            </w:pPr>
          </w:p>
        </w:tc>
      </w:tr>
      <w:tr w14:paraId="537D9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7218D004">
            <w:pPr>
              <w:spacing w:before="158" w:line="229" w:lineRule="auto"/>
              <w:ind w:left="51"/>
              <w:rPr>
                <w:rFonts w:ascii="宋体" w:hAnsi="宋体" w:eastAsia="宋体" w:cs="宋体"/>
                <w:sz w:val="19"/>
                <w:szCs w:val="19"/>
              </w:rPr>
            </w:pPr>
            <w:r>
              <w:rPr>
                <w:rFonts w:ascii="宋体" w:hAnsi="宋体" w:eastAsia="宋体" w:cs="宋体"/>
                <w:spacing w:val="7"/>
                <w:sz w:val="19"/>
                <w:szCs w:val="19"/>
              </w:rPr>
              <w:t>（四）附属单位上缴收入</w:t>
            </w:r>
          </w:p>
        </w:tc>
        <w:tc>
          <w:tcPr>
            <w:tcW w:w="2546" w:type="dxa"/>
            <w:vAlign w:val="top"/>
          </w:tcPr>
          <w:p w14:paraId="6A668316">
            <w:pPr>
              <w:pStyle w:val="6"/>
            </w:pPr>
          </w:p>
        </w:tc>
        <w:tc>
          <w:tcPr>
            <w:tcW w:w="4521" w:type="dxa"/>
            <w:vAlign w:val="top"/>
          </w:tcPr>
          <w:p w14:paraId="3C9A8F77">
            <w:pPr>
              <w:pStyle w:val="6"/>
            </w:pPr>
          </w:p>
        </w:tc>
        <w:tc>
          <w:tcPr>
            <w:tcW w:w="2556" w:type="dxa"/>
            <w:vAlign w:val="top"/>
          </w:tcPr>
          <w:p w14:paraId="498FB39C">
            <w:pPr>
              <w:pStyle w:val="6"/>
            </w:pPr>
          </w:p>
        </w:tc>
      </w:tr>
      <w:tr w14:paraId="39673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064E0ECE">
            <w:pPr>
              <w:spacing w:before="158" w:line="230" w:lineRule="auto"/>
              <w:ind w:left="51"/>
              <w:rPr>
                <w:rFonts w:ascii="宋体" w:hAnsi="宋体" w:eastAsia="宋体" w:cs="宋体"/>
                <w:sz w:val="19"/>
                <w:szCs w:val="19"/>
              </w:rPr>
            </w:pPr>
            <w:r>
              <w:rPr>
                <w:rFonts w:ascii="宋体" w:hAnsi="宋体" w:eastAsia="宋体" w:cs="宋体"/>
                <w:spacing w:val="6"/>
                <w:sz w:val="19"/>
                <w:szCs w:val="19"/>
              </w:rPr>
              <w:t>（五）其他收入</w:t>
            </w:r>
          </w:p>
        </w:tc>
        <w:tc>
          <w:tcPr>
            <w:tcW w:w="2546" w:type="dxa"/>
            <w:vAlign w:val="top"/>
          </w:tcPr>
          <w:p w14:paraId="46F94C27">
            <w:pPr>
              <w:pStyle w:val="6"/>
            </w:pPr>
          </w:p>
          <w:p w14:paraId="53FE45D2">
            <w:pPr>
              <w:bidi w:val="0"/>
              <w:jc w:val="center"/>
              <w:rPr>
                <w:rFonts w:hint="eastAsia" w:eastAsia="宋体"/>
                <w:lang w:val="en-US" w:eastAsia="zh-CN"/>
              </w:rPr>
            </w:pPr>
          </w:p>
        </w:tc>
        <w:tc>
          <w:tcPr>
            <w:tcW w:w="4521" w:type="dxa"/>
            <w:vAlign w:val="top"/>
          </w:tcPr>
          <w:p w14:paraId="6707B754">
            <w:pPr>
              <w:pStyle w:val="6"/>
            </w:pPr>
          </w:p>
        </w:tc>
        <w:tc>
          <w:tcPr>
            <w:tcW w:w="2556" w:type="dxa"/>
            <w:vAlign w:val="top"/>
          </w:tcPr>
          <w:p w14:paraId="1B149B3C">
            <w:pPr>
              <w:pStyle w:val="6"/>
            </w:pPr>
          </w:p>
        </w:tc>
      </w:tr>
      <w:tr w14:paraId="63ADD1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9912224">
            <w:pPr>
              <w:spacing w:before="160" w:line="229" w:lineRule="auto"/>
              <w:ind w:left="1673"/>
              <w:rPr>
                <w:rFonts w:ascii="宋体" w:hAnsi="宋体" w:eastAsia="宋体" w:cs="宋体"/>
                <w:sz w:val="19"/>
                <w:szCs w:val="19"/>
              </w:rPr>
            </w:pPr>
            <w:r>
              <w:rPr>
                <w:rFonts w:ascii="宋体" w:hAnsi="宋体" w:eastAsia="宋体" w:cs="宋体"/>
                <w:spacing w:val="8"/>
                <w:sz w:val="19"/>
                <w:szCs w:val="19"/>
              </w:rPr>
              <w:t>本年收入合计</w:t>
            </w:r>
          </w:p>
        </w:tc>
        <w:tc>
          <w:tcPr>
            <w:tcW w:w="2546" w:type="dxa"/>
            <w:vAlign w:val="top"/>
          </w:tcPr>
          <w:p w14:paraId="1A5985D8">
            <w:pPr>
              <w:pStyle w:val="6"/>
            </w:pPr>
          </w:p>
          <w:p w14:paraId="5C7F3A01">
            <w:pPr>
              <w:bidi w:val="0"/>
              <w:jc w:val="center"/>
            </w:pPr>
            <w:r>
              <w:rPr>
                <w:rFonts w:hint="eastAsia"/>
              </w:rPr>
              <w:t>37</w:t>
            </w:r>
            <w:r>
              <w:rPr>
                <w:rFonts w:hint="eastAsia" w:eastAsia="宋体"/>
                <w:lang w:val="en-US" w:eastAsia="zh-CN"/>
              </w:rPr>
              <w:t>59</w:t>
            </w:r>
            <w:r>
              <w:rPr>
                <w:rFonts w:hint="eastAsia"/>
              </w:rPr>
              <w:t>.96</w:t>
            </w:r>
          </w:p>
        </w:tc>
        <w:tc>
          <w:tcPr>
            <w:tcW w:w="4521" w:type="dxa"/>
            <w:vAlign w:val="top"/>
          </w:tcPr>
          <w:p w14:paraId="5E7CDE10">
            <w:pPr>
              <w:spacing w:before="160" w:line="229" w:lineRule="auto"/>
              <w:ind w:left="1671"/>
              <w:rPr>
                <w:rFonts w:ascii="宋体" w:hAnsi="宋体" w:eastAsia="宋体" w:cs="宋体"/>
                <w:sz w:val="19"/>
                <w:szCs w:val="19"/>
              </w:rPr>
            </w:pPr>
            <w:r>
              <w:rPr>
                <w:rFonts w:ascii="宋体" w:hAnsi="宋体" w:eastAsia="宋体" w:cs="宋体"/>
                <w:spacing w:val="8"/>
                <w:sz w:val="19"/>
                <w:szCs w:val="19"/>
              </w:rPr>
              <w:t>本年支出合计</w:t>
            </w:r>
          </w:p>
        </w:tc>
        <w:tc>
          <w:tcPr>
            <w:tcW w:w="2556" w:type="dxa"/>
            <w:vAlign w:val="top"/>
          </w:tcPr>
          <w:p w14:paraId="24F723C5">
            <w:pPr>
              <w:pStyle w:val="6"/>
              <w:jc w:val="center"/>
              <w:rPr>
                <w:rFonts w:hint="eastAsia"/>
              </w:rPr>
            </w:pPr>
          </w:p>
          <w:p w14:paraId="2FD8AA4E">
            <w:pPr>
              <w:pStyle w:val="6"/>
              <w:jc w:val="center"/>
              <w:rPr>
                <w:rFonts w:hint="eastAsia" w:eastAsia="宋体"/>
                <w:lang w:eastAsia="zh-CN"/>
              </w:rPr>
            </w:pPr>
            <w:r>
              <w:rPr>
                <w:rFonts w:hint="eastAsia"/>
              </w:rPr>
              <w:t>3759.96</w:t>
            </w:r>
          </w:p>
        </w:tc>
      </w:tr>
      <w:tr w14:paraId="2083F0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6107E3DC">
            <w:pPr>
              <w:spacing w:before="161" w:line="230" w:lineRule="auto"/>
              <w:ind w:left="42"/>
              <w:rPr>
                <w:rFonts w:ascii="宋体" w:hAnsi="宋体" w:eastAsia="宋体" w:cs="宋体"/>
                <w:sz w:val="19"/>
                <w:szCs w:val="19"/>
              </w:rPr>
            </w:pPr>
            <w:r>
              <w:rPr>
                <w:rFonts w:ascii="宋体" w:hAnsi="宋体" w:eastAsia="宋体" w:cs="宋体"/>
                <w:spacing w:val="8"/>
                <w:sz w:val="19"/>
                <w:szCs w:val="19"/>
              </w:rPr>
              <w:t>上年结转结余</w:t>
            </w:r>
          </w:p>
        </w:tc>
        <w:tc>
          <w:tcPr>
            <w:tcW w:w="2546" w:type="dxa"/>
            <w:vAlign w:val="top"/>
          </w:tcPr>
          <w:p w14:paraId="70E63C5C">
            <w:pPr>
              <w:pStyle w:val="6"/>
            </w:pPr>
          </w:p>
        </w:tc>
        <w:tc>
          <w:tcPr>
            <w:tcW w:w="4521" w:type="dxa"/>
            <w:vAlign w:val="top"/>
          </w:tcPr>
          <w:p w14:paraId="7A6AE77C">
            <w:pPr>
              <w:spacing w:before="161" w:line="230" w:lineRule="auto"/>
              <w:ind w:left="39"/>
              <w:rPr>
                <w:rFonts w:ascii="宋体" w:hAnsi="宋体" w:eastAsia="宋体" w:cs="宋体"/>
                <w:sz w:val="19"/>
                <w:szCs w:val="19"/>
              </w:rPr>
            </w:pPr>
            <w:r>
              <w:rPr>
                <w:rFonts w:ascii="宋体" w:hAnsi="宋体" w:eastAsia="宋体" w:cs="宋体"/>
                <w:spacing w:val="8"/>
                <w:sz w:val="19"/>
                <w:szCs w:val="19"/>
              </w:rPr>
              <w:t>年终结转结余</w:t>
            </w:r>
          </w:p>
        </w:tc>
        <w:tc>
          <w:tcPr>
            <w:tcW w:w="2556" w:type="dxa"/>
            <w:vAlign w:val="top"/>
          </w:tcPr>
          <w:p w14:paraId="178605F0">
            <w:pPr>
              <w:pStyle w:val="6"/>
            </w:pPr>
          </w:p>
          <w:p w14:paraId="07530C06">
            <w:pPr>
              <w:bidi w:val="0"/>
              <w:jc w:val="center"/>
              <w:rPr>
                <w:rFonts w:hint="eastAsia" w:eastAsia="宋体"/>
                <w:lang w:val="en-US" w:eastAsia="zh-CN"/>
              </w:rPr>
            </w:pPr>
          </w:p>
        </w:tc>
      </w:tr>
      <w:tr w14:paraId="735FAC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5956993C">
            <w:pPr>
              <w:pStyle w:val="6"/>
            </w:pPr>
          </w:p>
        </w:tc>
        <w:tc>
          <w:tcPr>
            <w:tcW w:w="2546" w:type="dxa"/>
            <w:vAlign w:val="top"/>
          </w:tcPr>
          <w:p w14:paraId="2228502B">
            <w:pPr>
              <w:pStyle w:val="6"/>
            </w:pPr>
          </w:p>
        </w:tc>
        <w:tc>
          <w:tcPr>
            <w:tcW w:w="4521" w:type="dxa"/>
            <w:vAlign w:val="top"/>
          </w:tcPr>
          <w:p w14:paraId="76243C13">
            <w:pPr>
              <w:pStyle w:val="6"/>
            </w:pPr>
          </w:p>
        </w:tc>
        <w:tc>
          <w:tcPr>
            <w:tcW w:w="2556" w:type="dxa"/>
            <w:vAlign w:val="top"/>
          </w:tcPr>
          <w:p w14:paraId="1B80ED85">
            <w:pPr>
              <w:pStyle w:val="6"/>
            </w:pPr>
          </w:p>
        </w:tc>
      </w:tr>
      <w:tr w14:paraId="09ADB3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4531" w:type="dxa"/>
            <w:vAlign w:val="top"/>
          </w:tcPr>
          <w:p w14:paraId="476031D0">
            <w:pPr>
              <w:spacing w:before="163" w:line="230" w:lineRule="auto"/>
              <w:ind w:left="1426"/>
              <w:rPr>
                <w:rFonts w:ascii="宋体" w:hAnsi="宋体" w:eastAsia="宋体" w:cs="宋体"/>
                <w:sz w:val="19"/>
                <w:szCs w:val="19"/>
              </w:rPr>
            </w:pPr>
            <w:r>
              <w:rPr>
                <w:rFonts w:ascii="宋体" w:hAnsi="宋体" w:eastAsia="宋体" w:cs="宋体"/>
                <w:sz w:val="19"/>
                <w:szCs w:val="19"/>
              </w:rPr>
              <w:t>收入总计</w:t>
            </w:r>
          </w:p>
        </w:tc>
        <w:tc>
          <w:tcPr>
            <w:tcW w:w="2546" w:type="dxa"/>
            <w:vAlign w:val="top"/>
          </w:tcPr>
          <w:p w14:paraId="7D54A2DB">
            <w:pPr>
              <w:pStyle w:val="6"/>
            </w:pPr>
          </w:p>
          <w:p w14:paraId="2DF2DCE6">
            <w:pPr>
              <w:bidi w:val="0"/>
              <w:jc w:val="center"/>
            </w:pPr>
            <w:r>
              <w:rPr>
                <w:rFonts w:hint="eastAsia"/>
              </w:rPr>
              <w:t>37</w:t>
            </w:r>
            <w:r>
              <w:rPr>
                <w:rFonts w:hint="eastAsia" w:eastAsia="宋体"/>
                <w:lang w:val="en-US" w:eastAsia="zh-CN"/>
              </w:rPr>
              <w:t>59</w:t>
            </w:r>
            <w:r>
              <w:rPr>
                <w:rFonts w:hint="eastAsia"/>
              </w:rPr>
              <w:t>.96</w:t>
            </w:r>
          </w:p>
        </w:tc>
        <w:tc>
          <w:tcPr>
            <w:tcW w:w="4521" w:type="dxa"/>
            <w:vAlign w:val="top"/>
          </w:tcPr>
          <w:p w14:paraId="2E896755">
            <w:pPr>
              <w:spacing w:before="163" w:line="231" w:lineRule="auto"/>
              <w:ind w:left="1418"/>
              <w:rPr>
                <w:rFonts w:ascii="宋体" w:hAnsi="宋体" w:eastAsia="宋体" w:cs="宋体"/>
                <w:sz w:val="19"/>
                <w:szCs w:val="19"/>
              </w:rPr>
            </w:pPr>
            <w:r>
              <w:rPr>
                <w:rFonts w:ascii="宋体" w:hAnsi="宋体" w:eastAsia="宋体" w:cs="宋体"/>
                <w:spacing w:val="-3"/>
                <w:sz w:val="19"/>
                <w:szCs w:val="19"/>
              </w:rPr>
              <w:t>支出总计</w:t>
            </w:r>
          </w:p>
        </w:tc>
        <w:tc>
          <w:tcPr>
            <w:tcW w:w="2556" w:type="dxa"/>
            <w:vAlign w:val="top"/>
          </w:tcPr>
          <w:p w14:paraId="24A8CE3E">
            <w:pPr>
              <w:pStyle w:val="6"/>
            </w:pPr>
          </w:p>
          <w:p w14:paraId="118B0EC7">
            <w:pPr>
              <w:bidi w:val="0"/>
              <w:jc w:val="center"/>
            </w:pPr>
            <w:r>
              <w:rPr>
                <w:rFonts w:hint="eastAsia"/>
              </w:rPr>
              <w:t>37</w:t>
            </w:r>
            <w:r>
              <w:rPr>
                <w:rFonts w:hint="eastAsia" w:eastAsia="宋体"/>
                <w:lang w:val="en-US" w:eastAsia="zh-CN"/>
              </w:rPr>
              <w:t>59</w:t>
            </w:r>
            <w:r>
              <w:rPr>
                <w:rFonts w:hint="eastAsia"/>
              </w:rPr>
              <w:t>.96</w:t>
            </w:r>
          </w:p>
        </w:tc>
      </w:tr>
    </w:tbl>
    <w:p w14:paraId="3D3AB736">
      <w:pPr>
        <w:rPr>
          <w:rFonts w:ascii="Arial"/>
          <w:sz w:val="21"/>
        </w:rPr>
      </w:pPr>
    </w:p>
    <w:p w14:paraId="327219F1">
      <w:pPr>
        <w:rPr>
          <w:rFonts w:ascii="Arial" w:hAnsi="Arial" w:eastAsia="Arial" w:cs="Arial"/>
          <w:sz w:val="21"/>
          <w:szCs w:val="21"/>
        </w:rPr>
        <w:sectPr>
          <w:footerReference r:id="rId12" w:type="default"/>
          <w:pgSz w:w="16840" w:h="11905"/>
          <w:pgMar w:top="911" w:right="1344" w:bottom="400" w:left="1325" w:header="0" w:footer="0" w:gutter="0"/>
          <w:cols w:space="720" w:num="1"/>
        </w:sectPr>
      </w:pPr>
    </w:p>
    <w:p w14:paraId="74C3268D">
      <w:pPr>
        <w:spacing w:before="87" w:line="225" w:lineRule="auto"/>
        <w:jc w:val="center"/>
        <w:outlineLvl w:val="1"/>
        <w:rPr>
          <w:rFonts w:ascii="宋体" w:hAnsi="宋体" w:eastAsia="宋体" w:cs="宋体"/>
          <w:b/>
          <w:bCs/>
          <w:spacing w:val="4"/>
          <w:sz w:val="43"/>
          <w:szCs w:val="43"/>
        </w:rPr>
      </w:pPr>
      <w:r>
        <w:rPr>
          <w:rFonts w:ascii="宋体" w:hAnsi="宋体" w:eastAsia="宋体" w:cs="宋体"/>
          <w:b/>
          <w:bCs/>
          <w:spacing w:val="4"/>
          <w:sz w:val="43"/>
          <w:szCs w:val="43"/>
        </w:rPr>
        <w:object>
          <v:shape id="_x0000_i1039" o:spt="75" type="#_x0000_t75" style="height:317.15pt;width:708.35pt;" o:ole="t" filled="f" o:preferrelative="t" stroked="f" coordsize="21600,21600">
            <v:path/>
            <v:fill on="f" focussize="0,0"/>
            <v:stroke on="f"/>
            <v:imagedata r:id="rId15" o:title=""/>
            <o:lock v:ext="edit" aspectratio="f"/>
            <w10:wrap type="none"/>
            <w10:anchorlock/>
          </v:shape>
          <o:OLEObject Type="Embed" ProgID="Excel.Sheet.12" ShapeID="_x0000_i1039" DrawAspect="Content" ObjectID="_1468075725" r:id="rId14">
            <o:LockedField>false</o:LockedField>
          </o:OLEObject>
        </w:object>
      </w:r>
      <w:bookmarkStart w:id="0" w:name="_GoBack"/>
      <w:bookmarkEnd w:id="0"/>
    </w:p>
    <w:p w14:paraId="6B5D3C98">
      <w:pPr>
        <w:spacing w:before="87" w:line="225" w:lineRule="auto"/>
        <w:jc w:val="center"/>
        <w:outlineLvl w:val="1"/>
        <w:rPr>
          <w:rFonts w:ascii="宋体" w:hAnsi="宋体" w:eastAsia="宋体" w:cs="宋体"/>
          <w:b/>
          <w:bCs/>
          <w:spacing w:val="4"/>
          <w:sz w:val="43"/>
          <w:szCs w:val="43"/>
        </w:rPr>
      </w:pPr>
    </w:p>
    <w:p w14:paraId="42C79C3C">
      <w:pPr>
        <w:spacing w:before="87" w:line="225" w:lineRule="auto"/>
        <w:jc w:val="center"/>
        <w:outlineLvl w:val="1"/>
        <w:rPr>
          <w:rFonts w:ascii="宋体" w:hAnsi="宋体" w:eastAsia="宋体" w:cs="宋体"/>
          <w:b/>
          <w:bCs/>
          <w:spacing w:val="4"/>
          <w:sz w:val="43"/>
          <w:szCs w:val="43"/>
        </w:rPr>
      </w:pPr>
    </w:p>
    <w:p w14:paraId="4F84D386">
      <w:pPr>
        <w:spacing w:before="87" w:line="225" w:lineRule="auto"/>
        <w:jc w:val="center"/>
        <w:outlineLvl w:val="1"/>
        <w:rPr>
          <w:rFonts w:ascii="宋体" w:hAnsi="宋体" w:eastAsia="宋体" w:cs="宋体"/>
          <w:b/>
          <w:bCs/>
          <w:spacing w:val="4"/>
          <w:sz w:val="43"/>
          <w:szCs w:val="43"/>
        </w:rPr>
      </w:pPr>
    </w:p>
    <w:p w14:paraId="15A10324">
      <w:pPr>
        <w:spacing w:before="87" w:line="225" w:lineRule="auto"/>
        <w:jc w:val="center"/>
        <w:outlineLvl w:val="1"/>
        <w:rPr>
          <w:rFonts w:ascii="宋体" w:hAnsi="宋体" w:eastAsia="宋体" w:cs="宋体"/>
          <w:b/>
          <w:bCs/>
          <w:spacing w:val="4"/>
          <w:sz w:val="43"/>
          <w:szCs w:val="43"/>
        </w:rPr>
      </w:pPr>
    </w:p>
    <w:p w14:paraId="4BDC7118">
      <w:pPr>
        <w:spacing w:before="87" w:line="225" w:lineRule="auto"/>
        <w:jc w:val="center"/>
        <w:outlineLvl w:val="1"/>
        <w:rPr>
          <w:rFonts w:ascii="宋体" w:hAnsi="宋体" w:eastAsia="宋体" w:cs="宋体"/>
          <w:b/>
          <w:bCs/>
          <w:spacing w:val="4"/>
          <w:sz w:val="43"/>
          <w:szCs w:val="43"/>
        </w:rPr>
      </w:pPr>
    </w:p>
    <w:p w14:paraId="556191DF">
      <w:pPr>
        <w:spacing w:before="87" w:line="225" w:lineRule="auto"/>
        <w:jc w:val="both"/>
        <w:outlineLvl w:val="1"/>
        <w:rPr>
          <w:rFonts w:ascii="宋体" w:hAnsi="宋体" w:eastAsia="宋体" w:cs="宋体"/>
          <w:b/>
          <w:bCs/>
          <w:spacing w:val="4"/>
          <w:sz w:val="43"/>
          <w:szCs w:val="43"/>
        </w:rPr>
      </w:pPr>
    </w:p>
    <w:p w14:paraId="5BA3A36C">
      <w:pPr>
        <w:spacing w:before="87" w:line="225" w:lineRule="auto"/>
        <w:jc w:val="left"/>
        <w:outlineLvl w:val="1"/>
        <w:rPr>
          <w:rFonts w:ascii="宋体" w:hAnsi="宋体" w:eastAsia="宋体" w:cs="宋体"/>
          <w:b/>
          <w:bCs/>
          <w:spacing w:val="4"/>
          <w:sz w:val="43"/>
          <w:szCs w:val="43"/>
        </w:rPr>
      </w:pPr>
      <w:r>
        <w:rPr>
          <w:rFonts w:ascii="宋体" w:hAnsi="宋体" w:eastAsia="宋体" w:cs="宋体"/>
          <w:b/>
          <w:bCs/>
          <w:spacing w:val="4"/>
          <w:sz w:val="43"/>
          <w:szCs w:val="43"/>
        </w:rPr>
        <w:object>
          <v:shape id="_x0000_i1026" o:spt="75" type="#_x0000_t75" style="height:514.4pt;width:707.95pt;" o:ole="t" filled="f" o:preferrelative="t" stroked="f" coordsize="21600,21600">
            <v:path/>
            <v:fill on="f" focussize="0,0"/>
            <v:stroke on="f"/>
            <v:imagedata r:id="rId17" o:title=""/>
            <o:lock v:ext="edit" aspectratio="f"/>
            <w10:wrap type="none"/>
            <w10:anchorlock/>
          </v:shape>
          <o:OLEObject Type="Embed" ProgID="Excel.Sheet.12" ShapeID="_x0000_i1026" DrawAspect="Content" ObjectID="_1468075726" r:id="rId16">
            <o:LockedField>false</o:LockedField>
          </o:OLEObject>
        </w:object>
      </w:r>
    </w:p>
    <w:p w14:paraId="44140B39">
      <w:pPr>
        <w:spacing w:before="87" w:line="225" w:lineRule="auto"/>
        <w:jc w:val="center"/>
        <w:outlineLvl w:val="1"/>
        <w:rPr>
          <w:rFonts w:ascii="宋体" w:hAnsi="宋体" w:eastAsia="宋体" w:cs="宋体"/>
          <w:b/>
          <w:bCs/>
          <w:spacing w:val="1"/>
          <w:sz w:val="32"/>
          <w:szCs w:val="32"/>
        </w:rPr>
      </w:pPr>
      <w:r>
        <w:rPr>
          <w:rFonts w:ascii="宋体" w:hAnsi="宋体" w:eastAsia="宋体" w:cs="宋体"/>
          <w:b/>
          <w:bCs/>
          <w:spacing w:val="4"/>
          <w:sz w:val="43"/>
          <w:szCs w:val="43"/>
        </w:rPr>
        <w:t>财政拨款收支预算总表</w:t>
      </w:r>
    </w:p>
    <w:p w14:paraId="60C88D2C">
      <w:pPr>
        <w:spacing w:line="337" w:lineRule="auto"/>
        <w:rPr>
          <w:rFonts w:ascii="Arial"/>
          <w:sz w:val="21"/>
        </w:rPr>
      </w:pPr>
    </w:p>
    <w:p w14:paraId="118ACDC1">
      <w:pPr>
        <w:spacing w:before="62" w:line="231" w:lineRule="auto"/>
        <w:ind w:left="54"/>
        <w:rPr>
          <w:rFonts w:ascii="宋体" w:hAnsi="宋体" w:eastAsia="宋体" w:cs="宋体"/>
          <w:sz w:val="19"/>
          <w:szCs w:val="19"/>
        </w:rPr>
      </w:pPr>
      <w:r>
        <w:rPr>
          <w:rFonts w:ascii="宋体" w:hAnsi="宋体" w:eastAsia="宋体" w:cs="宋体"/>
          <w:spacing w:val="4"/>
          <w:sz w:val="19"/>
          <w:szCs w:val="19"/>
        </w:rPr>
        <w:t>表4</w:t>
      </w:r>
    </w:p>
    <w:p w14:paraId="36F37E6E">
      <w:pPr>
        <w:spacing w:before="76" w:line="226" w:lineRule="auto"/>
        <w:ind w:left="58"/>
        <w:rPr>
          <w:rFonts w:ascii="宋体" w:hAnsi="宋体" w:eastAsia="宋体" w:cs="宋体"/>
          <w:sz w:val="19"/>
          <w:szCs w:val="19"/>
        </w:rPr>
      </w:pPr>
      <w:r>
        <w:rPr>
          <w:rFonts w:ascii="宋体" w:hAnsi="宋体" w:eastAsia="宋体" w:cs="宋体"/>
          <w:spacing w:val="8"/>
          <w:sz w:val="19"/>
          <w:szCs w:val="19"/>
        </w:rPr>
        <w:t>部门名称：</w:t>
      </w:r>
      <w:r>
        <w:rPr>
          <w:rFonts w:hint="eastAsia" w:ascii="宋体" w:hAnsi="宋体" w:eastAsia="宋体" w:cs="宋体"/>
          <w:spacing w:val="8"/>
          <w:sz w:val="19"/>
          <w:szCs w:val="19"/>
          <w:lang w:val="en-US" w:eastAsia="zh-CN"/>
        </w:rPr>
        <w:t>盘锦市双台子区人社局</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8"/>
          <w:sz w:val="19"/>
          <w:szCs w:val="19"/>
        </w:rPr>
        <w:t>单位：万元</w:t>
      </w:r>
    </w:p>
    <w:tbl>
      <w:tblPr>
        <w:tblStyle w:val="5"/>
        <w:tblW w:w="14154"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531"/>
        <w:gridCol w:w="2546"/>
        <w:gridCol w:w="4521"/>
        <w:gridCol w:w="2556"/>
      </w:tblGrid>
      <w:tr w14:paraId="69C50F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7077" w:type="dxa"/>
            <w:gridSpan w:val="2"/>
            <w:vAlign w:val="top"/>
          </w:tcPr>
          <w:p w14:paraId="5C2C8355">
            <w:pPr>
              <w:spacing w:before="158" w:line="230" w:lineRule="auto"/>
              <w:ind w:left="3101"/>
              <w:rPr>
                <w:rFonts w:ascii="宋体" w:hAnsi="宋体" w:eastAsia="宋体" w:cs="宋体"/>
                <w:sz w:val="19"/>
                <w:szCs w:val="19"/>
              </w:rPr>
            </w:pPr>
            <w:r>
              <w:rPr>
                <w:rFonts w:ascii="宋体" w:hAnsi="宋体" w:eastAsia="宋体" w:cs="宋体"/>
                <w:spacing w:val="-1"/>
                <w:sz w:val="19"/>
                <w:szCs w:val="19"/>
              </w:rPr>
              <w:t>收入</w:t>
            </w:r>
          </w:p>
        </w:tc>
        <w:tc>
          <w:tcPr>
            <w:tcW w:w="7077" w:type="dxa"/>
            <w:gridSpan w:val="2"/>
            <w:vAlign w:val="top"/>
          </w:tcPr>
          <w:p w14:paraId="2ECADAA8">
            <w:pPr>
              <w:spacing w:before="158" w:line="231" w:lineRule="auto"/>
              <w:ind w:left="3145"/>
              <w:rPr>
                <w:rFonts w:ascii="宋体" w:hAnsi="宋体" w:eastAsia="宋体" w:cs="宋体"/>
                <w:sz w:val="19"/>
                <w:szCs w:val="19"/>
              </w:rPr>
            </w:pPr>
            <w:r>
              <w:rPr>
                <w:rFonts w:ascii="宋体" w:hAnsi="宋体" w:eastAsia="宋体" w:cs="宋体"/>
                <w:sz w:val="19"/>
                <w:szCs w:val="19"/>
              </w:rPr>
              <w:t>支出</w:t>
            </w:r>
          </w:p>
        </w:tc>
      </w:tr>
      <w:tr w14:paraId="3AE1BD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037BFF5D">
            <w:pPr>
              <w:spacing w:before="148" w:line="231" w:lineRule="auto"/>
              <w:ind w:left="1873"/>
              <w:rPr>
                <w:rFonts w:ascii="宋体" w:hAnsi="宋体" w:eastAsia="宋体" w:cs="宋体"/>
                <w:sz w:val="19"/>
                <w:szCs w:val="19"/>
              </w:rPr>
            </w:pPr>
            <w:r>
              <w:rPr>
                <w:rFonts w:ascii="宋体" w:hAnsi="宋体" w:eastAsia="宋体" w:cs="宋体"/>
                <w:spacing w:val="-1"/>
                <w:sz w:val="19"/>
                <w:szCs w:val="19"/>
              </w:rPr>
              <w:t>项目</w:t>
            </w:r>
          </w:p>
        </w:tc>
        <w:tc>
          <w:tcPr>
            <w:tcW w:w="2546" w:type="dxa"/>
            <w:vAlign w:val="top"/>
          </w:tcPr>
          <w:p w14:paraId="0BC7EF9D">
            <w:pPr>
              <w:spacing w:before="148" w:line="230" w:lineRule="auto"/>
              <w:ind w:left="981"/>
              <w:rPr>
                <w:rFonts w:ascii="宋体" w:hAnsi="宋体" w:eastAsia="宋体" w:cs="宋体"/>
                <w:sz w:val="19"/>
                <w:szCs w:val="19"/>
              </w:rPr>
            </w:pPr>
            <w:r>
              <w:rPr>
                <w:rFonts w:ascii="宋体" w:hAnsi="宋体" w:eastAsia="宋体" w:cs="宋体"/>
                <w:spacing w:val="6"/>
                <w:sz w:val="19"/>
                <w:szCs w:val="19"/>
              </w:rPr>
              <w:t>预算数</w:t>
            </w:r>
          </w:p>
        </w:tc>
        <w:tc>
          <w:tcPr>
            <w:tcW w:w="4521" w:type="dxa"/>
            <w:vAlign w:val="top"/>
          </w:tcPr>
          <w:p w14:paraId="28B1CC51">
            <w:pPr>
              <w:spacing w:before="148" w:line="231" w:lineRule="auto"/>
              <w:ind w:left="1871"/>
              <w:rPr>
                <w:rFonts w:ascii="宋体" w:hAnsi="宋体" w:eastAsia="宋体" w:cs="宋体"/>
                <w:sz w:val="19"/>
                <w:szCs w:val="19"/>
              </w:rPr>
            </w:pPr>
            <w:r>
              <w:rPr>
                <w:rFonts w:ascii="宋体" w:hAnsi="宋体" w:eastAsia="宋体" w:cs="宋体"/>
                <w:spacing w:val="-1"/>
                <w:sz w:val="19"/>
                <w:szCs w:val="19"/>
              </w:rPr>
              <w:t>项目</w:t>
            </w:r>
          </w:p>
        </w:tc>
        <w:tc>
          <w:tcPr>
            <w:tcW w:w="2556" w:type="dxa"/>
            <w:vAlign w:val="top"/>
          </w:tcPr>
          <w:p w14:paraId="36BE3010">
            <w:pPr>
              <w:spacing w:before="148" w:line="230" w:lineRule="auto"/>
              <w:ind w:left="989"/>
              <w:rPr>
                <w:rFonts w:ascii="宋体" w:hAnsi="宋体" w:eastAsia="宋体" w:cs="宋体"/>
                <w:sz w:val="19"/>
                <w:szCs w:val="19"/>
              </w:rPr>
            </w:pPr>
            <w:r>
              <w:rPr>
                <w:rFonts w:ascii="宋体" w:hAnsi="宋体" w:eastAsia="宋体" w:cs="宋体"/>
                <w:spacing w:val="7"/>
                <w:sz w:val="19"/>
                <w:szCs w:val="19"/>
              </w:rPr>
              <w:t>预算数</w:t>
            </w:r>
          </w:p>
        </w:tc>
      </w:tr>
      <w:tr w14:paraId="3C5918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13A4310D">
            <w:pPr>
              <w:spacing w:before="151" w:line="229" w:lineRule="auto"/>
              <w:ind w:left="43"/>
              <w:rPr>
                <w:rFonts w:ascii="宋体" w:hAnsi="宋体" w:eastAsia="宋体" w:cs="宋体"/>
                <w:sz w:val="19"/>
                <w:szCs w:val="19"/>
              </w:rPr>
            </w:pPr>
            <w:r>
              <w:rPr>
                <w:rFonts w:ascii="宋体" w:hAnsi="宋体" w:eastAsia="宋体" w:cs="宋体"/>
                <w:spacing w:val="6"/>
                <w:sz w:val="19"/>
                <w:szCs w:val="19"/>
              </w:rPr>
              <w:t>一、本年收入</w:t>
            </w:r>
          </w:p>
        </w:tc>
        <w:tc>
          <w:tcPr>
            <w:tcW w:w="2546" w:type="dxa"/>
            <w:vAlign w:val="top"/>
          </w:tcPr>
          <w:p w14:paraId="4AD4AE7D">
            <w:pPr>
              <w:pStyle w:val="6"/>
              <w:jc w:val="center"/>
              <w:rPr>
                <w:rFonts w:hint="eastAsia"/>
              </w:rPr>
            </w:pPr>
          </w:p>
          <w:p w14:paraId="767A8C8D">
            <w:pPr>
              <w:pStyle w:val="6"/>
              <w:jc w:val="center"/>
            </w:pPr>
            <w:r>
              <w:rPr>
                <w:rFonts w:hint="eastAsia"/>
              </w:rPr>
              <w:t>3759.96</w:t>
            </w:r>
          </w:p>
        </w:tc>
        <w:tc>
          <w:tcPr>
            <w:tcW w:w="4521" w:type="dxa"/>
            <w:vAlign w:val="top"/>
          </w:tcPr>
          <w:p w14:paraId="20703507">
            <w:pPr>
              <w:spacing w:before="151" w:line="229" w:lineRule="auto"/>
              <w:ind w:left="42"/>
              <w:rPr>
                <w:rFonts w:ascii="宋体" w:hAnsi="宋体" w:eastAsia="宋体" w:cs="宋体"/>
                <w:sz w:val="19"/>
                <w:szCs w:val="19"/>
              </w:rPr>
            </w:pPr>
            <w:r>
              <w:rPr>
                <w:rFonts w:ascii="宋体" w:hAnsi="宋体" w:eastAsia="宋体" w:cs="宋体"/>
                <w:spacing w:val="4"/>
                <w:sz w:val="19"/>
                <w:szCs w:val="19"/>
              </w:rPr>
              <w:t>一、本年支出</w:t>
            </w:r>
          </w:p>
        </w:tc>
        <w:tc>
          <w:tcPr>
            <w:tcW w:w="2556" w:type="dxa"/>
            <w:vAlign w:val="top"/>
          </w:tcPr>
          <w:p w14:paraId="15F10DBF">
            <w:pPr>
              <w:pStyle w:val="6"/>
            </w:pPr>
          </w:p>
          <w:p w14:paraId="1EC78111">
            <w:pPr>
              <w:bidi w:val="0"/>
              <w:jc w:val="center"/>
            </w:pPr>
            <w:r>
              <w:rPr>
                <w:rFonts w:hint="eastAsia"/>
              </w:rPr>
              <w:t>3759.96</w:t>
            </w:r>
          </w:p>
        </w:tc>
      </w:tr>
      <w:tr w14:paraId="263CC8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78F184B">
            <w:pPr>
              <w:spacing w:before="151" w:line="230" w:lineRule="auto"/>
              <w:ind w:left="51"/>
              <w:rPr>
                <w:rFonts w:ascii="宋体" w:hAnsi="宋体" w:eastAsia="宋体" w:cs="宋体"/>
                <w:sz w:val="19"/>
                <w:szCs w:val="19"/>
              </w:rPr>
            </w:pPr>
            <w:r>
              <w:rPr>
                <w:rFonts w:ascii="宋体" w:hAnsi="宋体" w:eastAsia="宋体" w:cs="宋体"/>
                <w:spacing w:val="8"/>
                <w:sz w:val="19"/>
                <w:szCs w:val="19"/>
              </w:rPr>
              <w:t>（一）一般公共预算拨款收入</w:t>
            </w:r>
          </w:p>
        </w:tc>
        <w:tc>
          <w:tcPr>
            <w:tcW w:w="2546" w:type="dxa"/>
            <w:vAlign w:val="top"/>
          </w:tcPr>
          <w:p w14:paraId="57D52D73">
            <w:pPr>
              <w:pStyle w:val="6"/>
            </w:pPr>
          </w:p>
          <w:p w14:paraId="7971F20E">
            <w:pPr>
              <w:bidi w:val="0"/>
              <w:jc w:val="center"/>
            </w:pPr>
            <w:r>
              <w:rPr>
                <w:rFonts w:hint="eastAsia"/>
              </w:rPr>
              <w:t>3759.96</w:t>
            </w:r>
          </w:p>
        </w:tc>
        <w:tc>
          <w:tcPr>
            <w:tcW w:w="4521" w:type="dxa"/>
            <w:vAlign w:val="top"/>
          </w:tcPr>
          <w:p w14:paraId="37DCE4DF">
            <w:pPr>
              <w:spacing w:before="151" w:line="230" w:lineRule="auto"/>
              <w:ind w:left="74"/>
              <w:rPr>
                <w:rFonts w:ascii="宋体" w:hAnsi="宋体" w:eastAsia="宋体" w:cs="宋体"/>
                <w:sz w:val="19"/>
                <w:szCs w:val="19"/>
              </w:rPr>
            </w:pPr>
            <w:r>
              <w:rPr>
                <w:rFonts w:ascii="宋体" w:hAnsi="宋体" w:eastAsia="宋体" w:cs="宋体"/>
                <w:spacing w:val="5"/>
                <w:sz w:val="19"/>
                <w:szCs w:val="19"/>
              </w:rPr>
              <w:t>(一)一般公共服务支出</w:t>
            </w:r>
          </w:p>
        </w:tc>
        <w:tc>
          <w:tcPr>
            <w:tcW w:w="2556" w:type="dxa"/>
            <w:vAlign w:val="top"/>
          </w:tcPr>
          <w:p w14:paraId="5AC90DEC">
            <w:pPr>
              <w:pStyle w:val="6"/>
            </w:pPr>
          </w:p>
          <w:p w14:paraId="0BBA6398">
            <w:pPr>
              <w:bidi w:val="0"/>
              <w:jc w:val="center"/>
            </w:pPr>
            <w:r>
              <w:rPr>
                <w:rFonts w:hint="eastAsia"/>
              </w:rPr>
              <w:t>3675.25</w:t>
            </w:r>
          </w:p>
        </w:tc>
      </w:tr>
      <w:tr w14:paraId="57F76A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B58F8C8">
            <w:pPr>
              <w:spacing w:before="152" w:line="229" w:lineRule="auto"/>
              <w:ind w:left="51"/>
              <w:rPr>
                <w:rFonts w:ascii="宋体" w:hAnsi="宋体" w:eastAsia="宋体" w:cs="宋体"/>
                <w:sz w:val="19"/>
                <w:szCs w:val="19"/>
              </w:rPr>
            </w:pPr>
            <w:r>
              <w:rPr>
                <w:rFonts w:ascii="宋体" w:hAnsi="宋体" w:eastAsia="宋体" w:cs="宋体"/>
                <w:spacing w:val="8"/>
                <w:sz w:val="19"/>
                <w:szCs w:val="19"/>
              </w:rPr>
              <w:t>（二）政府性基金预算拨款收入</w:t>
            </w:r>
          </w:p>
        </w:tc>
        <w:tc>
          <w:tcPr>
            <w:tcW w:w="2546" w:type="dxa"/>
            <w:vAlign w:val="top"/>
          </w:tcPr>
          <w:p w14:paraId="2EA54A77">
            <w:pPr>
              <w:pStyle w:val="6"/>
            </w:pPr>
          </w:p>
        </w:tc>
        <w:tc>
          <w:tcPr>
            <w:tcW w:w="4521" w:type="dxa"/>
            <w:vAlign w:val="top"/>
          </w:tcPr>
          <w:p w14:paraId="3A327F89">
            <w:pPr>
              <w:spacing w:before="152" w:line="229" w:lineRule="auto"/>
              <w:ind w:left="74"/>
              <w:rPr>
                <w:rFonts w:ascii="宋体" w:hAnsi="宋体" w:eastAsia="宋体" w:cs="宋体"/>
                <w:sz w:val="19"/>
                <w:szCs w:val="19"/>
              </w:rPr>
            </w:pPr>
            <w:r>
              <w:rPr>
                <w:rFonts w:ascii="宋体" w:hAnsi="宋体" w:eastAsia="宋体" w:cs="宋体"/>
                <w:spacing w:val="5"/>
                <w:sz w:val="19"/>
                <w:szCs w:val="19"/>
              </w:rPr>
              <w:t>(二)社会保障和就业支出</w:t>
            </w:r>
          </w:p>
        </w:tc>
        <w:tc>
          <w:tcPr>
            <w:tcW w:w="2556" w:type="dxa"/>
            <w:vAlign w:val="top"/>
          </w:tcPr>
          <w:p w14:paraId="0765612B">
            <w:pPr>
              <w:pStyle w:val="6"/>
              <w:jc w:val="center"/>
              <w:rPr>
                <w:rFonts w:hint="eastAsia" w:eastAsia="宋体"/>
                <w:lang w:val="en-US" w:eastAsia="zh-CN"/>
              </w:rPr>
            </w:pPr>
          </w:p>
          <w:p w14:paraId="432E358F">
            <w:pPr>
              <w:pStyle w:val="6"/>
              <w:jc w:val="center"/>
              <w:rPr>
                <w:rFonts w:hint="default" w:eastAsia="宋体"/>
                <w:lang w:val="en-US" w:eastAsia="zh-CN"/>
              </w:rPr>
            </w:pPr>
            <w:r>
              <w:rPr>
                <w:rFonts w:hint="eastAsia" w:eastAsia="宋体"/>
                <w:lang w:val="en-US" w:eastAsia="zh-CN"/>
              </w:rPr>
              <w:t>30.66</w:t>
            </w:r>
          </w:p>
        </w:tc>
      </w:tr>
      <w:tr w14:paraId="054462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6474E32C">
            <w:pPr>
              <w:spacing w:before="155" w:line="229" w:lineRule="auto"/>
              <w:ind w:left="51"/>
              <w:rPr>
                <w:rFonts w:ascii="宋体" w:hAnsi="宋体" w:eastAsia="宋体" w:cs="宋体"/>
                <w:sz w:val="19"/>
                <w:szCs w:val="19"/>
              </w:rPr>
            </w:pPr>
            <w:r>
              <w:rPr>
                <w:rFonts w:ascii="宋体" w:hAnsi="宋体" w:eastAsia="宋体" w:cs="宋体"/>
                <w:spacing w:val="5"/>
                <w:sz w:val="19"/>
                <w:szCs w:val="19"/>
              </w:rPr>
              <w:t>（三）国有资本经营预算拨款收入</w:t>
            </w:r>
          </w:p>
        </w:tc>
        <w:tc>
          <w:tcPr>
            <w:tcW w:w="2546" w:type="dxa"/>
            <w:vAlign w:val="top"/>
          </w:tcPr>
          <w:p w14:paraId="6B15D452">
            <w:pPr>
              <w:pStyle w:val="6"/>
            </w:pPr>
          </w:p>
        </w:tc>
        <w:tc>
          <w:tcPr>
            <w:tcW w:w="4521" w:type="dxa"/>
            <w:vAlign w:val="top"/>
          </w:tcPr>
          <w:p w14:paraId="74609E89">
            <w:pPr>
              <w:spacing w:before="154" w:line="230" w:lineRule="auto"/>
              <w:ind w:left="74"/>
              <w:rPr>
                <w:rFonts w:ascii="宋体" w:hAnsi="宋体" w:eastAsia="宋体" w:cs="宋体"/>
                <w:sz w:val="19"/>
                <w:szCs w:val="19"/>
              </w:rPr>
            </w:pPr>
            <w:r>
              <w:rPr>
                <w:rFonts w:ascii="宋体" w:hAnsi="宋体" w:eastAsia="宋体" w:cs="宋体"/>
                <w:spacing w:val="4"/>
                <w:sz w:val="19"/>
                <w:szCs w:val="19"/>
              </w:rPr>
              <w:t>(三)卫生健康支出</w:t>
            </w:r>
          </w:p>
        </w:tc>
        <w:tc>
          <w:tcPr>
            <w:tcW w:w="2556" w:type="dxa"/>
            <w:vAlign w:val="top"/>
          </w:tcPr>
          <w:p w14:paraId="2D175B79">
            <w:pPr>
              <w:pStyle w:val="6"/>
            </w:pPr>
          </w:p>
        </w:tc>
      </w:tr>
      <w:tr w14:paraId="475A80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7B13FA62">
            <w:pPr>
              <w:spacing w:before="153" w:line="230" w:lineRule="auto"/>
              <w:ind w:left="43"/>
              <w:rPr>
                <w:rFonts w:ascii="宋体" w:hAnsi="宋体" w:eastAsia="宋体" w:cs="宋体"/>
                <w:sz w:val="19"/>
                <w:szCs w:val="19"/>
              </w:rPr>
            </w:pPr>
            <w:r>
              <w:rPr>
                <w:rFonts w:ascii="宋体" w:hAnsi="宋体" w:eastAsia="宋体" w:cs="宋体"/>
                <w:spacing w:val="8"/>
                <w:sz w:val="19"/>
                <w:szCs w:val="19"/>
              </w:rPr>
              <w:t>二、上年结转</w:t>
            </w:r>
          </w:p>
        </w:tc>
        <w:tc>
          <w:tcPr>
            <w:tcW w:w="2546" w:type="dxa"/>
            <w:vAlign w:val="top"/>
          </w:tcPr>
          <w:p w14:paraId="6834B88B">
            <w:pPr>
              <w:pStyle w:val="6"/>
            </w:pPr>
          </w:p>
        </w:tc>
        <w:tc>
          <w:tcPr>
            <w:tcW w:w="4521" w:type="dxa"/>
            <w:vAlign w:val="top"/>
          </w:tcPr>
          <w:p w14:paraId="59A37496">
            <w:pPr>
              <w:spacing w:before="153" w:line="230" w:lineRule="auto"/>
              <w:ind w:left="74"/>
              <w:rPr>
                <w:rFonts w:ascii="宋体" w:hAnsi="宋体" w:eastAsia="宋体" w:cs="宋体"/>
                <w:sz w:val="19"/>
                <w:szCs w:val="19"/>
              </w:rPr>
            </w:pPr>
            <w:r>
              <w:rPr>
                <w:rFonts w:ascii="宋体" w:hAnsi="宋体" w:eastAsia="宋体" w:cs="宋体"/>
                <w:spacing w:val="4"/>
                <w:sz w:val="19"/>
                <w:szCs w:val="19"/>
              </w:rPr>
              <w:t>(四)住房保障支出</w:t>
            </w:r>
          </w:p>
        </w:tc>
        <w:tc>
          <w:tcPr>
            <w:tcW w:w="2556" w:type="dxa"/>
            <w:vAlign w:val="top"/>
          </w:tcPr>
          <w:p w14:paraId="1016E41A">
            <w:pPr>
              <w:pStyle w:val="6"/>
              <w:jc w:val="center"/>
              <w:rPr>
                <w:rFonts w:hint="eastAsia" w:eastAsia="宋体"/>
                <w:lang w:val="en-US" w:eastAsia="zh-CN"/>
              </w:rPr>
            </w:pPr>
          </w:p>
          <w:p w14:paraId="3E8A7796">
            <w:pPr>
              <w:pStyle w:val="6"/>
              <w:jc w:val="center"/>
              <w:rPr>
                <w:rFonts w:hint="default" w:eastAsia="宋体"/>
                <w:lang w:val="en-US" w:eastAsia="zh-CN"/>
              </w:rPr>
            </w:pPr>
            <w:r>
              <w:rPr>
                <w:rFonts w:hint="eastAsia" w:eastAsia="宋体"/>
                <w:lang w:val="en-US" w:eastAsia="zh-CN"/>
              </w:rPr>
              <w:t>54.04</w:t>
            </w:r>
          </w:p>
        </w:tc>
      </w:tr>
      <w:tr w14:paraId="528BAE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5C55B08E">
            <w:pPr>
              <w:spacing w:before="156" w:line="230" w:lineRule="auto"/>
              <w:ind w:left="51"/>
              <w:rPr>
                <w:rFonts w:ascii="宋体" w:hAnsi="宋体" w:eastAsia="宋体" w:cs="宋体"/>
                <w:sz w:val="19"/>
                <w:szCs w:val="19"/>
              </w:rPr>
            </w:pPr>
            <w:r>
              <w:rPr>
                <w:rFonts w:ascii="宋体" w:hAnsi="宋体" w:eastAsia="宋体" w:cs="宋体"/>
                <w:spacing w:val="8"/>
                <w:sz w:val="19"/>
                <w:szCs w:val="19"/>
              </w:rPr>
              <w:t>（一）一般公共预算拨款收入</w:t>
            </w:r>
          </w:p>
        </w:tc>
        <w:tc>
          <w:tcPr>
            <w:tcW w:w="2546" w:type="dxa"/>
            <w:vAlign w:val="top"/>
          </w:tcPr>
          <w:p w14:paraId="58591986">
            <w:pPr>
              <w:pStyle w:val="6"/>
            </w:pPr>
          </w:p>
        </w:tc>
        <w:tc>
          <w:tcPr>
            <w:tcW w:w="4521" w:type="dxa"/>
            <w:vAlign w:val="top"/>
          </w:tcPr>
          <w:p w14:paraId="4F243B7D">
            <w:pPr>
              <w:pStyle w:val="6"/>
            </w:pPr>
          </w:p>
        </w:tc>
        <w:tc>
          <w:tcPr>
            <w:tcW w:w="2556" w:type="dxa"/>
            <w:vAlign w:val="top"/>
          </w:tcPr>
          <w:p w14:paraId="02A3B0B8">
            <w:pPr>
              <w:pStyle w:val="6"/>
            </w:pPr>
          </w:p>
        </w:tc>
      </w:tr>
      <w:tr w14:paraId="7560D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5" w:hRule="atLeast"/>
        </w:trPr>
        <w:tc>
          <w:tcPr>
            <w:tcW w:w="4531" w:type="dxa"/>
            <w:vAlign w:val="top"/>
          </w:tcPr>
          <w:p w14:paraId="0E59023A">
            <w:pPr>
              <w:spacing w:before="158" w:line="229" w:lineRule="auto"/>
              <w:ind w:left="51"/>
              <w:rPr>
                <w:rFonts w:ascii="宋体" w:hAnsi="宋体" w:eastAsia="宋体" w:cs="宋体"/>
                <w:sz w:val="19"/>
                <w:szCs w:val="19"/>
              </w:rPr>
            </w:pPr>
            <w:r>
              <w:rPr>
                <w:rFonts w:ascii="宋体" w:hAnsi="宋体" w:eastAsia="宋体" w:cs="宋体"/>
                <w:spacing w:val="8"/>
                <w:sz w:val="19"/>
                <w:szCs w:val="19"/>
              </w:rPr>
              <w:t>（二）政府性基金预算拨款收入</w:t>
            </w:r>
          </w:p>
        </w:tc>
        <w:tc>
          <w:tcPr>
            <w:tcW w:w="2546" w:type="dxa"/>
            <w:vAlign w:val="top"/>
          </w:tcPr>
          <w:p w14:paraId="3E44A0C5">
            <w:pPr>
              <w:pStyle w:val="6"/>
            </w:pPr>
          </w:p>
        </w:tc>
        <w:tc>
          <w:tcPr>
            <w:tcW w:w="4521" w:type="dxa"/>
            <w:vAlign w:val="top"/>
          </w:tcPr>
          <w:p w14:paraId="35E02514">
            <w:pPr>
              <w:pStyle w:val="6"/>
            </w:pPr>
          </w:p>
        </w:tc>
        <w:tc>
          <w:tcPr>
            <w:tcW w:w="2556" w:type="dxa"/>
            <w:vAlign w:val="top"/>
          </w:tcPr>
          <w:p w14:paraId="029658A3">
            <w:pPr>
              <w:pStyle w:val="6"/>
            </w:pPr>
          </w:p>
        </w:tc>
      </w:tr>
      <w:tr w14:paraId="03CF0F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485" w:hRule="atLeast"/>
        </w:trPr>
        <w:tc>
          <w:tcPr>
            <w:tcW w:w="4531" w:type="dxa"/>
            <w:vAlign w:val="top"/>
          </w:tcPr>
          <w:p w14:paraId="610BD773">
            <w:pPr>
              <w:spacing w:before="157" w:line="229" w:lineRule="auto"/>
              <w:ind w:left="51"/>
              <w:rPr>
                <w:rFonts w:ascii="宋体" w:hAnsi="宋体" w:eastAsia="宋体" w:cs="宋体"/>
                <w:sz w:val="19"/>
                <w:szCs w:val="19"/>
              </w:rPr>
            </w:pPr>
            <w:r>
              <w:rPr>
                <w:rFonts w:ascii="宋体" w:hAnsi="宋体" w:eastAsia="宋体" w:cs="宋体"/>
                <w:spacing w:val="5"/>
                <w:sz w:val="19"/>
                <w:szCs w:val="19"/>
              </w:rPr>
              <w:t>（三）国有资本经营预算拨款收入</w:t>
            </w:r>
          </w:p>
        </w:tc>
        <w:tc>
          <w:tcPr>
            <w:tcW w:w="2546" w:type="dxa"/>
            <w:vAlign w:val="top"/>
          </w:tcPr>
          <w:p w14:paraId="40809C3A">
            <w:pPr>
              <w:pStyle w:val="6"/>
            </w:pPr>
          </w:p>
        </w:tc>
        <w:tc>
          <w:tcPr>
            <w:tcW w:w="4521" w:type="dxa"/>
            <w:vAlign w:val="top"/>
          </w:tcPr>
          <w:p w14:paraId="65F9E049">
            <w:pPr>
              <w:pStyle w:val="6"/>
            </w:pPr>
          </w:p>
        </w:tc>
        <w:tc>
          <w:tcPr>
            <w:tcW w:w="2556" w:type="dxa"/>
            <w:vAlign w:val="top"/>
          </w:tcPr>
          <w:p w14:paraId="3907DC6B">
            <w:pPr>
              <w:pStyle w:val="6"/>
            </w:pPr>
          </w:p>
        </w:tc>
      </w:tr>
      <w:tr w14:paraId="185478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4339B6D1">
            <w:pPr>
              <w:pStyle w:val="6"/>
            </w:pPr>
          </w:p>
        </w:tc>
        <w:tc>
          <w:tcPr>
            <w:tcW w:w="2546" w:type="dxa"/>
            <w:vAlign w:val="top"/>
          </w:tcPr>
          <w:p w14:paraId="21C9EB2B">
            <w:pPr>
              <w:pStyle w:val="6"/>
            </w:pPr>
          </w:p>
        </w:tc>
        <w:tc>
          <w:tcPr>
            <w:tcW w:w="4521" w:type="dxa"/>
            <w:vAlign w:val="top"/>
          </w:tcPr>
          <w:p w14:paraId="603C5EF6">
            <w:pPr>
              <w:pStyle w:val="6"/>
            </w:pPr>
          </w:p>
        </w:tc>
        <w:tc>
          <w:tcPr>
            <w:tcW w:w="2556" w:type="dxa"/>
            <w:vAlign w:val="top"/>
          </w:tcPr>
          <w:p w14:paraId="197C3678">
            <w:pPr>
              <w:pStyle w:val="6"/>
            </w:pPr>
          </w:p>
        </w:tc>
      </w:tr>
      <w:tr w14:paraId="121560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485" w:hRule="atLeast"/>
        </w:trPr>
        <w:tc>
          <w:tcPr>
            <w:tcW w:w="4531" w:type="dxa"/>
            <w:vAlign w:val="top"/>
          </w:tcPr>
          <w:p w14:paraId="13C25932">
            <w:pPr>
              <w:pStyle w:val="6"/>
            </w:pPr>
          </w:p>
        </w:tc>
        <w:tc>
          <w:tcPr>
            <w:tcW w:w="2546" w:type="dxa"/>
            <w:vAlign w:val="top"/>
          </w:tcPr>
          <w:p w14:paraId="296E682D">
            <w:pPr>
              <w:pStyle w:val="6"/>
            </w:pPr>
          </w:p>
        </w:tc>
        <w:tc>
          <w:tcPr>
            <w:tcW w:w="4521" w:type="dxa"/>
            <w:vAlign w:val="top"/>
          </w:tcPr>
          <w:p w14:paraId="02949FA9">
            <w:pPr>
              <w:pStyle w:val="6"/>
            </w:pPr>
          </w:p>
        </w:tc>
        <w:tc>
          <w:tcPr>
            <w:tcW w:w="2556" w:type="dxa"/>
            <w:vAlign w:val="top"/>
          </w:tcPr>
          <w:p w14:paraId="470C8D61">
            <w:pPr>
              <w:pStyle w:val="6"/>
            </w:pPr>
          </w:p>
        </w:tc>
      </w:tr>
      <w:tr w14:paraId="04AE2B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5B5CCDA3">
            <w:pPr>
              <w:pStyle w:val="6"/>
            </w:pPr>
          </w:p>
        </w:tc>
        <w:tc>
          <w:tcPr>
            <w:tcW w:w="2546" w:type="dxa"/>
            <w:vAlign w:val="top"/>
          </w:tcPr>
          <w:p w14:paraId="07DED54E">
            <w:pPr>
              <w:pStyle w:val="6"/>
            </w:pPr>
          </w:p>
        </w:tc>
        <w:tc>
          <w:tcPr>
            <w:tcW w:w="4521" w:type="dxa"/>
            <w:vAlign w:val="top"/>
          </w:tcPr>
          <w:p w14:paraId="18A6C0EA">
            <w:pPr>
              <w:spacing w:before="160" w:line="230" w:lineRule="auto"/>
              <w:ind w:left="42"/>
              <w:rPr>
                <w:rFonts w:ascii="宋体" w:hAnsi="宋体" w:eastAsia="宋体" w:cs="宋体"/>
                <w:sz w:val="19"/>
                <w:szCs w:val="19"/>
              </w:rPr>
            </w:pPr>
            <w:r>
              <w:rPr>
                <w:rFonts w:ascii="宋体" w:hAnsi="宋体" w:eastAsia="宋体" w:cs="宋体"/>
                <w:spacing w:val="8"/>
                <w:sz w:val="19"/>
                <w:szCs w:val="19"/>
              </w:rPr>
              <w:t>二、年终结转结余</w:t>
            </w:r>
          </w:p>
        </w:tc>
        <w:tc>
          <w:tcPr>
            <w:tcW w:w="2556" w:type="dxa"/>
            <w:vAlign w:val="top"/>
          </w:tcPr>
          <w:p w14:paraId="4BCFDFDC">
            <w:pPr>
              <w:pStyle w:val="6"/>
            </w:pPr>
          </w:p>
        </w:tc>
      </w:tr>
      <w:tr w14:paraId="6908EC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4531" w:type="dxa"/>
            <w:vAlign w:val="top"/>
          </w:tcPr>
          <w:p w14:paraId="3B524B79">
            <w:pPr>
              <w:pStyle w:val="6"/>
            </w:pPr>
          </w:p>
        </w:tc>
        <w:tc>
          <w:tcPr>
            <w:tcW w:w="2546" w:type="dxa"/>
            <w:vAlign w:val="top"/>
          </w:tcPr>
          <w:p w14:paraId="071468A5">
            <w:pPr>
              <w:pStyle w:val="6"/>
            </w:pPr>
          </w:p>
        </w:tc>
        <w:tc>
          <w:tcPr>
            <w:tcW w:w="4521" w:type="dxa"/>
            <w:vAlign w:val="top"/>
          </w:tcPr>
          <w:p w14:paraId="60EB2286">
            <w:pPr>
              <w:pStyle w:val="6"/>
            </w:pPr>
          </w:p>
        </w:tc>
        <w:tc>
          <w:tcPr>
            <w:tcW w:w="2556" w:type="dxa"/>
            <w:vAlign w:val="top"/>
          </w:tcPr>
          <w:p w14:paraId="2A886805">
            <w:pPr>
              <w:pStyle w:val="6"/>
            </w:pPr>
          </w:p>
        </w:tc>
      </w:tr>
      <w:tr w14:paraId="75C781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4531" w:type="dxa"/>
            <w:vAlign w:val="top"/>
          </w:tcPr>
          <w:p w14:paraId="71A9546D">
            <w:pPr>
              <w:spacing w:before="162" w:line="230" w:lineRule="auto"/>
              <w:ind w:left="1426"/>
              <w:rPr>
                <w:rFonts w:ascii="宋体" w:hAnsi="宋体" w:eastAsia="宋体" w:cs="宋体"/>
                <w:sz w:val="19"/>
                <w:szCs w:val="19"/>
              </w:rPr>
            </w:pPr>
            <w:r>
              <w:rPr>
                <w:rFonts w:ascii="宋体" w:hAnsi="宋体" w:eastAsia="宋体" w:cs="宋体"/>
                <w:sz w:val="19"/>
                <w:szCs w:val="19"/>
              </w:rPr>
              <w:t>收入总计</w:t>
            </w:r>
          </w:p>
        </w:tc>
        <w:tc>
          <w:tcPr>
            <w:tcW w:w="2546" w:type="dxa"/>
            <w:vAlign w:val="top"/>
          </w:tcPr>
          <w:p w14:paraId="062B8D75">
            <w:pPr>
              <w:pStyle w:val="6"/>
            </w:pPr>
          </w:p>
          <w:p w14:paraId="2690760C">
            <w:pPr>
              <w:bidi w:val="0"/>
              <w:jc w:val="center"/>
            </w:pPr>
            <w:r>
              <w:rPr>
                <w:rFonts w:hint="eastAsia"/>
              </w:rPr>
              <w:t>3759.96</w:t>
            </w:r>
          </w:p>
        </w:tc>
        <w:tc>
          <w:tcPr>
            <w:tcW w:w="4521" w:type="dxa"/>
            <w:vAlign w:val="top"/>
          </w:tcPr>
          <w:p w14:paraId="6E7740AD">
            <w:pPr>
              <w:spacing w:before="161" w:line="231" w:lineRule="auto"/>
              <w:ind w:left="1418"/>
              <w:rPr>
                <w:rFonts w:ascii="宋体" w:hAnsi="宋体" w:eastAsia="宋体" w:cs="宋体"/>
                <w:sz w:val="19"/>
                <w:szCs w:val="19"/>
              </w:rPr>
            </w:pPr>
            <w:r>
              <w:rPr>
                <w:rFonts w:ascii="宋体" w:hAnsi="宋体" w:eastAsia="宋体" w:cs="宋体"/>
                <w:spacing w:val="-3"/>
                <w:sz w:val="19"/>
                <w:szCs w:val="19"/>
              </w:rPr>
              <w:t>支出总计</w:t>
            </w:r>
          </w:p>
        </w:tc>
        <w:tc>
          <w:tcPr>
            <w:tcW w:w="2556" w:type="dxa"/>
            <w:vAlign w:val="top"/>
          </w:tcPr>
          <w:p w14:paraId="73731531">
            <w:pPr>
              <w:pStyle w:val="6"/>
            </w:pPr>
          </w:p>
          <w:p w14:paraId="75AF708B">
            <w:pPr>
              <w:bidi w:val="0"/>
              <w:jc w:val="center"/>
            </w:pPr>
            <w:r>
              <w:rPr>
                <w:rFonts w:hint="eastAsia"/>
              </w:rPr>
              <w:t>3759.96</w:t>
            </w:r>
          </w:p>
        </w:tc>
      </w:tr>
    </w:tbl>
    <w:p w14:paraId="13BB30FF">
      <w:pPr>
        <w:rPr>
          <w:rFonts w:ascii="Arial"/>
          <w:sz w:val="21"/>
        </w:rPr>
      </w:pPr>
    </w:p>
    <w:p w14:paraId="78576154">
      <w:pPr>
        <w:rPr>
          <w:rFonts w:ascii="Arial" w:hAnsi="Arial" w:eastAsia="Arial" w:cs="Arial"/>
          <w:sz w:val="21"/>
          <w:szCs w:val="21"/>
        </w:rPr>
        <w:sectPr>
          <w:pgSz w:w="16840" w:h="11905"/>
          <w:pgMar w:top="911" w:right="1344" w:bottom="400" w:left="1325" w:header="0" w:footer="0" w:gutter="0"/>
          <w:cols w:space="720" w:num="1"/>
        </w:sectPr>
      </w:pPr>
    </w:p>
    <w:p w14:paraId="2364AD1D">
      <w:pPr>
        <w:spacing w:before="87" w:line="224" w:lineRule="auto"/>
        <w:outlineLvl w:val="1"/>
        <w:rPr>
          <w:rFonts w:ascii="宋体" w:hAnsi="宋体" w:eastAsia="宋体" w:cs="宋体"/>
          <w:b/>
          <w:bCs/>
          <w:spacing w:val="5"/>
          <w:sz w:val="43"/>
          <w:szCs w:val="43"/>
        </w:rPr>
      </w:pPr>
      <w:r>
        <w:rPr>
          <w:rFonts w:ascii="宋体" w:hAnsi="宋体" w:eastAsia="宋体" w:cs="宋体"/>
          <w:b/>
          <w:bCs/>
          <w:spacing w:val="5"/>
          <w:sz w:val="43"/>
          <w:szCs w:val="43"/>
        </w:rPr>
        <w:object>
          <v:shape id="_x0000_i1027" o:spt="75" type="#_x0000_t75" style="height:528.95pt;width:715.3pt;" o:ole="t" filled="f" o:preferrelative="t" stroked="f" coordsize="21600,21600">
            <v:path/>
            <v:fill on="f" focussize="0,0"/>
            <v:stroke on="f"/>
            <v:imagedata r:id="rId19" o:title=""/>
            <o:lock v:ext="edit" aspectratio="f"/>
            <w10:wrap type="none"/>
            <w10:anchorlock/>
          </v:shape>
          <o:OLEObject Type="Embed" ProgID="Excel.Sheet.12" ShapeID="_x0000_i1027" DrawAspect="Content" ObjectID="_1468075727" r:id="rId18">
            <o:LockedField>false</o:LockedField>
          </o:OLEObject>
        </w:object>
      </w:r>
    </w:p>
    <w:p w14:paraId="659748CB">
      <w:pPr>
        <w:spacing w:before="87" w:line="224" w:lineRule="auto"/>
        <w:outlineLvl w:val="1"/>
        <w:rPr>
          <w:rFonts w:ascii="宋体" w:hAnsi="宋体" w:eastAsia="宋体" w:cs="宋体"/>
          <w:b/>
          <w:bCs/>
          <w:spacing w:val="5"/>
          <w:sz w:val="43"/>
          <w:szCs w:val="43"/>
        </w:rPr>
      </w:pPr>
      <w:r>
        <w:rPr>
          <w:rFonts w:ascii="宋体" w:hAnsi="宋体" w:eastAsia="宋体" w:cs="宋体"/>
          <w:b/>
          <w:bCs/>
          <w:spacing w:val="5"/>
          <w:sz w:val="43"/>
          <w:szCs w:val="43"/>
        </w:rPr>
        <w:object>
          <v:shape id="_x0000_i1028" o:spt="75" type="#_x0000_t75" style="height:488.25pt;width:715.3pt;" o:ole="t" filled="f" o:preferrelative="t" stroked="f" coordsize="21600,21600">
            <v:path/>
            <v:fill on="f" focussize="0,0"/>
            <v:stroke on="f"/>
            <v:imagedata r:id="rId21" o:title=""/>
            <o:lock v:ext="edit" aspectratio="f"/>
            <w10:wrap type="none"/>
            <w10:anchorlock/>
          </v:shape>
          <o:OLEObject Type="Embed" ProgID="Excel.Sheet.12" ShapeID="_x0000_i1028" DrawAspect="Content" ObjectID="_1468075728" r:id="rId20">
            <o:LockedField>false</o:LockedField>
          </o:OLEObject>
        </w:object>
      </w:r>
    </w:p>
    <w:p w14:paraId="3CEA18D2">
      <w:pPr>
        <w:spacing w:before="87" w:line="224" w:lineRule="auto"/>
        <w:outlineLvl w:val="1"/>
        <w:rPr>
          <w:rFonts w:ascii="宋体" w:hAnsi="宋体" w:eastAsia="宋体" w:cs="宋体"/>
          <w:b/>
          <w:bCs/>
          <w:spacing w:val="5"/>
          <w:sz w:val="43"/>
          <w:szCs w:val="43"/>
        </w:rPr>
      </w:pPr>
    </w:p>
    <w:p w14:paraId="24B86FF4">
      <w:pPr>
        <w:spacing w:before="87" w:line="224" w:lineRule="auto"/>
        <w:outlineLvl w:val="1"/>
        <w:rPr>
          <w:rFonts w:ascii="宋体" w:hAnsi="宋体" w:eastAsia="宋体" w:cs="宋体"/>
          <w:b/>
          <w:bCs/>
          <w:spacing w:val="5"/>
          <w:sz w:val="43"/>
          <w:szCs w:val="43"/>
        </w:rPr>
      </w:pPr>
    </w:p>
    <w:p w14:paraId="41998885">
      <w:pPr>
        <w:spacing w:before="87" w:line="225" w:lineRule="auto"/>
        <w:ind w:left="3868"/>
        <w:outlineLvl w:val="1"/>
        <w:rPr>
          <w:rFonts w:ascii="宋体" w:hAnsi="宋体" w:eastAsia="宋体" w:cs="宋体"/>
          <w:sz w:val="43"/>
          <w:szCs w:val="43"/>
        </w:rPr>
      </w:pPr>
      <w:r>
        <w:rPr>
          <w:rFonts w:ascii="宋体" w:hAnsi="宋体" w:eastAsia="宋体" w:cs="宋体"/>
          <w:b/>
          <w:bCs/>
          <w:spacing w:val="5"/>
          <w:sz w:val="43"/>
          <w:szCs w:val="43"/>
        </w:rPr>
        <w:t>财政拨款预算“三公”经费支出表</w:t>
      </w:r>
    </w:p>
    <w:p w14:paraId="47553087">
      <w:pPr>
        <w:spacing w:line="337" w:lineRule="auto"/>
        <w:rPr>
          <w:rFonts w:ascii="Arial"/>
          <w:sz w:val="21"/>
        </w:rPr>
      </w:pPr>
    </w:p>
    <w:p w14:paraId="3E5D221A">
      <w:pPr>
        <w:spacing w:before="62" w:line="231" w:lineRule="auto"/>
        <w:ind w:left="56"/>
        <w:rPr>
          <w:rFonts w:ascii="宋体" w:hAnsi="宋体" w:eastAsia="宋体" w:cs="宋体"/>
          <w:sz w:val="19"/>
          <w:szCs w:val="19"/>
        </w:rPr>
      </w:pPr>
      <w:r>
        <w:rPr>
          <w:rFonts w:ascii="宋体" w:hAnsi="宋体" w:eastAsia="宋体" w:cs="宋体"/>
          <w:spacing w:val="4"/>
          <w:sz w:val="19"/>
          <w:szCs w:val="19"/>
        </w:rPr>
        <w:t>表7</w:t>
      </w:r>
    </w:p>
    <w:p w14:paraId="3FDE1D18">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盘锦市双台子区人社局</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94"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258"/>
        <w:gridCol w:w="3208"/>
        <w:gridCol w:w="1964"/>
        <w:gridCol w:w="1965"/>
        <w:gridCol w:w="1914"/>
        <w:gridCol w:w="1985"/>
      </w:tblGrid>
      <w:tr w14:paraId="017EB9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3258" w:type="dxa"/>
            <w:vMerge w:val="restart"/>
            <w:tcBorders>
              <w:bottom w:val="nil"/>
            </w:tcBorders>
            <w:vAlign w:val="top"/>
          </w:tcPr>
          <w:p w14:paraId="3E099999">
            <w:pPr>
              <w:pStyle w:val="6"/>
              <w:spacing w:line="344" w:lineRule="auto"/>
            </w:pPr>
          </w:p>
          <w:p w14:paraId="754FECA6">
            <w:pPr>
              <w:spacing w:before="62" w:line="231" w:lineRule="auto"/>
              <w:ind w:left="826"/>
              <w:rPr>
                <w:rFonts w:ascii="宋体" w:hAnsi="宋体" w:eastAsia="宋体" w:cs="宋体"/>
                <w:sz w:val="19"/>
                <w:szCs w:val="19"/>
              </w:rPr>
            </w:pPr>
            <w:r>
              <w:rPr>
                <w:rFonts w:ascii="宋体" w:hAnsi="宋体" w:eastAsia="宋体" w:cs="宋体"/>
                <w:spacing w:val="10"/>
                <w:sz w:val="19"/>
                <w:szCs w:val="19"/>
              </w:rPr>
              <w:t>“三公”经费合计</w:t>
            </w:r>
          </w:p>
        </w:tc>
        <w:tc>
          <w:tcPr>
            <w:tcW w:w="3208" w:type="dxa"/>
            <w:vMerge w:val="restart"/>
            <w:tcBorders>
              <w:bottom w:val="nil"/>
            </w:tcBorders>
            <w:vAlign w:val="top"/>
          </w:tcPr>
          <w:p w14:paraId="0C288932">
            <w:pPr>
              <w:pStyle w:val="6"/>
              <w:spacing w:line="344" w:lineRule="auto"/>
            </w:pPr>
          </w:p>
          <w:p w14:paraId="384AFB7A">
            <w:pPr>
              <w:spacing w:before="62" w:line="231" w:lineRule="auto"/>
              <w:ind w:left="826"/>
              <w:rPr>
                <w:rFonts w:ascii="宋体" w:hAnsi="宋体" w:eastAsia="宋体" w:cs="宋体"/>
                <w:sz w:val="19"/>
                <w:szCs w:val="19"/>
              </w:rPr>
            </w:pPr>
            <w:r>
              <w:rPr>
                <w:rFonts w:ascii="宋体" w:hAnsi="宋体" w:eastAsia="宋体" w:cs="宋体"/>
                <w:spacing w:val="7"/>
                <w:sz w:val="19"/>
                <w:szCs w:val="19"/>
              </w:rPr>
              <w:t>因公出国（境）费</w:t>
            </w:r>
          </w:p>
        </w:tc>
        <w:tc>
          <w:tcPr>
            <w:tcW w:w="5843" w:type="dxa"/>
            <w:gridSpan w:val="3"/>
            <w:vAlign w:val="top"/>
          </w:tcPr>
          <w:p w14:paraId="46157E87">
            <w:pPr>
              <w:spacing w:before="158" w:line="230" w:lineRule="auto"/>
              <w:ind w:left="1938"/>
              <w:rPr>
                <w:rFonts w:ascii="宋体" w:hAnsi="宋体" w:eastAsia="宋体" w:cs="宋体"/>
                <w:sz w:val="19"/>
                <w:szCs w:val="19"/>
              </w:rPr>
            </w:pPr>
            <w:r>
              <w:rPr>
                <w:rFonts w:ascii="宋体" w:hAnsi="宋体" w:eastAsia="宋体" w:cs="宋体"/>
                <w:spacing w:val="8"/>
                <w:sz w:val="19"/>
                <w:szCs w:val="19"/>
              </w:rPr>
              <w:t>公务用车购置及运行费</w:t>
            </w:r>
          </w:p>
        </w:tc>
        <w:tc>
          <w:tcPr>
            <w:tcW w:w="1985" w:type="dxa"/>
            <w:vMerge w:val="restart"/>
            <w:tcBorders>
              <w:bottom w:val="nil"/>
            </w:tcBorders>
            <w:vAlign w:val="top"/>
          </w:tcPr>
          <w:p w14:paraId="5E757AF6">
            <w:pPr>
              <w:pStyle w:val="6"/>
              <w:spacing w:line="344" w:lineRule="auto"/>
            </w:pPr>
          </w:p>
          <w:p w14:paraId="60740F04">
            <w:pPr>
              <w:spacing w:before="62" w:line="230" w:lineRule="auto"/>
              <w:ind w:left="510"/>
              <w:rPr>
                <w:rFonts w:ascii="宋体" w:hAnsi="宋体" w:eastAsia="宋体" w:cs="宋体"/>
                <w:sz w:val="19"/>
                <w:szCs w:val="19"/>
              </w:rPr>
            </w:pPr>
            <w:r>
              <w:rPr>
                <w:rFonts w:ascii="宋体" w:hAnsi="宋体" w:eastAsia="宋体" w:cs="宋体"/>
                <w:spacing w:val="7"/>
                <w:sz w:val="19"/>
                <w:szCs w:val="19"/>
              </w:rPr>
              <w:t>公务接待费</w:t>
            </w:r>
          </w:p>
        </w:tc>
      </w:tr>
      <w:tr w14:paraId="1A18F4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Merge w:val="continue"/>
            <w:tcBorders>
              <w:top w:val="nil"/>
            </w:tcBorders>
            <w:vAlign w:val="top"/>
          </w:tcPr>
          <w:p w14:paraId="05E2D6E2">
            <w:pPr>
              <w:pStyle w:val="6"/>
            </w:pPr>
          </w:p>
        </w:tc>
        <w:tc>
          <w:tcPr>
            <w:tcW w:w="3208" w:type="dxa"/>
            <w:vMerge w:val="continue"/>
            <w:tcBorders>
              <w:top w:val="nil"/>
            </w:tcBorders>
            <w:vAlign w:val="top"/>
          </w:tcPr>
          <w:p w14:paraId="5BCF97E5">
            <w:pPr>
              <w:pStyle w:val="6"/>
            </w:pPr>
          </w:p>
        </w:tc>
        <w:tc>
          <w:tcPr>
            <w:tcW w:w="1964" w:type="dxa"/>
            <w:vAlign w:val="top"/>
          </w:tcPr>
          <w:p w14:paraId="4D392708">
            <w:pPr>
              <w:spacing w:before="151" w:line="231" w:lineRule="auto"/>
              <w:ind w:left="796"/>
              <w:rPr>
                <w:rFonts w:ascii="宋体" w:hAnsi="宋体" w:eastAsia="宋体" w:cs="宋体"/>
                <w:sz w:val="19"/>
                <w:szCs w:val="19"/>
              </w:rPr>
            </w:pPr>
            <w:r>
              <w:rPr>
                <w:rFonts w:ascii="宋体" w:hAnsi="宋体" w:eastAsia="宋体" w:cs="宋体"/>
                <w:spacing w:val="3"/>
                <w:sz w:val="19"/>
                <w:szCs w:val="19"/>
              </w:rPr>
              <w:t>小计</w:t>
            </w:r>
          </w:p>
        </w:tc>
        <w:tc>
          <w:tcPr>
            <w:tcW w:w="1965" w:type="dxa"/>
            <w:vAlign w:val="top"/>
          </w:tcPr>
          <w:p w14:paraId="2FA5B4C4">
            <w:pPr>
              <w:spacing w:before="151" w:line="230" w:lineRule="auto"/>
              <w:ind w:left="301"/>
              <w:rPr>
                <w:rFonts w:ascii="宋体" w:hAnsi="宋体" w:eastAsia="宋体" w:cs="宋体"/>
                <w:sz w:val="19"/>
                <w:szCs w:val="19"/>
              </w:rPr>
            </w:pPr>
            <w:r>
              <w:rPr>
                <w:rFonts w:ascii="宋体" w:hAnsi="宋体" w:eastAsia="宋体" w:cs="宋体"/>
                <w:spacing w:val="7"/>
                <w:sz w:val="19"/>
                <w:szCs w:val="19"/>
              </w:rPr>
              <w:t>公务用车购置费</w:t>
            </w:r>
          </w:p>
        </w:tc>
        <w:tc>
          <w:tcPr>
            <w:tcW w:w="1914" w:type="dxa"/>
            <w:vAlign w:val="top"/>
          </w:tcPr>
          <w:p w14:paraId="122CA4AB">
            <w:pPr>
              <w:spacing w:before="151" w:line="230" w:lineRule="auto"/>
              <w:ind w:left="276"/>
              <w:rPr>
                <w:rFonts w:ascii="宋体" w:hAnsi="宋体" w:eastAsia="宋体" w:cs="宋体"/>
                <w:sz w:val="19"/>
                <w:szCs w:val="19"/>
              </w:rPr>
            </w:pPr>
            <w:r>
              <w:rPr>
                <w:rFonts w:ascii="宋体" w:hAnsi="宋体" w:eastAsia="宋体" w:cs="宋体"/>
                <w:spacing w:val="7"/>
                <w:sz w:val="19"/>
                <w:szCs w:val="19"/>
              </w:rPr>
              <w:t>公务用车运行费</w:t>
            </w:r>
          </w:p>
        </w:tc>
        <w:tc>
          <w:tcPr>
            <w:tcW w:w="1985" w:type="dxa"/>
            <w:vMerge w:val="continue"/>
            <w:tcBorders>
              <w:top w:val="nil"/>
            </w:tcBorders>
            <w:vAlign w:val="top"/>
          </w:tcPr>
          <w:p w14:paraId="2B90CB2B">
            <w:pPr>
              <w:pStyle w:val="6"/>
            </w:pPr>
          </w:p>
        </w:tc>
      </w:tr>
      <w:tr w14:paraId="42B727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Align w:val="top"/>
          </w:tcPr>
          <w:p w14:paraId="14F15707">
            <w:pPr>
              <w:pStyle w:val="6"/>
            </w:pPr>
            <w:r>
              <w:rPr>
                <w:rFonts w:hint="eastAsia"/>
              </w:rPr>
              <w:t>015001 盘锦市双台子区人力资源和社会保障局本级</w:t>
            </w:r>
          </w:p>
        </w:tc>
        <w:tc>
          <w:tcPr>
            <w:tcW w:w="3208" w:type="dxa"/>
            <w:vAlign w:val="top"/>
          </w:tcPr>
          <w:p w14:paraId="5E852ABF">
            <w:pPr>
              <w:pStyle w:val="6"/>
            </w:pPr>
          </w:p>
        </w:tc>
        <w:tc>
          <w:tcPr>
            <w:tcW w:w="1964" w:type="dxa"/>
            <w:vAlign w:val="top"/>
          </w:tcPr>
          <w:p w14:paraId="4E5E101C">
            <w:pPr>
              <w:pStyle w:val="6"/>
            </w:pPr>
          </w:p>
        </w:tc>
        <w:tc>
          <w:tcPr>
            <w:tcW w:w="1965" w:type="dxa"/>
            <w:vAlign w:val="top"/>
          </w:tcPr>
          <w:p w14:paraId="72F61664">
            <w:pPr>
              <w:pStyle w:val="6"/>
            </w:pPr>
          </w:p>
        </w:tc>
        <w:tc>
          <w:tcPr>
            <w:tcW w:w="1914" w:type="dxa"/>
            <w:vAlign w:val="top"/>
          </w:tcPr>
          <w:p w14:paraId="5CF7FC8B">
            <w:pPr>
              <w:pStyle w:val="6"/>
            </w:pPr>
          </w:p>
        </w:tc>
        <w:tc>
          <w:tcPr>
            <w:tcW w:w="1985" w:type="dxa"/>
            <w:vAlign w:val="top"/>
          </w:tcPr>
          <w:p w14:paraId="071065EF">
            <w:pPr>
              <w:pStyle w:val="6"/>
            </w:pPr>
          </w:p>
        </w:tc>
      </w:tr>
      <w:tr w14:paraId="39698D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Align w:val="top"/>
          </w:tcPr>
          <w:p w14:paraId="27B2C2D0">
            <w:pPr>
              <w:pStyle w:val="6"/>
            </w:pPr>
            <w:r>
              <w:rPr>
                <w:rFonts w:hint="eastAsia"/>
              </w:rPr>
              <w:t>015002 盘锦市双台子区人力资源和社会保障服务中心</w:t>
            </w:r>
          </w:p>
        </w:tc>
        <w:tc>
          <w:tcPr>
            <w:tcW w:w="3208" w:type="dxa"/>
            <w:vAlign w:val="top"/>
          </w:tcPr>
          <w:p w14:paraId="65C19D01">
            <w:pPr>
              <w:pStyle w:val="6"/>
            </w:pPr>
          </w:p>
        </w:tc>
        <w:tc>
          <w:tcPr>
            <w:tcW w:w="1964" w:type="dxa"/>
            <w:vAlign w:val="top"/>
          </w:tcPr>
          <w:p w14:paraId="1555FB14">
            <w:pPr>
              <w:pStyle w:val="6"/>
              <w:jc w:val="center"/>
              <w:rPr>
                <w:rFonts w:hint="eastAsia" w:eastAsia="宋体"/>
                <w:lang w:val="en-US" w:eastAsia="zh-CN"/>
              </w:rPr>
            </w:pPr>
            <w:r>
              <w:rPr>
                <w:rFonts w:hint="eastAsia" w:eastAsia="宋体"/>
                <w:lang w:val="en-US" w:eastAsia="zh-CN"/>
              </w:rPr>
              <w:t>6</w:t>
            </w:r>
          </w:p>
        </w:tc>
        <w:tc>
          <w:tcPr>
            <w:tcW w:w="1965" w:type="dxa"/>
            <w:vAlign w:val="top"/>
          </w:tcPr>
          <w:p w14:paraId="0B3AEF6A">
            <w:pPr>
              <w:pStyle w:val="6"/>
            </w:pPr>
          </w:p>
        </w:tc>
        <w:tc>
          <w:tcPr>
            <w:tcW w:w="1914" w:type="dxa"/>
            <w:vAlign w:val="top"/>
          </w:tcPr>
          <w:p w14:paraId="4E86366C">
            <w:pPr>
              <w:pStyle w:val="6"/>
              <w:jc w:val="center"/>
              <w:rPr>
                <w:rFonts w:hint="eastAsia" w:eastAsia="宋体"/>
                <w:lang w:val="en-US" w:eastAsia="zh-CN"/>
              </w:rPr>
            </w:pPr>
            <w:r>
              <w:rPr>
                <w:rFonts w:hint="eastAsia" w:eastAsia="宋体"/>
                <w:lang w:val="en-US" w:eastAsia="zh-CN"/>
              </w:rPr>
              <w:t>6</w:t>
            </w:r>
          </w:p>
        </w:tc>
        <w:tc>
          <w:tcPr>
            <w:tcW w:w="1985" w:type="dxa"/>
            <w:vAlign w:val="top"/>
          </w:tcPr>
          <w:p w14:paraId="0C49BFFE">
            <w:pPr>
              <w:pStyle w:val="6"/>
            </w:pPr>
          </w:p>
        </w:tc>
      </w:tr>
      <w:tr w14:paraId="2CDF6C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3258" w:type="dxa"/>
            <w:vAlign w:val="top"/>
          </w:tcPr>
          <w:p w14:paraId="3CD74A8C">
            <w:pPr>
              <w:pStyle w:val="6"/>
            </w:pPr>
            <w:r>
              <w:rPr>
                <w:rFonts w:hint="eastAsia"/>
              </w:rPr>
              <w:t>015003 盘锦市双台子区劳动者权益维护服务中心</w:t>
            </w:r>
          </w:p>
        </w:tc>
        <w:tc>
          <w:tcPr>
            <w:tcW w:w="3208" w:type="dxa"/>
            <w:vAlign w:val="top"/>
          </w:tcPr>
          <w:p w14:paraId="0504FEEF">
            <w:pPr>
              <w:pStyle w:val="6"/>
            </w:pPr>
          </w:p>
        </w:tc>
        <w:tc>
          <w:tcPr>
            <w:tcW w:w="1964" w:type="dxa"/>
            <w:vAlign w:val="top"/>
          </w:tcPr>
          <w:p w14:paraId="30FC3C77">
            <w:pPr>
              <w:pStyle w:val="6"/>
            </w:pPr>
          </w:p>
        </w:tc>
        <w:tc>
          <w:tcPr>
            <w:tcW w:w="1965" w:type="dxa"/>
            <w:vAlign w:val="top"/>
          </w:tcPr>
          <w:p w14:paraId="7DE6B3E2">
            <w:pPr>
              <w:pStyle w:val="6"/>
            </w:pPr>
          </w:p>
        </w:tc>
        <w:tc>
          <w:tcPr>
            <w:tcW w:w="1914" w:type="dxa"/>
            <w:vAlign w:val="top"/>
          </w:tcPr>
          <w:p w14:paraId="0393EEFF">
            <w:pPr>
              <w:pStyle w:val="6"/>
            </w:pPr>
          </w:p>
        </w:tc>
        <w:tc>
          <w:tcPr>
            <w:tcW w:w="1985" w:type="dxa"/>
            <w:vAlign w:val="top"/>
          </w:tcPr>
          <w:p w14:paraId="35CEAA22">
            <w:pPr>
              <w:pStyle w:val="6"/>
            </w:pPr>
          </w:p>
        </w:tc>
      </w:tr>
      <w:tr w14:paraId="148C48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3258" w:type="dxa"/>
            <w:vAlign w:val="top"/>
          </w:tcPr>
          <w:p w14:paraId="33E5F598">
            <w:pPr>
              <w:pStyle w:val="6"/>
            </w:pPr>
          </w:p>
        </w:tc>
        <w:tc>
          <w:tcPr>
            <w:tcW w:w="3208" w:type="dxa"/>
            <w:vAlign w:val="top"/>
          </w:tcPr>
          <w:p w14:paraId="3349DFF1">
            <w:pPr>
              <w:pStyle w:val="6"/>
            </w:pPr>
          </w:p>
        </w:tc>
        <w:tc>
          <w:tcPr>
            <w:tcW w:w="1964" w:type="dxa"/>
            <w:vAlign w:val="top"/>
          </w:tcPr>
          <w:p w14:paraId="3753009E">
            <w:pPr>
              <w:pStyle w:val="6"/>
            </w:pPr>
          </w:p>
        </w:tc>
        <w:tc>
          <w:tcPr>
            <w:tcW w:w="1965" w:type="dxa"/>
            <w:vAlign w:val="top"/>
          </w:tcPr>
          <w:p w14:paraId="13325556">
            <w:pPr>
              <w:pStyle w:val="6"/>
            </w:pPr>
          </w:p>
        </w:tc>
        <w:tc>
          <w:tcPr>
            <w:tcW w:w="1914" w:type="dxa"/>
            <w:vAlign w:val="top"/>
          </w:tcPr>
          <w:p w14:paraId="13AA8868">
            <w:pPr>
              <w:pStyle w:val="6"/>
            </w:pPr>
          </w:p>
        </w:tc>
        <w:tc>
          <w:tcPr>
            <w:tcW w:w="1985" w:type="dxa"/>
            <w:vAlign w:val="top"/>
          </w:tcPr>
          <w:p w14:paraId="607C8ED8">
            <w:pPr>
              <w:pStyle w:val="6"/>
            </w:pPr>
          </w:p>
        </w:tc>
      </w:tr>
    </w:tbl>
    <w:p w14:paraId="6791B06C">
      <w:pPr>
        <w:rPr>
          <w:rFonts w:ascii="Arial"/>
          <w:sz w:val="21"/>
        </w:rPr>
      </w:pPr>
    </w:p>
    <w:p w14:paraId="56014E7D">
      <w:pPr>
        <w:rPr>
          <w:rFonts w:ascii="Arial" w:hAnsi="Arial" w:eastAsia="Arial" w:cs="Arial"/>
          <w:sz w:val="21"/>
          <w:szCs w:val="21"/>
        </w:rPr>
        <w:sectPr>
          <w:pgSz w:w="16840" w:h="11905"/>
          <w:pgMar w:top="913" w:right="1274" w:bottom="400" w:left="1255" w:header="0" w:footer="0" w:gutter="0"/>
          <w:cols w:space="720" w:num="1"/>
        </w:sectPr>
      </w:pPr>
    </w:p>
    <w:p w14:paraId="7AFFC358">
      <w:pPr>
        <w:spacing w:before="87" w:line="224" w:lineRule="auto"/>
        <w:ind w:left="4976"/>
        <w:outlineLvl w:val="1"/>
        <w:rPr>
          <w:rFonts w:ascii="宋体" w:hAnsi="宋体" w:eastAsia="宋体" w:cs="宋体"/>
          <w:sz w:val="43"/>
          <w:szCs w:val="43"/>
        </w:rPr>
      </w:pPr>
      <w:r>
        <w:rPr>
          <w:rFonts w:ascii="宋体" w:hAnsi="宋体" w:eastAsia="宋体" w:cs="宋体"/>
          <w:b/>
          <w:bCs/>
          <w:spacing w:val="5"/>
          <w:sz w:val="43"/>
          <w:szCs w:val="43"/>
        </w:rPr>
        <w:t>政府性基金预算支出表</w:t>
      </w:r>
    </w:p>
    <w:p w14:paraId="2AC5829D">
      <w:pPr>
        <w:spacing w:line="339" w:lineRule="auto"/>
        <w:rPr>
          <w:rFonts w:ascii="Arial"/>
          <w:sz w:val="21"/>
        </w:rPr>
      </w:pPr>
    </w:p>
    <w:p w14:paraId="1E026704">
      <w:pPr>
        <w:spacing w:before="61" w:line="231" w:lineRule="auto"/>
        <w:ind w:left="56"/>
        <w:rPr>
          <w:rFonts w:ascii="宋体" w:hAnsi="宋体" w:eastAsia="宋体" w:cs="宋体"/>
          <w:sz w:val="19"/>
          <w:szCs w:val="19"/>
        </w:rPr>
      </w:pPr>
      <w:r>
        <w:rPr>
          <w:rFonts w:ascii="宋体" w:hAnsi="宋体" w:eastAsia="宋体" w:cs="宋体"/>
          <w:spacing w:val="4"/>
          <w:sz w:val="19"/>
          <w:szCs w:val="19"/>
        </w:rPr>
        <w:t>表8</w:t>
      </w:r>
    </w:p>
    <w:p w14:paraId="6553D411">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盘锦市双台子区人社局</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30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03"/>
        <w:gridCol w:w="6477"/>
        <w:gridCol w:w="2146"/>
        <w:gridCol w:w="2146"/>
        <w:gridCol w:w="2135"/>
      </w:tblGrid>
      <w:tr w14:paraId="01795F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1403" w:type="dxa"/>
            <w:vMerge w:val="restart"/>
            <w:tcBorders>
              <w:bottom w:val="nil"/>
            </w:tcBorders>
            <w:vAlign w:val="top"/>
          </w:tcPr>
          <w:p w14:paraId="2C71313D">
            <w:pPr>
              <w:pStyle w:val="6"/>
              <w:spacing w:line="344" w:lineRule="auto"/>
            </w:pPr>
          </w:p>
          <w:p w14:paraId="07F217BD">
            <w:pPr>
              <w:spacing w:before="62" w:line="229" w:lineRule="auto"/>
              <w:ind w:left="309"/>
              <w:rPr>
                <w:rFonts w:ascii="宋体" w:hAnsi="宋体" w:eastAsia="宋体" w:cs="宋体"/>
                <w:sz w:val="19"/>
                <w:szCs w:val="19"/>
              </w:rPr>
            </w:pPr>
            <w:r>
              <w:rPr>
                <w:rFonts w:ascii="宋体" w:hAnsi="宋体" w:eastAsia="宋体" w:cs="宋体"/>
                <w:spacing w:val="8"/>
                <w:sz w:val="19"/>
                <w:szCs w:val="19"/>
              </w:rPr>
              <w:t>科目编码</w:t>
            </w:r>
          </w:p>
        </w:tc>
        <w:tc>
          <w:tcPr>
            <w:tcW w:w="6477" w:type="dxa"/>
            <w:vMerge w:val="restart"/>
            <w:tcBorders>
              <w:bottom w:val="nil"/>
            </w:tcBorders>
            <w:vAlign w:val="top"/>
          </w:tcPr>
          <w:p w14:paraId="236E0302">
            <w:pPr>
              <w:pStyle w:val="6"/>
              <w:spacing w:line="344" w:lineRule="auto"/>
            </w:pPr>
          </w:p>
          <w:p w14:paraId="3B0CDC88">
            <w:pPr>
              <w:spacing w:before="62" w:line="229" w:lineRule="auto"/>
              <w:ind w:left="2846"/>
              <w:rPr>
                <w:rFonts w:ascii="宋体" w:hAnsi="宋体" w:eastAsia="宋体" w:cs="宋体"/>
                <w:sz w:val="19"/>
                <w:szCs w:val="19"/>
              </w:rPr>
            </w:pPr>
            <w:r>
              <w:rPr>
                <w:rFonts w:ascii="宋体" w:hAnsi="宋体" w:eastAsia="宋体" w:cs="宋体"/>
                <w:spacing w:val="8"/>
                <w:sz w:val="19"/>
                <w:szCs w:val="19"/>
              </w:rPr>
              <w:t>科目名称</w:t>
            </w:r>
          </w:p>
        </w:tc>
        <w:tc>
          <w:tcPr>
            <w:tcW w:w="6427" w:type="dxa"/>
            <w:gridSpan w:val="3"/>
            <w:vAlign w:val="top"/>
          </w:tcPr>
          <w:p w14:paraId="58B6A3C0">
            <w:pPr>
              <w:spacing w:before="159" w:line="229" w:lineRule="auto"/>
              <w:ind w:left="2122"/>
              <w:rPr>
                <w:rFonts w:ascii="宋体" w:hAnsi="宋体" w:eastAsia="宋体" w:cs="宋体"/>
                <w:sz w:val="19"/>
                <w:szCs w:val="19"/>
              </w:rPr>
            </w:pPr>
            <w:r>
              <w:rPr>
                <w:rFonts w:ascii="宋体" w:hAnsi="宋体" w:eastAsia="宋体" w:cs="宋体"/>
                <w:spacing w:val="9"/>
                <w:sz w:val="19"/>
                <w:szCs w:val="19"/>
              </w:rPr>
              <w:t>本年政府性基金预算支出</w:t>
            </w:r>
          </w:p>
        </w:tc>
      </w:tr>
      <w:tr w14:paraId="04A5CE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Merge w:val="continue"/>
            <w:tcBorders>
              <w:top w:val="nil"/>
            </w:tcBorders>
            <w:vAlign w:val="top"/>
          </w:tcPr>
          <w:p w14:paraId="1E87318F">
            <w:pPr>
              <w:pStyle w:val="6"/>
            </w:pPr>
          </w:p>
        </w:tc>
        <w:tc>
          <w:tcPr>
            <w:tcW w:w="6477" w:type="dxa"/>
            <w:vMerge w:val="continue"/>
            <w:tcBorders>
              <w:top w:val="nil"/>
            </w:tcBorders>
            <w:vAlign w:val="top"/>
          </w:tcPr>
          <w:p w14:paraId="6D044AC3">
            <w:pPr>
              <w:pStyle w:val="6"/>
            </w:pPr>
          </w:p>
        </w:tc>
        <w:tc>
          <w:tcPr>
            <w:tcW w:w="2146" w:type="dxa"/>
            <w:vAlign w:val="top"/>
          </w:tcPr>
          <w:p w14:paraId="4320A143">
            <w:pPr>
              <w:spacing w:before="151" w:line="231" w:lineRule="auto"/>
              <w:ind w:left="884"/>
              <w:rPr>
                <w:rFonts w:ascii="宋体" w:hAnsi="宋体" w:eastAsia="宋体" w:cs="宋体"/>
                <w:sz w:val="19"/>
                <w:szCs w:val="19"/>
              </w:rPr>
            </w:pPr>
            <w:r>
              <w:rPr>
                <w:rFonts w:ascii="宋体" w:hAnsi="宋体" w:eastAsia="宋体" w:cs="宋体"/>
                <w:spacing w:val="5"/>
                <w:sz w:val="19"/>
                <w:szCs w:val="19"/>
              </w:rPr>
              <w:t>合计</w:t>
            </w:r>
          </w:p>
        </w:tc>
        <w:tc>
          <w:tcPr>
            <w:tcW w:w="2146" w:type="dxa"/>
            <w:vAlign w:val="top"/>
          </w:tcPr>
          <w:p w14:paraId="665E9AFD">
            <w:pPr>
              <w:spacing w:before="151" w:line="229" w:lineRule="auto"/>
              <w:ind w:left="686"/>
              <w:rPr>
                <w:rFonts w:ascii="宋体" w:hAnsi="宋体" w:eastAsia="宋体" w:cs="宋体"/>
                <w:sz w:val="19"/>
                <w:szCs w:val="19"/>
              </w:rPr>
            </w:pPr>
            <w:r>
              <w:rPr>
                <w:rFonts w:ascii="宋体" w:hAnsi="宋体" w:eastAsia="宋体" w:cs="宋体"/>
                <w:spacing w:val="8"/>
                <w:sz w:val="19"/>
                <w:szCs w:val="19"/>
              </w:rPr>
              <w:t>基本支出</w:t>
            </w:r>
          </w:p>
        </w:tc>
        <w:tc>
          <w:tcPr>
            <w:tcW w:w="2135" w:type="dxa"/>
            <w:vAlign w:val="top"/>
          </w:tcPr>
          <w:p w14:paraId="3D21E040">
            <w:pPr>
              <w:spacing w:before="150" w:line="231" w:lineRule="auto"/>
              <w:ind w:left="680"/>
              <w:rPr>
                <w:rFonts w:ascii="宋体" w:hAnsi="宋体" w:eastAsia="宋体" w:cs="宋体"/>
                <w:sz w:val="19"/>
                <w:szCs w:val="19"/>
              </w:rPr>
            </w:pPr>
            <w:r>
              <w:rPr>
                <w:rFonts w:ascii="宋体" w:hAnsi="宋体" w:eastAsia="宋体" w:cs="宋体"/>
                <w:spacing w:val="7"/>
                <w:sz w:val="19"/>
                <w:szCs w:val="19"/>
              </w:rPr>
              <w:t>项目支出</w:t>
            </w:r>
          </w:p>
        </w:tc>
      </w:tr>
      <w:tr w14:paraId="27CE06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Align w:val="top"/>
          </w:tcPr>
          <w:p w14:paraId="00521CA5">
            <w:pPr>
              <w:pStyle w:val="6"/>
            </w:pPr>
          </w:p>
        </w:tc>
        <w:tc>
          <w:tcPr>
            <w:tcW w:w="6477" w:type="dxa"/>
            <w:vAlign w:val="top"/>
          </w:tcPr>
          <w:p w14:paraId="15EA6369">
            <w:pPr>
              <w:spacing w:before="155" w:line="231" w:lineRule="auto"/>
              <w:ind w:left="3047"/>
              <w:rPr>
                <w:rFonts w:ascii="宋体" w:hAnsi="宋体" w:eastAsia="宋体" w:cs="宋体"/>
                <w:sz w:val="19"/>
                <w:szCs w:val="19"/>
              </w:rPr>
            </w:pPr>
            <w:r>
              <w:rPr>
                <w:rFonts w:ascii="宋体" w:hAnsi="宋体" w:eastAsia="宋体" w:cs="宋体"/>
                <w:spacing w:val="5"/>
                <w:sz w:val="19"/>
                <w:szCs w:val="19"/>
              </w:rPr>
              <w:t>合计</w:t>
            </w:r>
          </w:p>
        </w:tc>
        <w:tc>
          <w:tcPr>
            <w:tcW w:w="2146" w:type="dxa"/>
            <w:vAlign w:val="top"/>
          </w:tcPr>
          <w:p w14:paraId="4BBC3AC8">
            <w:pPr>
              <w:pStyle w:val="6"/>
            </w:pPr>
          </w:p>
        </w:tc>
        <w:tc>
          <w:tcPr>
            <w:tcW w:w="2146" w:type="dxa"/>
            <w:vAlign w:val="top"/>
          </w:tcPr>
          <w:p w14:paraId="135FB4A1">
            <w:pPr>
              <w:pStyle w:val="6"/>
            </w:pPr>
          </w:p>
        </w:tc>
        <w:tc>
          <w:tcPr>
            <w:tcW w:w="2135" w:type="dxa"/>
            <w:vAlign w:val="top"/>
          </w:tcPr>
          <w:p w14:paraId="028C75B4">
            <w:pPr>
              <w:pStyle w:val="6"/>
            </w:pPr>
          </w:p>
        </w:tc>
      </w:tr>
      <w:tr w14:paraId="4DBABA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Align w:val="top"/>
          </w:tcPr>
          <w:p w14:paraId="146080E4">
            <w:pPr>
              <w:pStyle w:val="6"/>
            </w:pPr>
          </w:p>
        </w:tc>
        <w:tc>
          <w:tcPr>
            <w:tcW w:w="6477" w:type="dxa"/>
            <w:vAlign w:val="top"/>
          </w:tcPr>
          <w:p w14:paraId="4D2A155B">
            <w:pPr>
              <w:pStyle w:val="6"/>
            </w:pPr>
          </w:p>
        </w:tc>
        <w:tc>
          <w:tcPr>
            <w:tcW w:w="2146" w:type="dxa"/>
            <w:vAlign w:val="top"/>
          </w:tcPr>
          <w:p w14:paraId="12A1CDE5">
            <w:pPr>
              <w:pStyle w:val="6"/>
            </w:pPr>
          </w:p>
        </w:tc>
        <w:tc>
          <w:tcPr>
            <w:tcW w:w="2146" w:type="dxa"/>
            <w:vAlign w:val="top"/>
          </w:tcPr>
          <w:p w14:paraId="10AAA226">
            <w:pPr>
              <w:pStyle w:val="6"/>
            </w:pPr>
          </w:p>
        </w:tc>
        <w:tc>
          <w:tcPr>
            <w:tcW w:w="2135" w:type="dxa"/>
            <w:vAlign w:val="top"/>
          </w:tcPr>
          <w:p w14:paraId="08EE4B34">
            <w:pPr>
              <w:pStyle w:val="6"/>
            </w:pPr>
          </w:p>
        </w:tc>
      </w:tr>
      <w:tr w14:paraId="137901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03" w:type="dxa"/>
            <w:vAlign w:val="top"/>
          </w:tcPr>
          <w:p w14:paraId="7A701664">
            <w:pPr>
              <w:pStyle w:val="6"/>
            </w:pPr>
          </w:p>
        </w:tc>
        <w:tc>
          <w:tcPr>
            <w:tcW w:w="6477" w:type="dxa"/>
            <w:vAlign w:val="top"/>
          </w:tcPr>
          <w:p w14:paraId="51F41C01">
            <w:pPr>
              <w:pStyle w:val="6"/>
            </w:pPr>
          </w:p>
        </w:tc>
        <w:tc>
          <w:tcPr>
            <w:tcW w:w="2146" w:type="dxa"/>
            <w:vAlign w:val="top"/>
          </w:tcPr>
          <w:p w14:paraId="2E34F69D">
            <w:pPr>
              <w:pStyle w:val="6"/>
            </w:pPr>
          </w:p>
        </w:tc>
        <w:tc>
          <w:tcPr>
            <w:tcW w:w="2146" w:type="dxa"/>
            <w:vAlign w:val="top"/>
          </w:tcPr>
          <w:p w14:paraId="385300AC">
            <w:pPr>
              <w:pStyle w:val="6"/>
            </w:pPr>
          </w:p>
        </w:tc>
        <w:tc>
          <w:tcPr>
            <w:tcW w:w="2135" w:type="dxa"/>
            <w:vAlign w:val="top"/>
          </w:tcPr>
          <w:p w14:paraId="35D35E19">
            <w:pPr>
              <w:pStyle w:val="6"/>
            </w:pPr>
          </w:p>
        </w:tc>
      </w:tr>
      <w:tr w14:paraId="50C542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2" w:hRule="atLeast"/>
        </w:trPr>
        <w:tc>
          <w:tcPr>
            <w:tcW w:w="1403" w:type="dxa"/>
            <w:vAlign w:val="top"/>
          </w:tcPr>
          <w:p w14:paraId="29F001F5">
            <w:pPr>
              <w:pStyle w:val="6"/>
            </w:pPr>
          </w:p>
        </w:tc>
        <w:tc>
          <w:tcPr>
            <w:tcW w:w="6477" w:type="dxa"/>
            <w:vAlign w:val="top"/>
          </w:tcPr>
          <w:p w14:paraId="3AE76952">
            <w:pPr>
              <w:pStyle w:val="6"/>
            </w:pPr>
          </w:p>
        </w:tc>
        <w:tc>
          <w:tcPr>
            <w:tcW w:w="2146" w:type="dxa"/>
            <w:vAlign w:val="top"/>
          </w:tcPr>
          <w:p w14:paraId="3F636418">
            <w:pPr>
              <w:pStyle w:val="6"/>
            </w:pPr>
          </w:p>
        </w:tc>
        <w:tc>
          <w:tcPr>
            <w:tcW w:w="2146" w:type="dxa"/>
            <w:vAlign w:val="top"/>
          </w:tcPr>
          <w:p w14:paraId="79D61813">
            <w:pPr>
              <w:pStyle w:val="6"/>
            </w:pPr>
          </w:p>
        </w:tc>
        <w:tc>
          <w:tcPr>
            <w:tcW w:w="2135" w:type="dxa"/>
            <w:vAlign w:val="top"/>
          </w:tcPr>
          <w:p w14:paraId="7FF3BD96">
            <w:pPr>
              <w:pStyle w:val="6"/>
            </w:pPr>
          </w:p>
        </w:tc>
      </w:tr>
    </w:tbl>
    <w:p w14:paraId="3AB11505">
      <w:pPr>
        <w:spacing w:before="136" w:line="229" w:lineRule="auto"/>
        <w:ind w:left="59"/>
        <w:rPr>
          <w:rFonts w:ascii="宋体" w:hAnsi="宋体" w:eastAsia="宋体" w:cs="宋体"/>
          <w:sz w:val="19"/>
          <w:szCs w:val="19"/>
        </w:rPr>
      </w:pPr>
      <w:r>
        <w:rPr>
          <w:rFonts w:ascii="宋体" w:hAnsi="宋体" w:eastAsia="宋体" w:cs="宋体"/>
          <w:spacing w:val="8"/>
          <w:sz w:val="19"/>
          <w:szCs w:val="19"/>
        </w:rPr>
        <w:t>备注：如此表为空表，则表示部门无政府性基金预算安排的支出。</w:t>
      </w:r>
    </w:p>
    <w:p w14:paraId="0A36BDAF">
      <w:pPr>
        <w:spacing w:line="229" w:lineRule="auto"/>
        <w:rPr>
          <w:rFonts w:ascii="宋体" w:hAnsi="宋体" w:eastAsia="宋体" w:cs="宋体"/>
          <w:sz w:val="19"/>
          <w:szCs w:val="19"/>
        </w:rPr>
        <w:sectPr>
          <w:pgSz w:w="16840" w:h="11905"/>
          <w:pgMar w:top="911" w:right="1268" w:bottom="400" w:left="1249" w:header="0" w:footer="0" w:gutter="0"/>
          <w:cols w:space="720" w:num="1"/>
        </w:sectPr>
      </w:pPr>
    </w:p>
    <w:p w14:paraId="6508420A">
      <w:pPr>
        <w:rPr>
          <w:rFonts w:ascii="Arial" w:hAnsi="Arial" w:eastAsia="Arial" w:cs="Arial"/>
          <w:sz w:val="21"/>
          <w:szCs w:val="21"/>
        </w:rPr>
      </w:pPr>
      <w:r>
        <w:rPr>
          <w:rFonts w:ascii="Arial" w:hAnsi="Arial" w:eastAsia="Arial" w:cs="Arial"/>
          <w:sz w:val="21"/>
          <w:szCs w:val="21"/>
        </w:rPr>
        <w:object>
          <v:shape id="_x0000_i1029" o:spt="75" type="#_x0000_t75" style="height:369.5pt;width:712.4pt;" o:ole="t" filled="f" o:preferrelative="t" stroked="f" coordsize="21600,21600">
            <v:path/>
            <v:fill on="f" focussize="0,0"/>
            <v:stroke on="f"/>
            <v:imagedata r:id="rId23" o:title=""/>
            <o:lock v:ext="edit" aspectratio="f"/>
            <w10:wrap type="none"/>
            <w10:anchorlock/>
          </v:shape>
          <o:OLEObject Type="Embed" ProgID="Excel.Sheet.12" ShapeID="_x0000_i1029" DrawAspect="Content" ObjectID="_1468075729" r:id="rId22">
            <o:LockedField>false</o:LockedField>
          </o:OLEObject>
        </w:object>
      </w:r>
    </w:p>
    <w:p w14:paraId="5D471FC9">
      <w:pPr>
        <w:rPr>
          <w:rFonts w:ascii="Arial" w:hAnsi="Arial" w:eastAsia="Arial" w:cs="Arial"/>
          <w:sz w:val="21"/>
          <w:szCs w:val="21"/>
        </w:rPr>
      </w:pPr>
    </w:p>
    <w:p w14:paraId="18FD9E02">
      <w:pPr>
        <w:rPr>
          <w:rFonts w:ascii="Arial" w:hAnsi="Arial" w:eastAsia="Arial" w:cs="Arial"/>
          <w:sz w:val="21"/>
          <w:szCs w:val="21"/>
        </w:rPr>
      </w:pPr>
    </w:p>
    <w:p w14:paraId="6D5CF904">
      <w:pPr>
        <w:rPr>
          <w:rFonts w:ascii="Arial" w:hAnsi="Arial" w:eastAsia="Arial" w:cs="Arial"/>
          <w:sz w:val="21"/>
          <w:szCs w:val="21"/>
        </w:rPr>
      </w:pPr>
    </w:p>
    <w:p w14:paraId="2617AC4A">
      <w:pPr>
        <w:rPr>
          <w:rFonts w:ascii="Arial" w:hAnsi="Arial" w:eastAsia="Arial" w:cs="Arial"/>
          <w:sz w:val="21"/>
          <w:szCs w:val="21"/>
        </w:rPr>
      </w:pPr>
    </w:p>
    <w:p w14:paraId="62221CDC">
      <w:pPr>
        <w:rPr>
          <w:rFonts w:ascii="Arial" w:hAnsi="Arial" w:eastAsia="Arial" w:cs="Arial"/>
          <w:sz w:val="21"/>
          <w:szCs w:val="21"/>
        </w:rPr>
      </w:pPr>
    </w:p>
    <w:p w14:paraId="628429FF">
      <w:pPr>
        <w:rPr>
          <w:rFonts w:ascii="Arial" w:hAnsi="Arial" w:eastAsia="Arial" w:cs="Arial"/>
          <w:sz w:val="21"/>
          <w:szCs w:val="21"/>
        </w:rPr>
      </w:pPr>
    </w:p>
    <w:p w14:paraId="466BFDA4">
      <w:pPr>
        <w:rPr>
          <w:rFonts w:ascii="Arial" w:hAnsi="Arial" w:eastAsia="Arial" w:cs="Arial"/>
          <w:sz w:val="21"/>
          <w:szCs w:val="21"/>
        </w:rPr>
      </w:pPr>
    </w:p>
    <w:p w14:paraId="1E153893">
      <w:pPr>
        <w:rPr>
          <w:rFonts w:ascii="Arial" w:hAnsi="Arial" w:eastAsia="Arial" w:cs="Arial"/>
          <w:sz w:val="21"/>
          <w:szCs w:val="21"/>
        </w:rPr>
      </w:pPr>
    </w:p>
    <w:p w14:paraId="58555022">
      <w:pPr>
        <w:rPr>
          <w:rFonts w:ascii="Arial" w:hAnsi="Arial" w:eastAsia="Arial" w:cs="Arial"/>
          <w:sz w:val="21"/>
          <w:szCs w:val="21"/>
        </w:rPr>
      </w:pPr>
    </w:p>
    <w:p w14:paraId="02BFA5BC">
      <w:pPr>
        <w:rPr>
          <w:rFonts w:ascii="Arial" w:hAnsi="Arial" w:eastAsia="Arial" w:cs="Arial"/>
          <w:sz w:val="21"/>
          <w:szCs w:val="21"/>
        </w:rPr>
      </w:pPr>
    </w:p>
    <w:p w14:paraId="6E031A06">
      <w:pPr>
        <w:rPr>
          <w:rFonts w:ascii="Arial" w:hAnsi="Arial" w:eastAsia="Arial" w:cs="Arial"/>
          <w:sz w:val="21"/>
          <w:szCs w:val="21"/>
        </w:rPr>
      </w:pPr>
    </w:p>
    <w:p w14:paraId="2C22FCC0">
      <w:pPr>
        <w:rPr>
          <w:rFonts w:ascii="Arial" w:hAnsi="Arial" w:eastAsia="Arial" w:cs="Arial"/>
          <w:sz w:val="21"/>
          <w:szCs w:val="21"/>
        </w:rPr>
      </w:pPr>
    </w:p>
    <w:p w14:paraId="740C1CAC">
      <w:pPr>
        <w:rPr>
          <w:rFonts w:ascii="Arial" w:hAnsi="Arial" w:eastAsia="Arial" w:cs="Arial"/>
          <w:sz w:val="21"/>
          <w:szCs w:val="21"/>
        </w:rPr>
      </w:pPr>
    </w:p>
    <w:p w14:paraId="3F3D6BC1">
      <w:pPr>
        <w:rPr>
          <w:rFonts w:ascii="Arial" w:hAnsi="Arial" w:eastAsia="Arial" w:cs="Arial"/>
          <w:sz w:val="21"/>
          <w:szCs w:val="21"/>
        </w:rPr>
      </w:pPr>
      <w:r>
        <w:rPr>
          <w:rFonts w:ascii="Arial" w:hAnsi="Arial" w:eastAsia="Arial" w:cs="Arial"/>
          <w:sz w:val="21"/>
          <w:szCs w:val="21"/>
        </w:rPr>
        <w:object>
          <v:shape id="_x0000_i1030" o:spt="75" type="#_x0000_t75" style="height:544.4pt;width:712.45pt;" o:ole="t" filled="f" o:preferrelative="t" stroked="f" coordsize="21600,21600">
            <v:path/>
            <v:fill on="f" focussize="0,0"/>
            <v:stroke on="f"/>
            <v:imagedata r:id="rId25" o:title=""/>
            <o:lock v:ext="edit" aspectratio="f"/>
            <w10:wrap type="none"/>
            <w10:anchorlock/>
          </v:shape>
          <o:OLEObject Type="Embed" ProgID="Excel.Sheet.12" ShapeID="_x0000_i1030" DrawAspect="Content" ObjectID="_1468075730" r:id="rId24">
            <o:LockedField>false</o:LockedField>
          </o:OLEObject>
        </w:object>
      </w:r>
    </w:p>
    <w:p w14:paraId="43996334">
      <w:pPr>
        <w:spacing w:before="87" w:line="224" w:lineRule="auto"/>
        <w:outlineLvl w:val="1"/>
        <w:rPr>
          <w:rFonts w:ascii="宋体" w:hAnsi="宋体" w:eastAsia="宋体" w:cs="宋体"/>
          <w:b/>
          <w:bCs/>
          <w:spacing w:val="3"/>
          <w:sz w:val="43"/>
          <w:szCs w:val="43"/>
        </w:rPr>
      </w:pPr>
      <w:r>
        <w:rPr>
          <w:rFonts w:ascii="宋体" w:hAnsi="宋体" w:eastAsia="宋体" w:cs="宋体"/>
          <w:b/>
          <w:bCs/>
          <w:spacing w:val="3"/>
          <w:sz w:val="43"/>
          <w:szCs w:val="43"/>
        </w:rPr>
        <w:object>
          <v:shape id="_x0000_i1031" o:spt="75" type="#_x0000_t75" style="height:523.9pt;width:712.45pt;" o:ole="t" filled="f" o:preferrelative="t" stroked="f" coordsize="21600,21600">
            <v:path/>
            <v:fill on="f" focussize="0,0"/>
            <v:stroke on="f"/>
            <v:imagedata r:id="rId27" o:title=""/>
            <o:lock v:ext="edit" aspectratio="f"/>
            <w10:wrap type="none"/>
            <w10:anchorlock/>
          </v:shape>
          <o:OLEObject Type="Embed" ProgID="Excel.Sheet.12" ShapeID="_x0000_i1031" DrawAspect="Content" ObjectID="_1468075731" r:id="rId26">
            <o:LockedField>false</o:LockedField>
          </o:OLEObject>
        </w:object>
      </w:r>
    </w:p>
    <w:p w14:paraId="71B9611C">
      <w:pPr>
        <w:spacing w:before="87" w:line="224" w:lineRule="auto"/>
        <w:outlineLvl w:val="1"/>
        <w:rPr>
          <w:rFonts w:ascii="宋体" w:hAnsi="宋体" w:eastAsia="宋体" w:cs="宋体"/>
          <w:b/>
          <w:bCs/>
          <w:spacing w:val="3"/>
          <w:sz w:val="43"/>
          <w:szCs w:val="43"/>
        </w:rPr>
      </w:pPr>
      <w:r>
        <w:rPr>
          <w:rFonts w:ascii="宋体" w:hAnsi="宋体" w:eastAsia="宋体" w:cs="宋体"/>
          <w:b/>
          <w:bCs/>
          <w:spacing w:val="3"/>
          <w:sz w:val="43"/>
          <w:szCs w:val="43"/>
        </w:rPr>
        <w:object>
          <v:shape id="_x0000_i1032" o:spt="75" type="#_x0000_t75" style="height:533.15pt;width:712.45pt;" o:ole="t" filled="f" o:preferrelative="t" stroked="f" coordsize="21600,21600">
            <v:path/>
            <v:fill on="f" focussize="0,0"/>
            <v:stroke on="f"/>
            <v:imagedata r:id="rId29" o:title=""/>
            <o:lock v:ext="edit" aspectratio="f"/>
            <w10:wrap type="none"/>
            <w10:anchorlock/>
          </v:shape>
          <o:OLEObject Type="Embed" ProgID="Excel.Sheet.12" ShapeID="_x0000_i1032" DrawAspect="Content" ObjectID="_1468075732" r:id="rId28">
            <o:LockedField>false</o:LockedField>
          </o:OLEObject>
        </w:object>
      </w:r>
    </w:p>
    <w:p w14:paraId="74E2E289">
      <w:pPr>
        <w:spacing w:before="87" w:line="224" w:lineRule="auto"/>
        <w:outlineLvl w:val="1"/>
        <w:rPr>
          <w:rFonts w:ascii="宋体" w:hAnsi="宋体" w:eastAsia="宋体" w:cs="宋体"/>
          <w:b/>
          <w:bCs/>
          <w:spacing w:val="3"/>
          <w:sz w:val="43"/>
          <w:szCs w:val="43"/>
        </w:rPr>
      </w:pPr>
      <w:r>
        <w:rPr>
          <w:rFonts w:ascii="宋体" w:hAnsi="宋体" w:eastAsia="宋体" w:cs="宋体"/>
          <w:b/>
          <w:bCs/>
          <w:spacing w:val="3"/>
          <w:sz w:val="43"/>
          <w:szCs w:val="43"/>
        </w:rPr>
        <w:object>
          <v:shape id="_x0000_i1033" o:spt="75" type="#_x0000_t75" style="height:297pt;width:712.45pt;" o:ole="t" filled="f" o:preferrelative="t" stroked="f" coordsize="21600,21600">
            <v:path/>
            <v:fill on="f" focussize="0,0"/>
            <v:stroke on="f"/>
            <v:imagedata r:id="rId31" o:title=""/>
            <o:lock v:ext="edit" aspectratio="f"/>
            <w10:wrap type="none"/>
            <w10:anchorlock/>
          </v:shape>
          <o:OLEObject Type="Embed" ProgID="Excel.Sheet.12" ShapeID="_x0000_i1033" DrawAspect="Content" ObjectID="_1468075733" r:id="rId30">
            <o:LockedField>false</o:LockedField>
          </o:OLEObject>
        </w:object>
      </w:r>
    </w:p>
    <w:p w14:paraId="25C413B5">
      <w:pPr>
        <w:spacing w:before="87" w:line="224" w:lineRule="auto"/>
        <w:outlineLvl w:val="1"/>
        <w:rPr>
          <w:rFonts w:ascii="宋体" w:hAnsi="宋体" w:eastAsia="宋体" w:cs="宋体"/>
          <w:b/>
          <w:bCs/>
          <w:spacing w:val="3"/>
          <w:sz w:val="43"/>
          <w:szCs w:val="43"/>
        </w:rPr>
      </w:pPr>
    </w:p>
    <w:p w14:paraId="5051CF0B">
      <w:pPr>
        <w:spacing w:before="87" w:line="225" w:lineRule="auto"/>
        <w:outlineLvl w:val="1"/>
        <w:rPr>
          <w:rFonts w:ascii="宋体" w:hAnsi="宋体" w:eastAsia="宋体" w:cs="宋体"/>
          <w:b/>
          <w:bCs/>
          <w:spacing w:val="4"/>
          <w:sz w:val="43"/>
          <w:szCs w:val="43"/>
        </w:rPr>
      </w:pPr>
    </w:p>
    <w:p w14:paraId="5916291C">
      <w:pPr>
        <w:spacing w:before="87" w:line="225" w:lineRule="auto"/>
        <w:outlineLvl w:val="1"/>
        <w:rPr>
          <w:rFonts w:ascii="宋体" w:hAnsi="宋体" w:eastAsia="宋体" w:cs="宋体"/>
          <w:b/>
          <w:bCs/>
          <w:spacing w:val="4"/>
          <w:sz w:val="43"/>
          <w:szCs w:val="43"/>
        </w:rPr>
      </w:pPr>
    </w:p>
    <w:p w14:paraId="6E8BF2AF">
      <w:pPr>
        <w:spacing w:before="87" w:line="225" w:lineRule="auto"/>
        <w:outlineLvl w:val="1"/>
        <w:rPr>
          <w:rFonts w:ascii="宋体" w:hAnsi="宋体" w:eastAsia="宋体" w:cs="宋体"/>
          <w:b/>
          <w:bCs/>
          <w:spacing w:val="4"/>
          <w:sz w:val="43"/>
          <w:szCs w:val="43"/>
        </w:rPr>
      </w:pPr>
    </w:p>
    <w:p w14:paraId="062DB128">
      <w:pPr>
        <w:spacing w:before="87" w:line="225" w:lineRule="auto"/>
        <w:outlineLvl w:val="1"/>
        <w:rPr>
          <w:rFonts w:ascii="宋体" w:hAnsi="宋体" w:eastAsia="宋体" w:cs="宋体"/>
          <w:b/>
          <w:bCs/>
          <w:spacing w:val="4"/>
          <w:sz w:val="43"/>
          <w:szCs w:val="43"/>
        </w:rPr>
      </w:pPr>
    </w:p>
    <w:p w14:paraId="1F98513F">
      <w:pPr>
        <w:spacing w:before="87" w:line="225" w:lineRule="auto"/>
        <w:outlineLvl w:val="1"/>
        <w:rPr>
          <w:rFonts w:ascii="宋体" w:hAnsi="宋体" w:eastAsia="宋体" w:cs="宋体"/>
          <w:b/>
          <w:bCs/>
          <w:spacing w:val="4"/>
          <w:sz w:val="43"/>
          <w:szCs w:val="43"/>
        </w:rPr>
      </w:pPr>
    </w:p>
    <w:p w14:paraId="3B2A0A52">
      <w:pPr>
        <w:spacing w:before="87" w:line="225" w:lineRule="auto"/>
        <w:outlineLvl w:val="1"/>
        <w:rPr>
          <w:rFonts w:ascii="宋体" w:hAnsi="宋体" w:eastAsia="宋体" w:cs="宋体"/>
          <w:b/>
          <w:bCs/>
          <w:spacing w:val="4"/>
          <w:sz w:val="43"/>
          <w:szCs w:val="43"/>
        </w:rPr>
      </w:pPr>
    </w:p>
    <w:p w14:paraId="464CF62E">
      <w:pPr>
        <w:spacing w:before="87" w:line="225" w:lineRule="auto"/>
        <w:ind w:left="5607"/>
        <w:outlineLvl w:val="1"/>
        <w:rPr>
          <w:rFonts w:ascii="宋体" w:hAnsi="宋体" w:eastAsia="宋体" w:cs="宋体"/>
          <w:sz w:val="43"/>
          <w:szCs w:val="43"/>
        </w:rPr>
      </w:pPr>
      <w:r>
        <w:rPr>
          <w:rFonts w:ascii="宋体" w:hAnsi="宋体" w:eastAsia="宋体" w:cs="宋体"/>
          <w:b/>
          <w:bCs/>
          <w:spacing w:val="4"/>
          <w:sz w:val="43"/>
          <w:szCs w:val="43"/>
        </w:rPr>
        <w:t>债务支出预算表</w:t>
      </w:r>
    </w:p>
    <w:p w14:paraId="4F906553">
      <w:pPr>
        <w:spacing w:line="323" w:lineRule="auto"/>
        <w:rPr>
          <w:rFonts w:ascii="Arial"/>
          <w:sz w:val="21"/>
        </w:rPr>
      </w:pPr>
    </w:p>
    <w:p w14:paraId="20818A29">
      <w:pPr>
        <w:spacing w:before="61" w:line="231" w:lineRule="auto"/>
        <w:ind w:left="56"/>
        <w:rPr>
          <w:rFonts w:ascii="宋体" w:hAnsi="宋体" w:eastAsia="宋体" w:cs="宋体"/>
          <w:sz w:val="19"/>
          <w:szCs w:val="19"/>
        </w:rPr>
      </w:pPr>
      <w:r>
        <w:rPr>
          <w:rFonts w:ascii="宋体" w:hAnsi="宋体" w:eastAsia="宋体" w:cs="宋体"/>
          <w:spacing w:val="4"/>
          <w:sz w:val="19"/>
          <w:szCs w:val="19"/>
        </w:rPr>
        <w:t>表13</w:t>
      </w:r>
    </w:p>
    <w:p w14:paraId="5A5F6339">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盘锦市双台子区人社局</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3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1815"/>
        <w:gridCol w:w="1273"/>
        <w:gridCol w:w="1243"/>
        <w:gridCol w:w="1133"/>
        <w:gridCol w:w="862"/>
        <w:gridCol w:w="682"/>
        <w:gridCol w:w="682"/>
        <w:gridCol w:w="682"/>
        <w:gridCol w:w="852"/>
        <w:gridCol w:w="852"/>
        <w:gridCol w:w="862"/>
        <w:gridCol w:w="622"/>
        <w:gridCol w:w="622"/>
        <w:gridCol w:w="632"/>
      </w:tblGrid>
      <w:tr w14:paraId="1CED3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4A2C6EA4">
            <w:pPr>
              <w:pStyle w:val="6"/>
              <w:spacing w:line="296" w:lineRule="auto"/>
            </w:pPr>
          </w:p>
          <w:p w14:paraId="32AADCA6">
            <w:pPr>
              <w:pStyle w:val="6"/>
              <w:spacing w:line="296" w:lineRule="auto"/>
            </w:pPr>
          </w:p>
          <w:p w14:paraId="21514E91">
            <w:pPr>
              <w:spacing w:before="62" w:line="231" w:lineRule="auto"/>
              <w:ind w:left="320"/>
              <w:rPr>
                <w:rFonts w:ascii="宋体" w:hAnsi="宋体" w:eastAsia="宋体" w:cs="宋体"/>
                <w:sz w:val="19"/>
                <w:szCs w:val="19"/>
              </w:rPr>
            </w:pPr>
            <w:r>
              <w:rPr>
                <w:rFonts w:ascii="宋体" w:hAnsi="宋体" w:eastAsia="宋体" w:cs="宋体"/>
                <w:spacing w:val="7"/>
                <w:sz w:val="19"/>
                <w:szCs w:val="19"/>
              </w:rPr>
              <w:t>单位名称</w:t>
            </w:r>
          </w:p>
        </w:tc>
        <w:tc>
          <w:tcPr>
            <w:tcW w:w="1815" w:type="dxa"/>
            <w:vMerge w:val="restart"/>
            <w:tcBorders>
              <w:bottom w:val="nil"/>
            </w:tcBorders>
            <w:vAlign w:val="top"/>
          </w:tcPr>
          <w:p w14:paraId="24AFFCC0">
            <w:pPr>
              <w:pStyle w:val="6"/>
              <w:spacing w:line="296" w:lineRule="auto"/>
            </w:pPr>
          </w:p>
          <w:p w14:paraId="51CC63E9">
            <w:pPr>
              <w:pStyle w:val="6"/>
              <w:spacing w:line="296" w:lineRule="auto"/>
            </w:pPr>
          </w:p>
          <w:p w14:paraId="65DB28A3">
            <w:pPr>
              <w:spacing w:before="62" w:line="231" w:lineRule="auto"/>
              <w:ind w:left="515"/>
              <w:rPr>
                <w:rFonts w:ascii="宋体" w:hAnsi="宋体" w:eastAsia="宋体" w:cs="宋体"/>
                <w:sz w:val="19"/>
                <w:szCs w:val="19"/>
              </w:rPr>
            </w:pPr>
            <w:r>
              <w:rPr>
                <w:rFonts w:ascii="宋体" w:hAnsi="宋体" w:eastAsia="宋体" w:cs="宋体"/>
                <w:spacing w:val="7"/>
                <w:sz w:val="19"/>
                <w:szCs w:val="19"/>
              </w:rPr>
              <w:t>项目名称</w:t>
            </w:r>
          </w:p>
        </w:tc>
        <w:tc>
          <w:tcPr>
            <w:tcW w:w="1273" w:type="dxa"/>
            <w:vMerge w:val="restart"/>
            <w:tcBorders>
              <w:bottom w:val="nil"/>
            </w:tcBorders>
            <w:vAlign w:val="top"/>
          </w:tcPr>
          <w:p w14:paraId="766EE395">
            <w:pPr>
              <w:pStyle w:val="6"/>
              <w:spacing w:line="296" w:lineRule="auto"/>
            </w:pPr>
          </w:p>
          <w:p w14:paraId="131AFF8C">
            <w:pPr>
              <w:pStyle w:val="6"/>
              <w:spacing w:line="297" w:lineRule="auto"/>
            </w:pPr>
          </w:p>
          <w:p w14:paraId="52B477D2">
            <w:pPr>
              <w:spacing w:before="61" w:line="231" w:lineRule="auto"/>
              <w:ind w:left="444"/>
              <w:rPr>
                <w:rFonts w:ascii="宋体" w:hAnsi="宋体" w:eastAsia="宋体" w:cs="宋体"/>
                <w:sz w:val="19"/>
                <w:szCs w:val="19"/>
              </w:rPr>
            </w:pPr>
            <w:r>
              <w:rPr>
                <w:rFonts w:ascii="宋体" w:hAnsi="宋体" w:eastAsia="宋体" w:cs="宋体"/>
                <w:spacing w:val="4"/>
                <w:sz w:val="19"/>
                <w:szCs w:val="19"/>
              </w:rPr>
              <w:t>总计</w:t>
            </w:r>
          </w:p>
        </w:tc>
        <w:tc>
          <w:tcPr>
            <w:tcW w:w="5284" w:type="dxa"/>
            <w:gridSpan w:val="6"/>
            <w:vAlign w:val="top"/>
          </w:tcPr>
          <w:p w14:paraId="15247FE9">
            <w:pPr>
              <w:spacing w:before="159" w:line="229" w:lineRule="auto"/>
              <w:ind w:left="2251"/>
              <w:rPr>
                <w:rFonts w:ascii="宋体" w:hAnsi="宋体" w:eastAsia="宋体" w:cs="宋体"/>
                <w:sz w:val="19"/>
                <w:szCs w:val="19"/>
              </w:rPr>
            </w:pPr>
            <w:r>
              <w:rPr>
                <w:rFonts w:ascii="宋体" w:hAnsi="宋体" w:eastAsia="宋体" w:cs="宋体"/>
                <w:spacing w:val="7"/>
                <w:sz w:val="19"/>
                <w:szCs w:val="19"/>
              </w:rPr>
              <w:t>本年收入</w:t>
            </w:r>
          </w:p>
        </w:tc>
        <w:tc>
          <w:tcPr>
            <w:tcW w:w="4442" w:type="dxa"/>
            <w:gridSpan w:val="6"/>
            <w:vAlign w:val="top"/>
          </w:tcPr>
          <w:p w14:paraId="762A31AE">
            <w:pPr>
              <w:spacing w:before="158" w:line="230" w:lineRule="auto"/>
              <w:ind w:left="1632"/>
              <w:rPr>
                <w:rFonts w:ascii="宋体" w:hAnsi="宋体" w:eastAsia="宋体" w:cs="宋体"/>
                <w:sz w:val="19"/>
                <w:szCs w:val="19"/>
              </w:rPr>
            </w:pPr>
            <w:r>
              <w:rPr>
                <w:rFonts w:ascii="宋体" w:hAnsi="宋体" w:eastAsia="宋体" w:cs="宋体"/>
                <w:spacing w:val="8"/>
                <w:sz w:val="19"/>
                <w:szCs w:val="19"/>
              </w:rPr>
              <w:t>上年结转结余</w:t>
            </w:r>
          </w:p>
        </w:tc>
      </w:tr>
      <w:tr w14:paraId="60EED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2" w:hRule="atLeast"/>
        </w:trPr>
        <w:tc>
          <w:tcPr>
            <w:tcW w:w="1423" w:type="dxa"/>
            <w:vMerge w:val="continue"/>
            <w:tcBorders>
              <w:top w:val="nil"/>
            </w:tcBorders>
            <w:vAlign w:val="top"/>
          </w:tcPr>
          <w:p w14:paraId="73A37E92">
            <w:pPr>
              <w:pStyle w:val="6"/>
            </w:pPr>
          </w:p>
        </w:tc>
        <w:tc>
          <w:tcPr>
            <w:tcW w:w="1815" w:type="dxa"/>
            <w:vMerge w:val="continue"/>
            <w:tcBorders>
              <w:top w:val="nil"/>
            </w:tcBorders>
            <w:vAlign w:val="top"/>
          </w:tcPr>
          <w:p w14:paraId="5437810F">
            <w:pPr>
              <w:pStyle w:val="6"/>
            </w:pPr>
          </w:p>
        </w:tc>
        <w:tc>
          <w:tcPr>
            <w:tcW w:w="1273" w:type="dxa"/>
            <w:vMerge w:val="continue"/>
            <w:tcBorders>
              <w:top w:val="nil"/>
            </w:tcBorders>
            <w:vAlign w:val="top"/>
          </w:tcPr>
          <w:p w14:paraId="4A73FE2E">
            <w:pPr>
              <w:pStyle w:val="6"/>
            </w:pPr>
          </w:p>
        </w:tc>
        <w:tc>
          <w:tcPr>
            <w:tcW w:w="1243" w:type="dxa"/>
            <w:vAlign w:val="top"/>
          </w:tcPr>
          <w:p w14:paraId="313A0A10">
            <w:pPr>
              <w:pStyle w:val="6"/>
              <w:spacing w:line="337" w:lineRule="auto"/>
            </w:pPr>
          </w:p>
          <w:p w14:paraId="78042968">
            <w:pPr>
              <w:spacing w:before="62" w:line="231" w:lineRule="auto"/>
              <w:ind w:left="428"/>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5D4F8015">
            <w:pPr>
              <w:spacing w:before="277" w:line="235" w:lineRule="auto"/>
              <w:ind w:left="375" w:right="151"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4"/>
                <w:sz w:val="19"/>
                <w:szCs w:val="19"/>
              </w:rPr>
              <w:t>预算</w:t>
            </w:r>
          </w:p>
        </w:tc>
        <w:tc>
          <w:tcPr>
            <w:tcW w:w="862" w:type="dxa"/>
            <w:vAlign w:val="top"/>
          </w:tcPr>
          <w:p w14:paraId="484D66A9">
            <w:pPr>
              <w:spacing w:before="277" w:line="235" w:lineRule="auto"/>
              <w:ind w:left="140" w:right="14" w:hanging="101"/>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82" w:type="dxa"/>
            <w:vAlign w:val="top"/>
          </w:tcPr>
          <w:p w14:paraId="0318487E">
            <w:pPr>
              <w:spacing w:before="153" w:line="231" w:lineRule="auto"/>
              <w:ind w:left="70"/>
              <w:rPr>
                <w:rFonts w:ascii="宋体" w:hAnsi="宋体" w:eastAsia="宋体" w:cs="宋体"/>
                <w:sz w:val="19"/>
                <w:szCs w:val="19"/>
              </w:rPr>
            </w:pPr>
            <w:r>
              <w:rPr>
                <w:rFonts w:ascii="宋体" w:hAnsi="宋体" w:eastAsia="宋体" w:cs="宋体"/>
                <w:sz w:val="19"/>
                <w:szCs w:val="19"/>
              </w:rPr>
              <w:t>国有资</w:t>
            </w:r>
          </w:p>
          <w:p w14:paraId="3340A9A7">
            <w:pPr>
              <w:spacing w:before="10" w:line="229" w:lineRule="auto"/>
              <w:ind w:left="51"/>
              <w:rPr>
                <w:rFonts w:ascii="宋体" w:hAnsi="宋体" w:eastAsia="宋体" w:cs="宋体"/>
                <w:sz w:val="19"/>
                <w:szCs w:val="19"/>
              </w:rPr>
            </w:pPr>
            <w:r>
              <w:rPr>
                <w:rFonts w:ascii="宋体" w:hAnsi="宋体" w:eastAsia="宋体" w:cs="宋体"/>
                <w:spacing w:val="6"/>
                <w:sz w:val="19"/>
                <w:szCs w:val="19"/>
              </w:rPr>
              <w:t>本经营</w:t>
            </w:r>
          </w:p>
          <w:p w14:paraId="3CD3356F">
            <w:pPr>
              <w:spacing w:before="11" w:line="230" w:lineRule="auto"/>
              <w:ind w:left="152"/>
              <w:rPr>
                <w:rFonts w:ascii="宋体" w:hAnsi="宋体" w:eastAsia="宋体" w:cs="宋体"/>
                <w:sz w:val="19"/>
                <w:szCs w:val="19"/>
              </w:rPr>
            </w:pPr>
            <w:r>
              <w:rPr>
                <w:rFonts w:ascii="宋体" w:hAnsi="宋体" w:eastAsia="宋体" w:cs="宋体"/>
                <w:spacing w:val="5"/>
                <w:sz w:val="19"/>
                <w:szCs w:val="19"/>
              </w:rPr>
              <w:t>预算</w:t>
            </w:r>
          </w:p>
        </w:tc>
        <w:tc>
          <w:tcPr>
            <w:tcW w:w="682" w:type="dxa"/>
            <w:vAlign w:val="top"/>
          </w:tcPr>
          <w:p w14:paraId="3B3A1C57">
            <w:pPr>
              <w:spacing w:before="153"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3C0242DF">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461607A3">
            <w:pPr>
              <w:spacing w:before="10" w:line="231" w:lineRule="auto"/>
              <w:ind w:left="161"/>
              <w:rPr>
                <w:rFonts w:ascii="宋体" w:hAnsi="宋体" w:eastAsia="宋体" w:cs="宋体"/>
                <w:sz w:val="19"/>
                <w:szCs w:val="19"/>
              </w:rPr>
            </w:pPr>
            <w:r>
              <w:rPr>
                <w:rFonts w:ascii="宋体" w:hAnsi="宋体" w:eastAsia="宋体" w:cs="宋体"/>
                <w:spacing w:val="1"/>
                <w:sz w:val="19"/>
                <w:szCs w:val="19"/>
              </w:rPr>
              <w:t>资金</w:t>
            </w:r>
          </w:p>
        </w:tc>
        <w:tc>
          <w:tcPr>
            <w:tcW w:w="682" w:type="dxa"/>
            <w:vAlign w:val="top"/>
          </w:tcPr>
          <w:p w14:paraId="7DD63309">
            <w:pPr>
              <w:spacing w:before="277" w:line="238" w:lineRule="auto"/>
              <w:ind w:left="254" w:right="22" w:hanging="200"/>
              <w:rPr>
                <w:rFonts w:ascii="宋体" w:hAnsi="宋体" w:eastAsia="宋体" w:cs="宋体"/>
                <w:sz w:val="19"/>
                <w:szCs w:val="19"/>
              </w:rPr>
            </w:pPr>
            <w:r>
              <w:rPr>
                <w:rFonts w:ascii="宋体" w:hAnsi="宋体" w:eastAsia="宋体" w:cs="宋体"/>
                <w:spacing w:val="6"/>
                <w:sz w:val="19"/>
                <w:szCs w:val="19"/>
              </w:rPr>
              <w:t>单位资</w:t>
            </w:r>
            <w:r>
              <w:rPr>
                <w:rFonts w:ascii="宋体" w:hAnsi="宋体" w:eastAsia="宋体" w:cs="宋体"/>
                <w:sz w:val="19"/>
                <w:szCs w:val="19"/>
              </w:rPr>
              <w:t>金</w:t>
            </w:r>
          </w:p>
        </w:tc>
        <w:tc>
          <w:tcPr>
            <w:tcW w:w="852" w:type="dxa"/>
            <w:vAlign w:val="top"/>
          </w:tcPr>
          <w:p w14:paraId="407FD032">
            <w:pPr>
              <w:pStyle w:val="6"/>
              <w:spacing w:line="337" w:lineRule="auto"/>
            </w:pPr>
          </w:p>
          <w:p w14:paraId="07DA1E9E">
            <w:pPr>
              <w:spacing w:before="62" w:line="231" w:lineRule="auto"/>
              <w:ind w:left="240"/>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54B9A5B8">
            <w:pPr>
              <w:spacing w:before="153" w:line="235" w:lineRule="auto"/>
              <w:ind w:left="338" w:right="105" w:hanging="196"/>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4547CD7B">
            <w:pPr>
              <w:spacing w:before="10" w:line="230" w:lineRule="auto"/>
              <w:ind w:left="242"/>
              <w:rPr>
                <w:rFonts w:ascii="宋体" w:hAnsi="宋体" w:eastAsia="宋体" w:cs="宋体"/>
                <w:sz w:val="19"/>
                <w:szCs w:val="19"/>
              </w:rPr>
            </w:pPr>
            <w:r>
              <w:rPr>
                <w:rFonts w:ascii="宋体" w:hAnsi="宋体" w:eastAsia="宋体" w:cs="宋体"/>
                <w:spacing w:val="5"/>
                <w:sz w:val="19"/>
                <w:szCs w:val="19"/>
              </w:rPr>
              <w:t>预算</w:t>
            </w:r>
          </w:p>
        </w:tc>
        <w:tc>
          <w:tcPr>
            <w:tcW w:w="862" w:type="dxa"/>
            <w:vAlign w:val="top"/>
          </w:tcPr>
          <w:p w14:paraId="653ECCE6">
            <w:pPr>
              <w:spacing w:before="277" w:line="235" w:lineRule="auto"/>
              <w:ind w:left="146" w:right="8" w:hanging="101"/>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22" w:type="dxa"/>
            <w:vAlign w:val="top"/>
          </w:tcPr>
          <w:p w14:paraId="653B4D01">
            <w:pPr>
              <w:spacing w:before="29" w:line="229" w:lineRule="auto"/>
              <w:ind w:left="128" w:right="88" w:firstLine="18"/>
              <w:jc w:val="both"/>
              <w:rPr>
                <w:rFonts w:ascii="宋体" w:hAnsi="宋体" w:eastAsia="宋体" w:cs="宋体"/>
                <w:sz w:val="19"/>
                <w:szCs w:val="19"/>
              </w:rPr>
            </w:pPr>
            <w:r>
              <w:rPr>
                <w:rFonts w:ascii="宋体" w:hAnsi="宋体" w:eastAsia="宋体" w:cs="宋体"/>
                <w:spacing w:val="-5"/>
                <w:sz w:val="19"/>
                <w:szCs w:val="19"/>
              </w:rPr>
              <w:t>国有</w:t>
            </w:r>
            <w:r>
              <w:rPr>
                <w:rFonts w:ascii="宋体" w:hAnsi="宋体" w:eastAsia="宋体" w:cs="宋体"/>
                <w:spacing w:val="4"/>
                <w:sz w:val="19"/>
                <w:szCs w:val="19"/>
              </w:rPr>
              <w:t>资本经营预算</w:t>
            </w:r>
          </w:p>
        </w:tc>
        <w:tc>
          <w:tcPr>
            <w:tcW w:w="622" w:type="dxa"/>
            <w:vAlign w:val="top"/>
          </w:tcPr>
          <w:p w14:paraId="005B5671">
            <w:pPr>
              <w:spacing w:before="29" w:line="229" w:lineRule="auto"/>
              <w:ind w:left="128" w:right="87"/>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335057B1">
            <w:pPr>
              <w:spacing w:before="276" w:line="236" w:lineRule="auto"/>
              <w:ind w:left="136" w:right="96" w:hanging="7"/>
              <w:rPr>
                <w:rFonts w:ascii="宋体" w:hAnsi="宋体" w:eastAsia="宋体" w:cs="宋体"/>
                <w:sz w:val="19"/>
                <w:szCs w:val="19"/>
              </w:rPr>
            </w:pPr>
            <w:r>
              <w:rPr>
                <w:rFonts w:ascii="宋体" w:hAnsi="宋体" w:eastAsia="宋体" w:cs="宋体"/>
                <w:spacing w:val="5"/>
                <w:sz w:val="19"/>
                <w:szCs w:val="19"/>
              </w:rPr>
              <w:t>单位</w:t>
            </w:r>
            <w:r>
              <w:rPr>
                <w:rFonts w:ascii="宋体" w:hAnsi="宋体" w:eastAsia="宋体" w:cs="宋体"/>
                <w:spacing w:val="1"/>
                <w:sz w:val="19"/>
                <w:szCs w:val="19"/>
              </w:rPr>
              <w:t>资金</w:t>
            </w:r>
          </w:p>
        </w:tc>
      </w:tr>
      <w:tr w14:paraId="50594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23" w:type="dxa"/>
            <w:vAlign w:val="top"/>
          </w:tcPr>
          <w:p w14:paraId="35B0C221">
            <w:pPr>
              <w:spacing w:before="155" w:line="231" w:lineRule="auto"/>
              <w:ind w:left="520"/>
              <w:rPr>
                <w:rFonts w:ascii="宋体" w:hAnsi="宋体" w:eastAsia="宋体" w:cs="宋体"/>
                <w:sz w:val="19"/>
                <w:szCs w:val="19"/>
              </w:rPr>
            </w:pPr>
            <w:r>
              <w:rPr>
                <w:rFonts w:ascii="宋体" w:hAnsi="宋体" w:eastAsia="宋体" w:cs="宋体"/>
                <w:spacing w:val="5"/>
                <w:sz w:val="19"/>
                <w:szCs w:val="19"/>
              </w:rPr>
              <w:t>合计</w:t>
            </w:r>
          </w:p>
        </w:tc>
        <w:tc>
          <w:tcPr>
            <w:tcW w:w="1815" w:type="dxa"/>
            <w:vAlign w:val="top"/>
          </w:tcPr>
          <w:p w14:paraId="56DEE3FE">
            <w:pPr>
              <w:pStyle w:val="6"/>
            </w:pPr>
          </w:p>
        </w:tc>
        <w:tc>
          <w:tcPr>
            <w:tcW w:w="1273" w:type="dxa"/>
            <w:vAlign w:val="top"/>
          </w:tcPr>
          <w:p w14:paraId="5E1FCFE8">
            <w:pPr>
              <w:pStyle w:val="6"/>
            </w:pPr>
          </w:p>
        </w:tc>
        <w:tc>
          <w:tcPr>
            <w:tcW w:w="1243" w:type="dxa"/>
            <w:vAlign w:val="top"/>
          </w:tcPr>
          <w:p w14:paraId="7D0C2AB2">
            <w:pPr>
              <w:pStyle w:val="6"/>
            </w:pPr>
          </w:p>
        </w:tc>
        <w:tc>
          <w:tcPr>
            <w:tcW w:w="1133" w:type="dxa"/>
            <w:vAlign w:val="top"/>
          </w:tcPr>
          <w:p w14:paraId="383C0827">
            <w:pPr>
              <w:pStyle w:val="6"/>
            </w:pPr>
          </w:p>
        </w:tc>
        <w:tc>
          <w:tcPr>
            <w:tcW w:w="862" w:type="dxa"/>
            <w:vAlign w:val="top"/>
          </w:tcPr>
          <w:p w14:paraId="02AA3305">
            <w:pPr>
              <w:pStyle w:val="6"/>
            </w:pPr>
          </w:p>
        </w:tc>
        <w:tc>
          <w:tcPr>
            <w:tcW w:w="682" w:type="dxa"/>
            <w:vAlign w:val="top"/>
          </w:tcPr>
          <w:p w14:paraId="7EB24470">
            <w:pPr>
              <w:pStyle w:val="6"/>
            </w:pPr>
          </w:p>
        </w:tc>
        <w:tc>
          <w:tcPr>
            <w:tcW w:w="682" w:type="dxa"/>
            <w:vAlign w:val="top"/>
          </w:tcPr>
          <w:p w14:paraId="30EB5829">
            <w:pPr>
              <w:pStyle w:val="6"/>
            </w:pPr>
          </w:p>
        </w:tc>
        <w:tc>
          <w:tcPr>
            <w:tcW w:w="682" w:type="dxa"/>
            <w:vAlign w:val="top"/>
          </w:tcPr>
          <w:p w14:paraId="05978B4F">
            <w:pPr>
              <w:pStyle w:val="6"/>
            </w:pPr>
          </w:p>
        </w:tc>
        <w:tc>
          <w:tcPr>
            <w:tcW w:w="852" w:type="dxa"/>
            <w:vAlign w:val="top"/>
          </w:tcPr>
          <w:p w14:paraId="19E242B7">
            <w:pPr>
              <w:pStyle w:val="6"/>
            </w:pPr>
          </w:p>
        </w:tc>
        <w:tc>
          <w:tcPr>
            <w:tcW w:w="852" w:type="dxa"/>
            <w:vAlign w:val="top"/>
          </w:tcPr>
          <w:p w14:paraId="01D71FF2">
            <w:pPr>
              <w:pStyle w:val="6"/>
            </w:pPr>
          </w:p>
        </w:tc>
        <w:tc>
          <w:tcPr>
            <w:tcW w:w="862" w:type="dxa"/>
            <w:vAlign w:val="top"/>
          </w:tcPr>
          <w:p w14:paraId="63919925">
            <w:pPr>
              <w:pStyle w:val="6"/>
            </w:pPr>
          </w:p>
        </w:tc>
        <w:tc>
          <w:tcPr>
            <w:tcW w:w="622" w:type="dxa"/>
            <w:vAlign w:val="top"/>
          </w:tcPr>
          <w:p w14:paraId="67091A2C">
            <w:pPr>
              <w:pStyle w:val="6"/>
            </w:pPr>
          </w:p>
        </w:tc>
        <w:tc>
          <w:tcPr>
            <w:tcW w:w="622" w:type="dxa"/>
            <w:vAlign w:val="top"/>
          </w:tcPr>
          <w:p w14:paraId="08CB264B">
            <w:pPr>
              <w:pStyle w:val="6"/>
            </w:pPr>
          </w:p>
        </w:tc>
        <w:tc>
          <w:tcPr>
            <w:tcW w:w="632" w:type="dxa"/>
            <w:vAlign w:val="top"/>
          </w:tcPr>
          <w:p w14:paraId="45AFA9B0">
            <w:pPr>
              <w:pStyle w:val="6"/>
            </w:pPr>
          </w:p>
        </w:tc>
      </w:tr>
      <w:tr w14:paraId="35E51C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57AAEB65">
            <w:pPr>
              <w:pStyle w:val="6"/>
            </w:pPr>
          </w:p>
        </w:tc>
        <w:tc>
          <w:tcPr>
            <w:tcW w:w="1815" w:type="dxa"/>
            <w:vAlign w:val="top"/>
          </w:tcPr>
          <w:p w14:paraId="5EAA18C4">
            <w:pPr>
              <w:pStyle w:val="6"/>
            </w:pPr>
          </w:p>
        </w:tc>
        <w:tc>
          <w:tcPr>
            <w:tcW w:w="1273" w:type="dxa"/>
            <w:vAlign w:val="top"/>
          </w:tcPr>
          <w:p w14:paraId="59D27AEC">
            <w:pPr>
              <w:pStyle w:val="6"/>
            </w:pPr>
          </w:p>
        </w:tc>
        <w:tc>
          <w:tcPr>
            <w:tcW w:w="1243" w:type="dxa"/>
            <w:vAlign w:val="top"/>
          </w:tcPr>
          <w:p w14:paraId="27DD02D9">
            <w:pPr>
              <w:pStyle w:val="6"/>
            </w:pPr>
          </w:p>
        </w:tc>
        <w:tc>
          <w:tcPr>
            <w:tcW w:w="1133" w:type="dxa"/>
            <w:vAlign w:val="top"/>
          </w:tcPr>
          <w:p w14:paraId="5B9EED02">
            <w:pPr>
              <w:pStyle w:val="6"/>
            </w:pPr>
          </w:p>
        </w:tc>
        <w:tc>
          <w:tcPr>
            <w:tcW w:w="862" w:type="dxa"/>
            <w:vAlign w:val="top"/>
          </w:tcPr>
          <w:p w14:paraId="4834318B">
            <w:pPr>
              <w:pStyle w:val="6"/>
            </w:pPr>
          </w:p>
        </w:tc>
        <w:tc>
          <w:tcPr>
            <w:tcW w:w="682" w:type="dxa"/>
            <w:vAlign w:val="top"/>
          </w:tcPr>
          <w:p w14:paraId="7F97F3A0">
            <w:pPr>
              <w:pStyle w:val="6"/>
            </w:pPr>
          </w:p>
        </w:tc>
        <w:tc>
          <w:tcPr>
            <w:tcW w:w="682" w:type="dxa"/>
            <w:vAlign w:val="top"/>
          </w:tcPr>
          <w:p w14:paraId="5BDAA716">
            <w:pPr>
              <w:pStyle w:val="6"/>
            </w:pPr>
          </w:p>
        </w:tc>
        <w:tc>
          <w:tcPr>
            <w:tcW w:w="682" w:type="dxa"/>
            <w:vAlign w:val="top"/>
          </w:tcPr>
          <w:p w14:paraId="2E58C3A1">
            <w:pPr>
              <w:pStyle w:val="6"/>
            </w:pPr>
          </w:p>
        </w:tc>
        <w:tc>
          <w:tcPr>
            <w:tcW w:w="852" w:type="dxa"/>
            <w:vAlign w:val="top"/>
          </w:tcPr>
          <w:p w14:paraId="2A0FBA8D">
            <w:pPr>
              <w:pStyle w:val="6"/>
            </w:pPr>
          </w:p>
        </w:tc>
        <w:tc>
          <w:tcPr>
            <w:tcW w:w="852" w:type="dxa"/>
            <w:vAlign w:val="top"/>
          </w:tcPr>
          <w:p w14:paraId="58E05572">
            <w:pPr>
              <w:pStyle w:val="6"/>
            </w:pPr>
          </w:p>
        </w:tc>
        <w:tc>
          <w:tcPr>
            <w:tcW w:w="862" w:type="dxa"/>
            <w:vAlign w:val="top"/>
          </w:tcPr>
          <w:p w14:paraId="0B052429">
            <w:pPr>
              <w:pStyle w:val="6"/>
            </w:pPr>
          </w:p>
        </w:tc>
        <w:tc>
          <w:tcPr>
            <w:tcW w:w="622" w:type="dxa"/>
            <w:vAlign w:val="top"/>
          </w:tcPr>
          <w:p w14:paraId="2A847C80">
            <w:pPr>
              <w:pStyle w:val="6"/>
            </w:pPr>
          </w:p>
        </w:tc>
        <w:tc>
          <w:tcPr>
            <w:tcW w:w="622" w:type="dxa"/>
            <w:vAlign w:val="top"/>
          </w:tcPr>
          <w:p w14:paraId="0F417611">
            <w:pPr>
              <w:pStyle w:val="6"/>
            </w:pPr>
          </w:p>
        </w:tc>
        <w:tc>
          <w:tcPr>
            <w:tcW w:w="632" w:type="dxa"/>
            <w:vAlign w:val="top"/>
          </w:tcPr>
          <w:p w14:paraId="4B0C2E88">
            <w:pPr>
              <w:pStyle w:val="6"/>
            </w:pPr>
          </w:p>
        </w:tc>
      </w:tr>
      <w:tr w14:paraId="478224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6EF920ED">
            <w:pPr>
              <w:pStyle w:val="6"/>
            </w:pPr>
          </w:p>
        </w:tc>
        <w:tc>
          <w:tcPr>
            <w:tcW w:w="1815" w:type="dxa"/>
            <w:vAlign w:val="top"/>
          </w:tcPr>
          <w:p w14:paraId="50E661D2">
            <w:pPr>
              <w:pStyle w:val="6"/>
            </w:pPr>
          </w:p>
        </w:tc>
        <w:tc>
          <w:tcPr>
            <w:tcW w:w="1273" w:type="dxa"/>
            <w:vAlign w:val="top"/>
          </w:tcPr>
          <w:p w14:paraId="00A25786">
            <w:pPr>
              <w:pStyle w:val="6"/>
            </w:pPr>
          </w:p>
        </w:tc>
        <w:tc>
          <w:tcPr>
            <w:tcW w:w="1243" w:type="dxa"/>
            <w:vAlign w:val="top"/>
          </w:tcPr>
          <w:p w14:paraId="0B1958ED">
            <w:pPr>
              <w:pStyle w:val="6"/>
            </w:pPr>
          </w:p>
        </w:tc>
        <w:tc>
          <w:tcPr>
            <w:tcW w:w="1133" w:type="dxa"/>
            <w:vAlign w:val="top"/>
          </w:tcPr>
          <w:p w14:paraId="64B5FBB2">
            <w:pPr>
              <w:pStyle w:val="6"/>
            </w:pPr>
          </w:p>
        </w:tc>
        <w:tc>
          <w:tcPr>
            <w:tcW w:w="862" w:type="dxa"/>
            <w:vAlign w:val="top"/>
          </w:tcPr>
          <w:p w14:paraId="2C0FB342">
            <w:pPr>
              <w:pStyle w:val="6"/>
            </w:pPr>
          </w:p>
        </w:tc>
        <w:tc>
          <w:tcPr>
            <w:tcW w:w="682" w:type="dxa"/>
            <w:vAlign w:val="top"/>
          </w:tcPr>
          <w:p w14:paraId="4C3A71C0">
            <w:pPr>
              <w:pStyle w:val="6"/>
            </w:pPr>
          </w:p>
        </w:tc>
        <w:tc>
          <w:tcPr>
            <w:tcW w:w="682" w:type="dxa"/>
            <w:vAlign w:val="top"/>
          </w:tcPr>
          <w:p w14:paraId="6DCD3767">
            <w:pPr>
              <w:pStyle w:val="6"/>
            </w:pPr>
          </w:p>
        </w:tc>
        <w:tc>
          <w:tcPr>
            <w:tcW w:w="682" w:type="dxa"/>
            <w:vAlign w:val="top"/>
          </w:tcPr>
          <w:p w14:paraId="3900D73D">
            <w:pPr>
              <w:pStyle w:val="6"/>
            </w:pPr>
          </w:p>
        </w:tc>
        <w:tc>
          <w:tcPr>
            <w:tcW w:w="852" w:type="dxa"/>
            <w:vAlign w:val="top"/>
          </w:tcPr>
          <w:p w14:paraId="4A96DEF1">
            <w:pPr>
              <w:pStyle w:val="6"/>
            </w:pPr>
          </w:p>
        </w:tc>
        <w:tc>
          <w:tcPr>
            <w:tcW w:w="852" w:type="dxa"/>
            <w:vAlign w:val="top"/>
          </w:tcPr>
          <w:p w14:paraId="1F8D656A">
            <w:pPr>
              <w:pStyle w:val="6"/>
            </w:pPr>
          </w:p>
        </w:tc>
        <w:tc>
          <w:tcPr>
            <w:tcW w:w="862" w:type="dxa"/>
            <w:vAlign w:val="top"/>
          </w:tcPr>
          <w:p w14:paraId="61A3E8A4">
            <w:pPr>
              <w:pStyle w:val="6"/>
            </w:pPr>
          </w:p>
        </w:tc>
        <w:tc>
          <w:tcPr>
            <w:tcW w:w="622" w:type="dxa"/>
            <w:vAlign w:val="top"/>
          </w:tcPr>
          <w:p w14:paraId="000ADBAB">
            <w:pPr>
              <w:pStyle w:val="6"/>
            </w:pPr>
          </w:p>
        </w:tc>
        <w:tc>
          <w:tcPr>
            <w:tcW w:w="622" w:type="dxa"/>
            <w:vAlign w:val="top"/>
          </w:tcPr>
          <w:p w14:paraId="1C5D5692">
            <w:pPr>
              <w:pStyle w:val="6"/>
            </w:pPr>
          </w:p>
        </w:tc>
        <w:tc>
          <w:tcPr>
            <w:tcW w:w="632" w:type="dxa"/>
            <w:vAlign w:val="top"/>
          </w:tcPr>
          <w:p w14:paraId="182CAF68">
            <w:pPr>
              <w:pStyle w:val="6"/>
            </w:pPr>
          </w:p>
        </w:tc>
      </w:tr>
      <w:tr w14:paraId="2D8BC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1BC3F625">
            <w:pPr>
              <w:pStyle w:val="6"/>
            </w:pPr>
          </w:p>
        </w:tc>
        <w:tc>
          <w:tcPr>
            <w:tcW w:w="1815" w:type="dxa"/>
            <w:vAlign w:val="top"/>
          </w:tcPr>
          <w:p w14:paraId="11FE49F9">
            <w:pPr>
              <w:pStyle w:val="6"/>
            </w:pPr>
          </w:p>
        </w:tc>
        <w:tc>
          <w:tcPr>
            <w:tcW w:w="1273" w:type="dxa"/>
            <w:vAlign w:val="top"/>
          </w:tcPr>
          <w:p w14:paraId="3CED063D">
            <w:pPr>
              <w:pStyle w:val="6"/>
            </w:pPr>
          </w:p>
        </w:tc>
        <w:tc>
          <w:tcPr>
            <w:tcW w:w="1243" w:type="dxa"/>
            <w:vAlign w:val="top"/>
          </w:tcPr>
          <w:p w14:paraId="17B831F8">
            <w:pPr>
              <w:pStyle w:val="6"/>
            </w:pPr>
          </w:p>
        </w:tc>
        <w:tc>
          <w:tcPr>
            <w:tcW w:w="1133" w:type="dxa"/>
            <w:vAlign w:val="top"/>
          </w:tcPr>
          <w:p w14:paraId="23DAE119">
            <w:pPr>
              <w:pStyle w:val="6"/>
            </w:pPr>
          </w:p>
        </w:tc>
        <w:tc>
          <w:tcPr>
            <w:tcW w:w="862" w:type="dxa"/>
            <w:vAlign w:val="top"/>
          </w:tcPr>
          <w:p w14:paraId="4C1E498C">
            <w:pPr>
              <w:pStyle w:val="6"/>
            </w:pPr>
          </w:p>
        </w:tc>
        <w:tc>
          <w:tcPr>
            <w:tcW w:w="682" w:type="dxa"/>
            <w:vAlign w:val="top"/>
          </w:tcPr>
          <w:p w14:paraId="45B71304">
            <w:pPr>
              <w:pStyle w:val="6"/>
            </w:pPr>
          </w:p>
        </w:tc>
        <w:tc>
          <w:tcPr>
            <w:tcW w:w="682" w:type="dxa"/>
            <w:vAlign w:val="top"/>
          </w:tcPr>
          <w:p w14:paraId="3B575EED">
            <w:pPr>
              <w:pStyle w:val="6"/>
            </w:pPr>
          </w:p>
        </w:tc>
        <w:tc>
          <w:tcPr>
            <w:tcW w:w="682" w:type="dxa"/>
            <w:vAlign w:val="top"/>
          </w:tcPr>
          <w:p w14:paraId="56278B0E">
            <w:pPr>
              <w:pStyle w:val="6"/>
            </w:pPr>
          </w:p>
        </w:tc>
        <w:tc>
          <w:tcPr>
            <w:tcW w:w="852" w:type="dxa"/>
            <w:vAlign w:val="top"/>
          </w:tcPr>
          <w:p w14:paraId="20AB18AB">
            <w:pPr>
              <w:pStyle w:val="6"/>
            </w:pPr>
          </w:p>
        </w:tc>
        <w:tc>
          <w:tcPr>
            <w:tcW w:w="852" w:type="dxa"/>
            <w:vAlign w:val="top"/>
          </w:tcPr>
          <w:p w14:paraId="688EB3EB">
            <w:pPr>
              <w:pStyle w:val="6"/>
            </w:pPr>
          </w:p>
        </w:tc>
        <w:tc>
          <w:tcPr>
            <w:tcW w:w="862" w:type="dxa"/>
            <w:vAlign w:val="top"/>
          </w:tcPr>
          <w:p w14:paraId="0DF6A8FD">
            <w:pPr>
              <w:pStyle w:val="6"/>
            </w:pPr>
          </w:p>
        </w:tc>
        <w:tc>
          <w:tcPr>
            <w:tcW w:w="622" w:type="dxa"/>
            <w:vAlign w:val="top"/>
          </w:tcPr>
          <w:p w14:paraId="400BFAEB">
            <w:pPr>
              <w:pStyle w:val="6"/>
            </w:pPr>
          </w:p>
        </w:tc>
        <w:tc>
          <w:tcPr>
            <w:tcW w:w="622" w:type="dxa"/>
            <w:vAlign w:val="top"/>
          </w:tcPr>
          <w:p w14:paraId="4881D541">
            <w:pPr>
              <w:pStyle w:val="6"/>
            </w:pPr>
          </w:p>
        </w:tc>
        <w:tc>
          <w:tcPr>
            <w:tcW w:w="632" w:type="dxa"/>
            <w:vAlign w:val="top"/>
          </w:tcPr>
          <w:p w14:paraId="4853F22E">
            <w:pPr>
              <w:pStyle w:val="6"/>
            </w:pPr>
          </w:p>
        </w:tc>
      </w:tr>
      <w:tr w14:paraId="43FAD9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027406D1">
            <w:pPr>
              <w:pStyle w:val="6"/>
            </w:pPr>
          </w:p>
        </w:tc>
        <w:tc>
          <w:tcPr>
            <w:tcW w:w="1815" w:type="dxa"/>
            <w:vAlign w:val="top"/>
          </w:tcPr>
          <w:p w14:paraId="7326DFC6">
            <w:pPr>
              <w:pStyle w:val="6"/>
            </w:pPr>
          </w:p>
        </w:tc>
        <w:tc>
          <w:tcPr>
            <w:tcW w:w="1273" w:type="dxa"/>
            <w:vAlign w:val="top"/>
          </w:tcPr>
          <w:p w14:paraId="240F4A7E">
            <w:pPr>
              <w:pStyle w:val="6"/>
            </w:pPr>
          </w:p>
        </w:tc>
        <w:tc>
          <w:tcPr>
            <w:tcW w:w="1243" w:type="dxa"/>
            <w:vAlign w:val="top"/>
          </w:tcPr>
          <w:p w14:paraId="793C4A6F">
            <w:pPr>
              <w:pStyle w:val="6"/>
            </w:pPr>
          </w:p>
        </w:tc>
        <w:tc>
          <w:tcPr>
            <w:tcW w:w="1133" w:type="dxa"/>
            <w:vAlign w:val="top"/>
          </w:tcPr>
          <w:p w14:paraId="0EEBA4A6">
            <w:pPr>
              <w:pStyle w:val="6"/>
            </w:pPr>
          </w:p>
        </w:tc>
        <w:tc>
          <w:tcPr>
            <w:tcW w:w="862" w:type="dxa"/>
            <w:vAlign w:val="top"/>
          </w:tcPr>
          <w:p w14:paraId="7DBBBE2B">
            <w:pPr>
              <w:pStyle w:val="6"/>
            </w:pPr>
          </w:p>
        </w:tc>
        <w:tc>
          <w:tcPr>
            <w:tcW w:w="682" w:type="dxa"/>
            <w:vAlign w:val="top"/>
          </w:tcPr>
          <w:p w14:paraId="346478AF">
            <w:pPr>
              <w:pStyle w:val="6"/>
            </w:pPr>
          </w:p>
        </w:tc>
        <w:tc>
          <w:tcPr>
            <w:tcW w:w="682" w:type="dxa"/>
            <w:vAlign w:val="top"/>
          </w:tcPr>
          <w:p w14:paraId="40503FA3">
            <w:pPr>
              <w:pStyle w:val="6"/>
            </w:pPr>
          </w:p>
        </w:tc>
        <w:tc>
          <w:tcPr>
            <w:tcW w:w="682" w:type="dxa"/>
            <w:vAlign w:val="top"/>
          </w:tcPr>
          <w:p w14:paraId="55F93287">
            <w:pPr>
              <w:pStyle w:val="6"/>
            </w:pPr>
          </w:p>
        </w:tc>
        <w:tc>
          <w:tcPr>
            <w:tcW w:w="852" w:type="dxa"/>
            <w:vAlign w:val="top"/>
          </w:tcPr>
          <w:p w14:paraId="4445E9ED">
            <w:pPr>
              <w:pStyle w:val="6"/>
            </w:pPr>
          </w:p>
        </w:tc>
        <w:tc>
          <w:tcPr>
            <w:tcW w:w="852" w:type="dxa"/>
            <w:vAlign w:val="top"/>
          </w:tcPr>
          <w:p w14:paraId="3966A783">
            <w:pPr>
              <w:pStyle w:val="6"/>
            </w:pPr>
          </w:p>
        </w:tc>
        <w:tc>
          <w:tcPr>
            <w:tcW w:w="862" w:type="dxa"/>
            <w:vAlign w:val="top"/>
          </w:tcPr>
          <w:p w14:paraId="3D7D92BC">
            <w:pPr>
              <w:pStyle w:val="6"/>
            </w:pPr>
          </w:p>
        </w:tc>
        <w:tc>
          <w:tcPr>
            <w:tcW w:w="622" w:type="dxa"/>
            <w:vAlign w:val="top"/>
          </w:tcPr>
          <w:p w14:paraId="714C035D">
            <w:pPr>
              <w:pStyle w:val="6"/>
            </w:pPr>
          </w:p>
        </w:tc>
        <w:tc>
          <w:tcPr>
            <w:tcW w:w="622" w:type="dxa"/>
            <w:vAlign w:val="top"/>
          </w:tcPr>
          <w:p w14:paraId="068FD02C">
            <w:pPr>
              <w:pStyle w:val="6"/>
            </w:pPr>
          </w:p>
        </w:tc>
        <w:tc>
          <w:tcPr>
            <w:tcW w:w="632" w:type="dxa"/>
            <w:vAlign w:val="top"/>
          </w:tcPr>
          <w:p w14:paraId="4F5B6557">
            <w:pPr>
              <w:pStyle w:val="6"/>
            </w:pPr>
          </w:p>
        </w:tc>
      </w:tr>
      <w:tr w14:paraId="0B9B1A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Align w:val="top"/>
          </w:tcPr>
          <w:p w14:paraId="093E499A">
            <w:pPr>
              <w:pStyle w:val="6"/>
            </w:pPr>
          </w:p>
        </w:tc>
        <w:tc>
          <w:tcPr>
            <w:tcW w:w="1815" w:type="dxa"/>
            <w:vAlign w:val="top"/>
          </w:tcPr>
          <w:p w14:paraId="136FBCDE">
            <w:pPr>
              <w:pStyle w:val="6"/>
            </w:pPr>
          </w:p>
        </w:tc>
        <w:tc>
          <w:tcPr>
            <w:tcW w:w="1273" w:type="dxa"/>
            <w:vAlign w:val="top"/>
          </w:tcPr>
          <w:p w14:paraId="5AEC0913">
            <w:pPr>
              <w:pStyle w:val="6"/>
            </w:pPr>
          </w:p>
        </w:tc>
        <w:tc>
          <w:tcPr>
            <w:tcW w:w="1243" w:type="dxa"/>
            <w:vAlign w:val="top"/>
          </w:tcPr>
          <w:p w14:paraId="7D391DC4">
            <w:pPr>
              <w:pStyle w:val="6"/>
            </w:pPr>
          </w:p>
        </w:tc>
        <w:tc>
          <w:tcPr>
            <w:tcW w:w="1133" w:type="dxa"/>
            <w:vAlign w:val="top"/>
          </w:tcPr>
          <w:p w14:paraId="434BCE6E">
            <w:pPr>
              <w:pStyle w:val="6"/>
            </w:pPr>
          </w:p>
        </w:tc>
        <w:tc>
          <w:tcPr>
            <w:tcW w:w="862" w:type="dxa"/>
            <w:vAlign w:val="top"/>
          </w:tcPr>
          <w:p w14:paraId="0FEEA9F5">
            <w:pPr>
              <w:pStyle w:val="6"/>
            </w:pPr>
          </w:p>
        </w:tc>
        <w:tc>
          <w:tcPr>
            <w:tcW w:w="682" w:type="dxa"/>
            <w:vAlign w:val="top"/>
          </w:tcPr>
          <w:p w14:paraId="470255FE">
            <w:pPr>
              <w:pStyle w:val="6"/>
            </w:pPr>
          </w:p>
        </w:tc>
        <w:tc>
          <w:tcPr>
            <w:tcW w:w="682" w:type="dxa"/>
            <w:vAlign w:val="top"/>
          </w:tcPr>
          <w:p w14:paraId="2B6D885C">
            <w:pPr>
              <w:pStyle w:val="6"/>
            </w:pPr>
          </w:p>
        </w:tc>
        <w:tc>
          <w:tcPr>
            <w:tcW w:w="682" w:type="dxa"/>
            <w:vAlign w:val="top"/>
          </w:tcPr>
          <w:p w14:paraId="6745857E">
            <w:pPr>
              <w:pStyle w:val="6"/>
            </w:pPr>
          </w:p>
        </w:tc>
        <w:tc>
          <w:tcPr>
            <w:tcW w:w="852" w:type="dxa"/>
            <w:vAlign w:val="top"/>
          </w:tcPr>
          <w:p w14:paraId="4D4289F0">
            <w:pPr>
              <w:pStyle w:val="6"/>
            </w:pPr>
          </w:p>
        </w:tc>
        <w:tc>
          <w:tcPr>
            <w:tcW w:w="852" w:type="dxa"/>
            <w:vAlign w:val="top"/>
          </w:tcPr>
          <w:p w14:paraId="3E2AB497">
            <w:pPr>
              <w:pStyle w:val="6"/>
            </w:pPr>
          </w:p>
        </w:tc>
        <w:tc>
          <w:tcPr>
            <w:tcW w:w="862" w:type="dxa"/>
            <w:vAlign w:val="top"/>
          </w:tcPr>
          <w:p w14:paraId="3BC28A0C">
            <w:pPr>
              <w:pStyle w:val="6"/>
            </w:pPr>
          </w:p>
        </w:tc>
        <w:tc>
          <w:tcPr>
            <w:tcW w:w="622" w:type="dxa"/>
            <w:vAlign w:val="top"/>
          </w:tcPr>
          <w:p w14:paraId="18533C00">
            <w:pPr>
              <w:pStyle w:val="6"/>
            </w:pPr>
          </w:p>
        </w:tc>
        <w:tc>
          <w:tcPr>
            <w:tcW w:w="622" w:type="dxa"/>
            <w:vAlign w:val="top"/>
          </w:tcPr>
          <w:p w14:paraId="5E51D680">
            <w:pPr>
              <w:pStyle w:val="6"/>
            </w:pPr>
          </w:p>
        </w:tc>
        <w:tc>
          <w:tcPr>
            <w:tcW w:w="632" w:type="dxa"/>
            <w:vAlign w:val="top"/>
          </w:tcPr>
          <w:p w14:paraId="0B2AE8F6">
            <w:pPr>
              <w:pStyle w:val="6"/>
            </w:pPr>
          </w:p>
        </w:tc>
      </w:tr>
    </w:tbl>
    <w:p w14:paraId="33082149">
      <w:pPr>
        <w:rPr>
          <w:rFonts w:ascii="Arial"/>
          <w:sz w:val="21"/>
        </w:rPr>
      </w:pPr>
    </w:p>
    <w:p w14:paraId="6448CDDA">
      <w:pPr>
        <w:rPr>
          <w:rFonts w:ascii="Arial" w:hAnsi="Arial" w:eastAsia="Arial" w:cs="Arial"/>
          <w:sz w:val="21"/>
          <w:szCs w:val="21"/>
        </w:rPr>
        <w:sectPr>
          <w:pgSz w:w="16840" w:h="11905"/>
          <w:pgMar w:top="911" w:right="1303" w:bottom="400" w:left="1283" w:header="0" w:footer="0" w:gutter="0"/>
          <w:cols w:space="720" w:num="1"/>
        </w:sectPr>
      </w:pPr>
    </w:p>
    <w:p w14:paraId="107BF0F7">
      <w:pPr>
        <w:spacing w:before="79" w:line="224" w:lineRule="auto"/>
        <w:ind w:left="5328"/>
        <w:outlineLvl w:val="3"/>
        <w:rPr>
          <w:rFonts w:ascii="宋体" w:hAnsi="宋体" w:eastAsia="宋体" w:cs="宋体"/>
          <w:sz w:val="39"/>
          <w:szCs w:val="39"/>
        </w:rPr>
      </w:pPr>
      <w:r>
        <w:rPr>
          <w:rFonts w:ascii="宋体" w:hAnsi="宋体" w:eastAsia="宋体" w:cs="宋体"/>
          <w:b/>
          <w:bCs/>
          <w:spacing w:val="5"/>
          <w:sz w:val="39"/>
          <w:szCs w:val="39"/>
        </w:rPr>
        <w:t>政府采购支出预算表</w:t>
      </w:r>
    </w:p>
    <w:p w14:paraId="4A14E84F">
      <w:pPr>
        <w:spacing w:line="354" w:lineRule="auto"/>
        <w:rPr>
          <w:rFonts w:ascii="Arial"/>
          <w:sz w:val="21"/>
        </w:rPr>
      </w:pPr>
    </w:p>
    <w:p w14:paraId="7F710C81">
      <w:pPr>
        <w:spacing w:before="62" w:line="231" w:lineRule="auto"/>
        <w:ind w:left="54"/>
        <w:rPr>
          <w:rFonts w:ascii="宋体" w:hAnsi="宋体" w:eastAsia="宋体" w:cs="宋体"/>
          <w:sz w:val="19"/>
          <w:szCs w:val="19"/>
        </w:rPr>
      </w:pPr>
      <w:r>
        <w:rPr>
          <w:rFonts w:ascii="宋体" w:hAnsi="宋体" w:eastAsia="宋体" w:cs="宋体"/>
          <w:spacing w:val="4"/>
          <w:sz w:val="19"/>
          <w:szCs w:val="19"/>
        </w:rPr>
        <w:t>表14</w:t>
      </w:r>
    </w:p>
    <w:p w14:paraId="76B45624">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盘锦市双台子区人社局</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0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1815"/>
        <w:gridCol w:w="1243"/>
        <w:gridCol w:w="1243"/>
        <w:gridCol w:w="1133"/>
        <w:gridCol w:w="862"/>
        <w:gridCol w:w="682"/>
        <w:gridCol w:w="682"/>
        <w:gridCol w:w="682"/>
        <w:gridCol w:w="852"/>
        <w:gridCol w:w="852"/>
        <w:gridCol w:w="862"/>
        <w:gridCol w:w="622"/>
        <w:gridCol w:w="622"/>
        <w:gridCol w:w="632"/>
      </w:tblGrid>
      <w:tr w14:paraId="3A442D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3" w:hRule="atLeast"/>
        </w:trPr>
        <w:tc>
          <w:tcPr>
            <w:tcW w:w="1423" w:type="dxa"/>
            <w:vMerge w:val="restart"/>
            <w:tcBorders>
              <w:bottom w:val="nil"/>
            </w:tcBorders>
            <w:vAlign w:val="top"/>
          </w:tcPr>
          <w:p w14:paraId="415BDC29">
            <w:pPr>
              <w:pStyle w:val="6"/>
              <w:spacing w:line="305" w:lineRule="auto"/>
            </w:pPr>
          </w:p>
          <w:p w14:paraId="01B878B7">
            <w:pPr>
              <w:pStyle w:val="6"/>
              <w:spacing w:line="305" w:lineRule="auto"/>
            </w:pPr>
          </w:p>
          <w:p w14:paraId="4E58BD48">
            <w:pPr>
              <w:spacing w:before="61" w:line="231" w:lineRule="auto"/>
              <w:ind w:left="319"/>
              <w:rPr>
                <w:rFonts w:ascii="宋体" w:hAnsi="宋体" w:eastAsia="宋体" w:cs="宋体"/>
                <w:sz w:val="19"/>
                <w:szCs w:val="19"/>
              </w:rPr>
            </w:pPr>
            <w:r>
              <w:rPr>
                <w:rFonts w:ascii="宋体" w:hAnsi="宋体" w:eastAsia="宋体" w:cs="宋体"/>
                <w:spacing w:val="7"/>
                <w:sz w:val="19"/>
                <w:szCs w:val="19"/>
              </w:rPr>
              <w:t>单位名称</w:t>
            </w:r>
          </w:p>
        </w:tc>
        <w:tc>
          <w:tcPr>
            <w:tcW w:w="1815" w:type="dxa"/>
            <w:vMerge w:val="restart"/>
            <w:tcBorders>
              <w:bottom w:val="nil"/>
            </w:tcBorders>
            <w:vAlign w:val="top"/>
          </w:tcPr>
          <w:p w14:paraId="5E85D735">
            <w:pPr>
              <w:pStyle w:val="6"/>
              <w:spacing w:line="305" w:lineRule="auto"/>
            </w:pPr>
          </w:p>
          <w:p w14:paraId="0DFE32F3">
            <w:pPr>
              <w:pStyle w:val="6"/>
              <w:spacing w:line="305" w:lineRule="auto"/>
            </w:pPr>
          </w:p>
          <w:p w14:paraId="5940E2E8">
            <w:pPr>
              <w:spacing w:before="61" w:line="231" w:lineRule="auto"/>
              <w:ind w:left="515"/>
              <w:rPr>
                <w:rFonts w:ascii="宋体" w:hAnsi="宋体" w:eastAsia="宋体" w:cs="宋体"/>
                <w:sz w:val="19"/>
                <w:szCs w:val="19"/>
              </w:rPr>
            </w:pPr>
            <w:r>
              <w:rPr>
                <w:rFonts w:ascii="宋体" w:hAnsi="宋体" w:eastAsia="宋体" w:cs="宋体"/>
                <w:spacing w:val="7"/>
                <w:sz w:val="19"/>
                <w:szCs w:val="19"/>
              </w:rPr>
              <w:t>项目名称</w:t>
            </w:r>
          </w:p>
        </w:tc>
        <w:tc>
          <w:tcPr>
            <w:tcW w:w="1243" w:type="dxa"/>
            <w:vMerge w:val="restart"/>
            <w:tcBorders>
              <w:bottom w:val="nil"/>
            </w:tcBorders>
            <w:vAlign w:val="top"/>
          </w:tcPr>
          <w:p w14:paraId="2FFA1CB4">
            <w:pPr>
              <w:pStyle w:val="6"/>
              <w:spacing w:line="305" w:lineRule="auto"/>
            </w:pPr>
          </w:p>
          <w:p w14:paraId="65AB33A9">
            <w:pPr>
              <w:pStyle w:val="6"/>
              <w:spacing w:line="305" w:lineRule="auto"/>
            </w:pPr>
          </w:p>
          <w:p w14:paraId="6AB6C394">
            <w:pPr>
              <w:spacing w:before="62" w:line="231" w:lineRule="auto"/>
              <w:ind w:left="429"/>
              <w:rPr>
                <w:rFonts w:ascii="宋体" w:hAnsi="宋体" w:eastAsia="宋体" w:cs="宋体"/>
                <w:sz w:val="19"/>
                <w:szCs w:val="19"/>
              </w:rPr>
            </w:pPr>
            <w:r>
              <w:rPr>
                <w:rFonts w:ascii="宋体" w:hAnsi="宋体" w:eastAsia="宋体" w:cs="宋体"/>
                <w:spacing w:val="4"/>
                <w:sz w:val="19"/>
                <w:szCs w:val="19"/>
              </w:rPr>
              <w:t>总计</w:t>
            </w:r>
          </w:p>
        </w:tc>
        <w:tc>
          <w:tcPr>
            <w:tcW w:w="5284" w:type="dxa"/>
            <w:gridSpan w:val="6"/>
            <w:vAlign w:val="top"/>
          </w:tcPr>
          <w:p w14:paraId="405BE360">
            <w:pPr>
              <w:spacing w:before="159" w:line="229" w:lineRule="auto"/>
              <w:ind w:left="2250"/>
              <w:rPr>
                <w:rFonts w:ascii="宋体" w:hAnsi="宋体" w:eastAsia="宋体" w:cs="宋体"/>
                <w:sz w:val="19"/>
                <w:szCs w:val="19"/>
              </w:rPr>
            </w:pPr>
            <w:r>
              <w:rPr>
                <w:rFonts w:ascii="宋体" w:hAnsi="宋体" w:eastAsia="宋体" w:cs="宋体"/>
                <w:spacing w:val="7"/>
                <w:sz w:val="19"/>
                <w:szCs w:val="19"/>
              </w:rPr>
              <w:t>本年收入</w:t>
            </w:r>
          </w:p>
        </w:tc>
        <w:tc>
          <w:tcPr>
            <w:tcW w:w="4442" w:type="dxa"/>
            <w:gridSpan w:val="6"/>
            <w:vAlign w:val="top"/>
          </w:tcPr>
          <w:p w14:paraId="2BF4740C">
            <w:pPr>
              <w:spacing w:before="158" w:line="230" w:lineRule="auto"/>
              <w:ind w:left="1631"/>
              <w:rPr>
                <w:rFonts w:ascii="宋体" w:hAnsi="宋体" w:eastAsia="宋体" w:cs="宋体"/>
                <w:sz w:val="19"/>
                <w:szCs w:val="19"/>
              </w:rPr>
            </w:pPr>
            <w:r>
              <w:rPr>
                <w:rFonts w:ascii="宋体" w:hAnsi="宋体" w:eastAsia="宋体" w:cs="宋体"/>
                <w:spacing w:val="8"/>
                <w:sz w:val="19"/>
                <w:szCs w:val="19"/>
              </w:rPr>
              <w:t>上年结转结余</w:t>
            </w:r>
          </w:p>
        </w:tc>
      </w:tr>
      <w:tr w14:paraId="40D020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14" w:hRule="atLeast"/>
        </w:trPr>
        <w:tc>
          <w:tcPr>
            <w:tcW w:w="1423" w:type="dxa"/>
            <w:vMerge w:val="continue"/>
            <w:tcBorders>
              <w:top w:val="nil"/>
            </w:tcBorders>
            <w:vAlign w:val="top"/>
          </w:tcPr>
          <w:p w14:paraId="1D8F1004">
            <w:pPr>
              <w:pStyle w:val="6"/>
            </w:pPr>
          </w:p>
        </w:tc>
        <w:tc>
          <w:tcPr>
            <w:tcW w:w="1815" w:type="dxa"/>
            <w:vMerge w:val="continue"/>
            <w:tcBorders>
              <w:top w:val="nil"/>
            </w:tcBorders>
            <w:vAlign w:val="top"/>
          </w:tcPr>
          <w:p w14:paraId="55C6F6CE">
            <w:pPr>
              <w:pStyle w:val="6"/>
            </w:pPr>
          </w:p>
        </w:tc>
        <w:tc>
          <w:tcPr>
            <w:tcW w:w="1243" w:type="dxa"/>
            <w:vMerge w:val="continue"/>
            <w:tcBorders>
              <w:top w:val="nil"/>
            </w:tcBorders>
            <w:vAlign w:val="top"/>
          </w:tcPr>
          <w:p w14:paraId="6940CE86">
            <w:pPr>
              <w:pStyle w:val="6"/>
            </w:pPr>
          </w:p>
        </w:tc>
        <w:tc>
          <w:tcPr>
            <w:tcW w:w="1243" w:type="dxa"/>
            <w:vAlign w:val="top"/>
          </w:tcPr>
          <w:p w14:paraId="59703CAD">
            <w:pPr>
              <w:pStyle w:val="6"/>
              <w:spacing w:line="352" w:lineRule="auto"/>
            </w:pPr>
          </w:p>
          <w:p w14:paraId="6FEB4C7F">
            <w:pPr>
              <w:spacing w:before="62" w:line="231" w:lineRule="auto"/>
              <w:ind w:left="427"/>
              <w:rPr>
                <w:rFonts w:ascii="宋体" w:hAnsi="宋体" w:eastAsia="宋体" w:cs="宋体"/>
                <w:sz w:val="19"/>
                <w:szCs w:val="19"/>
              </w:rPr>
            </w:pPr>
            <w:r>
              <w:rPr>
                <w:rFonts w:ascii="宋体" w:hAnsi="宋体" w:eastAsia="宋体" w:cs="宋体"/>
                <w:spacing w:val="5"/>
                <w:sz w:val="19"/>
                <w:szCs w:val="19"/>
              </w:rPr>
              <w:t>合计</w:t>
            </w:r>
          </w:p>
        </w:tc>
        <w:tc>
          <w:tcPr>
            <w:tcW w:w="1133" w:type="dxa"/>
            <w:vAlign w:val="top"/>
          </w:tcPr>
          <w:p w14:paraId="5A272F87">
            <w:pPr>
              <w:spacing w:before="293" w:line="235" w:lineRule="auto"/>
              <w:ind w:left="373" w:right="153"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5"/>
                <w:sz w:val="19"/>
                <w:szCs w:val="19"/>
              </w:rPr>
              <w:t>预算</w:t>
            </w:r>
          </w:p>
        </w:tc>
        <w:tc>
          <w:tcPr>
            <w:tcW w:w="862" w:type="dxa"/>
            <w:vAlign w:val="top"/>
          </w:tcPr>
          <w:p w14:paraId="6E55C076">
            <w:pPr>
              <w:spacing w:before="293" w:line="235" w:lineRule="auto"/>
              <w:ind w:left="139" w:right="14" w:hanging="100"/>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82" w:type="dxa"/>
            <w:vAlign w:val="top"/>
          </w:tcPr>
          <w:p w14:paraId="106F10F9">
            <w:pPr>
              <w:spacing w:before="168" w:line="231" w:lineRule="auto"/>
              <w:ind w:left="69"/>
              <w:rPr>
                <w:rFonts w:ascii="宋体" w:hAnsi="宋体" w:eastAsia="宋体" w:cs="宋体"/>
                <w:sz w:val="19"/>
                <w:szCs w:val="19"/>
              </w:rPr>
            </w:pPr>
            <w:r>
              <w:rPr>
                <w:rFonts w:ascii="宋体" w:hAnsi="宋体" w:eastAsia="宋体" w:cs="宋体"/>
                <w:spacing w:val="1"/>
                <w:sz w:val="19"/>
                <w:szCs w:val="19"/>
              </w:rPr>
              <w:t>国有资</w:t>
            </w:r>
          </w:p>
          <w:p w14:paraId="52001C9D">
            <w:pPr>
              <w:spacing w:before="10" w:line="229" w:lineRule="auto"/>
              <w:ind w:left="50"/>
              <w:rPr>
                <w:rFonts w:ascii="宋体" w:hAnsi="宋体" w:eastAsia="宋体" w:cs="宋体"/>
                <w:sz w:val="19"/>
                <w:szCs w:val="19"/>
              </w:rPr>
            </w:pPr>
            <w:r>
              <w:rPr>
                <w:rFonts w:ascii="宋体" w:hAnsi="宋体" w:eastAsia="宋体" w:cs="宋体"/>
                <w:spacing w:val="7"/>
                <w:sz w:val="19"/>
                <w:szCs w:val="19"/>
              </w:rPr>
              <w:t>本经营</w:t>
            </w:r>
          </w:p>
          <w:p w14:paraId="1E43A1EB">
            <w:pPr>
              <w:spacing w:before="11" w:line="230" w:lineRule="auto"/>
              <w:ind w:left="152"/>
              <w:rPr>
                <w:rFonts w:ascii="宋体" w:hAnsi="宋体" w:eastAsia="宋体" w:cs="宋体"/>
                <w:sz w:val="19"/>
                <w:szCs w:val="19"/>
              </w:rPr>
            </w:pPr>
            <w:r>
              <w:rPr>
                <w:rFonts w:ascii="宋体" w:hAnsi="宋体" w:eastAsia="宋体" w:cs="宋体"/>
                <w:spacing w:val="4"/>
                <w:sz w:val="19"/>
                <w:szCs w:val="19"/>
              </w:rPr>
              <w:t>预算</w:t>
            </w:r>
          </w:p>
        </w:tc>
        <w:tc>
          <w:tcPr>
            <w:tcW w:w="682" w:type="dxa"/>
            <w:vAlign w:val="top"/>
          </w:tcPr>
          <w:p w14:paraId="5AA449C5">
            <w:pPr>
              <w:spacing w:before="168" w:line="231" w:lineRule="auto"/>
              <w:ind w:left="52"/>
              <w:rPr>
                <w:rFonts w:ascii="宋体" w:hAnsi="宋体" w:eastAsia="宋体" w:cs="宋体"/>
                <w:sz w:val="19"/>
                <w:szCs w:val="19"/>
              </w:rPr>
            </w:pPr>
            <w:r>
              <w:rPr>
                <w:rFonts w:ascii="宋体" w:hAnsi="宋体" w:eastAsia="宋体" w:cs="宋体"/>
                <w:spacing w:val="6"/>
                <w:sz w:val="19"/>
                <w:szCs w:val="19"/>
              </w:rPr>
              <w:t>财政专</w:t>
            </w:r>
          </w:p>
          <w:p w14:paraId="55D0146F">
            <w:pPr>
              <w:spacing w:before="9" w:line="230" w:lineRule="auto"/>
              <w:ind w:left="52"/>
              <w:rPr>
                <w:rFonts w:ascii="宋体" w:hAnsi="宋体" w:eastAsia="宋体" w:cs="宋体"/>
                <w:sz w:val="19"/>
                <w:szCs w:val="19"/>
              </w:rPr>
            </w:pPr>
            <w:r>
              <w:rPr>
                <w:rFonts w:ascii="宋体" w:hAnsi="宋体" w:eastAsia="宋体" w:cs="宋体"/>
                <w:spacing w:val="6"/>
                <w:sz w:val="19"/>
                <w:szCs w:val="19"/>
              </w:rPr>
              <w:t>户管理</w:t>
            </w:r>
          </w:p>
          <w:p w14:paraId="6A8CEE48">
            <w:pPr>
              <w:spacing w:before="10" w:line="231" w:lineRule="auto"/>
              <w:ind w:left="161"/>
              <w:rPr>
                <w:rFonts w:ascii="宋体" w:hAnsi="宋体" w:eastAsia="宋体" w:cs="宋体"/>
                <w:sz w:val="19"/>
                <w:szCs w:val="19"/>
              </w:rPr>
            </w:pPr>
            <w:r>
              <w:rPr>
                <w:rFonts w:ascii="宋体" w:hAnsi="宋体" w:eastAsia="宋体" w:cs="宋体"/>
                <w:spacing w:val="1"/>
                <w:sz w:val="19"/>
                <w:szCs w:val="19"/>
              </w:rPr>
              <w:t>资金</w:t>
            </w:r>
          </w:p>
        </w:tc>
        <w:tc>
          <w:tcPr>
            <w:tcW w:w="682" w:type="dxa"/>
            <w:vAlign w:val="top"/>
          </w:tcPr>
          <w:p w14:paraId="731B3320">
            <w:pPr>
              <w:spacing w:before="293" w:line="238" w:lineRule="auto"/>
              <w:ind w:left="253" w:right="22" w:hanging="199"/>
              <w:rPr>
                <w:rFonts w:ascii="宋体" w:hAnsi="宋体" w:eastAsia="宋体" w:cs="宋体"/>
                <w:sz w:val="19"/>
                <w:szCs w:val="19"/>
              </w:rPr>
            </w:pPr>
            <w:r>
              <w:rPr>
                <w:rFonts w:ascii="宋体" w:hAnsi="宋体" w:eastAsia="宋体" w:cs="宋体"/>
                <w:spacing w:val="6"/>
                <w:sz w:val="19"/>
                <w:szCs w:val="19"/>
              </w:rPr>
              <w:t>单位资</w:t>
            </w:r>
            <w:r>
              <w:rPr>
                <w:rFonts w:ascii="宋体" w:hAnsi="宋体" w:eastAsia="宋体" w:cs="宋体"/>
                <w:sz w:val="19"/>
                <w:szCs w:val="19"/>
              </w:rPr>
              <w:t>金</w:t>
            </w:r>
          </w:p>
        </w:tc>
        <w:tc>
          <w:tcPr>
            <w:tcW w:w="852" w:type="dxa"/>
            <w:vAlign w:val="top"/>
          </w:tcPr>
          <w:p w14:paraId="39D9FF45">
            <w:pPr>
              <w:pStyle w:val="6"/>
              <w:spacing w:line="352" w:lineRule="auto"/>
            </w:pPr>
          </w:p>
          <w:p w14:paraId="115D3983">
            <w:pPr>
              <w:spacing w:before="62" w:line="231" w:lineRule="auto"/>
              <w:ind w:left="238"/>
              <w:rPr>
                <w:rFonts w:ascii="宋体" w:hAnsi="宋体" w:eastAsia="宋体" w:cs="宋体"/>
                <w:sz w:val="19"/>
                <w:szCs w:val="19"/>
              </w:rPr>
            </w:pPr>
            <w:r>
              <w:rPr>
                <w:rFonts w:ascii="宋体" w:hAnsi="宋体" w:eastAsia="宋体" w:cs="宋体"/>
                <w:spacing w:val="5"/>
                <w:sz w:val="19"/>
                <w:szCs w:val="19"/>
              </w:rPr>
              <w:t>合计</w:t>
            </w:r>
          </w:p>
        </w:tc>
        <w:tc>
          <w:tcPr>
            <w:tcW w:w="852" w:type="dxa"/>
            <w:vAlign w:val="top"/>
          </w:tcPr>
          <w:p w14:paraId="6091DB33">
            <w:pPr>
              <w:spacing w:before="169" w:line="235" w:lineRule="auto"/>
              <w:ind w:left="337" w:right="105" w:hanging="195"/>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2"/>
                <w:sz w:val="19"/>
                <w:szCs w:val="19"/>
              </w:rPr>
              <w:t>共</w:t>
            </w:r>
          </w:p>
          <w:p w14:paraId="7C6242BF">
            <w:pPr>
              <w:spacing w:before="10" w:line="230" w:lineRule="auto"/>
              <w:ind w:left="242"/>
              <w:rPr>
                <w:rFonts w:ascii="宋体" w:hAnsi="宋体" w:eastAsia="宋体" w:cs="宋体"/>
                <w:sz w:val="19"/>
                <w:szCs w:val="19"/>
              </w:rPr>
            </w:pPr>
            <w:r>
              <w:rPr>
                <w:rFonts w:ascii="宋体" w:hAnsi="宋体" w:eastAsia="宋体" w:cs="宋体"/>
                <w:spacing w:val="4"/>
                <w:sz w:val="19"/>
                <w:szCs w:val="19"/>
              </w:rPr>
              <w:t>预算</w:t>
            </w:r>
          </w:p>
        </w:tc>
        <w:tc>
          <w:tcPr>
            <w:tcW w:w="862" w:type="dxa"/>
            <w:vAlign w:val="top"/>
          </w:tcPr>
          <w:p w14:paraId="25A1D885">
            <w:pPr>
              <w:spacing w:before="293" w:line="235" w:lineRule="auto"/>
              <w:ind w:left="147" w:right="9" w:hanging="103"/>
              <w:rPr>
                <w:rFonts w:ascii="宋体" w:hAnsi="宋体" w:eastAsia="宋体" w:cs="宋体"/>
                <w:sz w:val="19"/>
                <w:szCs w:val="19"/>
              </w:rPr>
            </w:pPr>
            <w:r>
              <w:rPr>
                <w:rFonts w:ascii="宋体" w:hAnsi="宋体" w:eastAsia="宋体" w:cs="宋体"/>
                <w:spacing w:val="8"/>
                <w:sz w:val="19"/>
                <w:szCs w:val="19"/>
              </w:rPr>
              <w:t>政府性基</w:t>
            </w:r>
            <w:r>
              <w:rPr>
                <w:rFonts w:ascii="宋体" w:hAnsi="宋体" w:eastAsia="宋体" w:cs="宋体"/>
                <w:spacing w:val="6"/>
                <w:sz w:val="19"/>
                <w:szCs w:val="19"/>
              </w:rPr>
              <w:t>金预算</w:t>
            </w:r>
          </w:p>
        </w:tc>
        <w:tc>
          <w:tcPr>
            <w:tcW w:w="622" w:type="dxa"/>
            <w:vAlign w:val="top"/>
          </w:tcPr>
          <w:p w14:paraId="2517F3DD">
            <w:pPr>
              <w:spacing w:before="44" w:line="233" w:lineRule="auto"/>
              <w:ind w:left="127" w:right="88" w:firstLine="18"/>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622" w:type="dxa"/>
            <w:vAlign w:val="top"/>
          </w:tcPr>
          <w:p w14:paraId="6559DA78">
            <w:pPr>
              <w:spacing w:before="44" w:line="233" w:lineRule="auto"/>
              <w:ind w:left="127" w:right="87"/>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632" w:type="dxa"/>
            <w:vAlign w:val="top"/>
          </w:tcPr>
          <w:p w14:paraId="0D10082E">
            <w:pPr>
              <w:spacing w:before="294" w:line="235" w:lineRule="auto"/>
              <w:ind w:left="136" w:right="97" w:hanging="7"/>
              <w:rPr>
                <w:rFonts w:ascii="宋体" w:hAnsi="宋体" w:eastAsia="宋体" w:cs="宋体"/>
                <w:sz w:val="19"/>
                <w:szCs w:val="19"/>
              </w:rPr>
            </w:pPr>
            <w:r>
              <w:rPr>
                <w:rFonts w:ascii="宋体" w:hAnsi="宋体" w:eastAsia="宋体" w:cs="宋体"/>
                <w:spacing w:val="4"/>
                <w:sz w:val="19"/>
                <w:szCs w:val="19"/>
              </w:rPr>
              <w:t>单位</w:t>
            </w:r>
            <w:r>
              <w:rPr>
                <w:rFonts w:ascii="宋体" w:hAnsi="宋体" w:eastAsia="宋体" w:cs="宋体"/>
                <w:spacing w:val="1"/>
                <w:sz w:val="19"/>
                <w:szCs w:val="19"/>
              </w:rPr>
              <w:t>资金</w:t>
            </w:r>
          </w:p>
        </w:tc>
      </w:tr>
      <w:tr w14:paraId="1D7A9A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3" w:hRule="atLeast"/>
        </w:trPr>
        <w:tc>
          <w:tcPr>
            <w:tcW w:w="1423" w:type="dxa"/>
            <w:vAlign w:val="top"/>
          </w:tcPr>
          <w:p w14:paraId="66281B54">
            <w:pPr>
              <w:spacing w:before="154" w:line="231" w:lineRule="auto"/>
              <w:ind w:left="520"/>
              <w:rPr>
                <w:rFonts w:ascii="宋体" w:hAnsi="宋体" w:eastAsia="宋体" w:cs="宋体"/>
                <w:sz w:val="19"/>
                <w:szCs w:val="19"/>
              </w:rPr>
            </w:pPr>
            <w:r>
              <w:rPr>
                <w:rFonts w:ascii="宋体" w:hAnsi="宋体" w:eastAsia="宋体" w:cs="宋体"/>
                <w:spacing w:val="5"/>
                <w:sz w:val="19"/>
                <w:szCs w:val="19"/>
              </w:rPr>
              <w:t>合计</w:t>
            </w:r>
          </w:p>
        </w:tc>
        <w:tc>
          <w:tcPr>
            <w:tcW w:w="1815" w:type="dxa"/>
            <w:vAlign w:val="top"/>
          </w:tcPr>
          <w:p w14:paraId="0985A1AE">
            <w:pPr>
              <w:pStyle w:val="6"/>
            </w:pPr>
          </w:p>
        </w:tc>
        <w:tc>
          <w:tcPr>
            <w:tcW w:w="1243" w:type="dxa"/>
            <w:vAlign w:val="top"/>
          </w:tcPr>
          <w:p w14:paraId="18AE97C8">
            <w:pPr>
              <w:pStyle w:val="6"/>
            </w:pPr>
          </w:p>
        </w:tc>
        <w:tc>
          <w:tcPr>
            <w:tcW w:w="1243" w:type="dxa"/>
            <w:vAlign w:val="top"/>
          </w:tcPr>
          <w:p w14:paraId="711DC19D">
            <w:pPr>
              <w:pStyle w:val="6"/>
            </w:pPr>
          </w:p>
        </w:tc>
        <w:tc>
          <w:tcPr>
            <w:tcW w:w="1133" w:type="dxa"/>
            <w:vAlign w:val="top"/>
          </w:tcPr>
          <w:p w14:paraId="59E4F262">
            <w:pPr>
              <w:pStyle w:val="6"/>
            </w:pPr>
          </w:p>
        </w:tc>
        <w:tc>
          <w:tcPr>
            <w:tcW w:w="862" w:type="dxa"/>
            <w:vAlign w:val="top"/>
          </w:tcPr>
          <w:p w14:paraId="6C11A522">
            <w:pPr>
              <w:pStyle w:val="6"/>
            </w:pPr>
          </w:p>
        </w:tc>
        <w:tc>
          <w:tcPr>
            <w:tcW w:w="682" w:type="dxa"/>
            <w:vAlign w:val="top"/>
          </w:tcPr>
          <w:p w14:paraId="49683B25">
            <w:pPr>
              <w:pStyle w:val="6"/>
            </w:pPr>
          </w:p>
        </w:tc>
        <w:tc>
          <w:tcPr>
            <w:tcW w:w="682" w:type="dxa"/>
            <w:vAlign w:val="top"/>
          </w:tcPr>
          <w:p w14:paraId="3550CE87">
            <w:pPr>
              <w:pStyle w:val="6"/>
            </w:pPr>
          </w:p>
        </w:tc>
        <w:tc>
          <w:tcPr>
            <w:tcW w:w="682" w:type="dxa"/>
            <w:vAlign w:val="top"/>
          </w:tcPr>
          <w:p w14:paraId="6F4E0D74">
            <w:pPr>
              <w:pStyle w:val="6"/>
            </w:pPr>
          </w:p>
        </w:tc>
        <w:tc>
          <w:tcPr>
            <w:tcW w:w="852" w:type="dxa"/>
            <w:vAlign w:val="top"/>
          </w:tcPr>
          <w:p w14:paraId="1C2B0FD5">
            <w:pPr>
              <w:pStyle w:val="6"/>
            </w:pPr>
          </w:p>
        </w:tc>
        <w:tc>
          <w:tcPr>
            <w:tcW w:w="852" w:type="dxa"/>
            <w:vAlign w:val="top"/>
          </w:tcPr>
          <w:p w14:paraId="1A0503A3">
            <w:pPr>
              <w:pStyle w:val="6"/>
            </w:pPr>
          </w:p>
        </w:tc>
        <w:tc>
          <w:tcPr>
            <w:tcW w:w="862" w:type="dxa"/>
            <w:vAlign w:val="top"/>
          </w:tcPr>
          <w:p w14:paraId="0D4A27E0">
            <w:pPr>
              <w:pStyle w:val="6"/>
            </w:pPr>
          </w:p>
        </w:tc>
        <w:tc>
          <w:tcPr>
            <w:tcW w:w="622" w:type="dxa"/>
            <w:vAlign w:val="top"/>
          </w:tcPr>
          <w:p w14:paraId="6D1CAAB7">
            <w:pPr>
              <w:pStyle w:val="6"/>
            </w:pPr>
          </w:p>
        </w:tc>
        <w:tc>
          <w:tcPr>
            <w:tcW w:w="622" w:type="dxa"/>
            <w:vAlign w:val="top"/>
          </w:tcPr>
          <w:p w14:paraId="553E60FD">
            <w:pPr>
              <w:pStyle w:val="6"/>
            </w:pPr>
          </w:p>
        </w:tc>
        <w:tc>
          <w:tcPr>
            <w:tcW w:w="632" w:type="dxa"/>
            <w:vAlign w:val="top"/>
          </w:tcPr>
          <w:p w14:paraId="7D0CF13F">
            <w:pPr>
              <w:pStyle w:val="6"/>
            </w:pPr>
          </w:p>
        </w:tc>
      </w:tr>
      <w:tr w14:paraId="6FE9D8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27D14F3C">
            <w:pPr>
              <w:pStyle w:val="6"/>
            </w:pPr>
          </w:p>
        </w:tc>
        <w:tc>
          <w:tcPr>
            <w:tcW w:w="1815" w:type="dxa"/>
            <w:vAlign w:val="top"/>
          </w:tcPr>
          <w:p w14:paraId="6B9D9CFD">
            <w:pPr>
              <w:pStyle w:val="6"/>
            </w:pPr>
          </w:p>
        </w:tc>
        <w:tc>
          <w:tcPr>
            <w:tcW w:w="1243" w:type="dxa"/>
            <w:vAlign w:val="top"/>
          </w:tcPr>
          <w:p w14:paraId="2904C608">
            <w:pPr>
              <w:pStyle w:val="6"/>
            </w:pPr>
          </w:p>
        </w:tc>
        <w:tc>
          <w:tcPr>
            <w:tcW w:w="1243" w:type="dxa"/>
            <w:vAlign w:val="top"/>
          </w:tcPr>
          <w:p w14:paraId="2E93CD3B">
            <w:pPr>
              <w:pStyle w:val="6"/>
            </w:pPr>
          </w:p>
        </w:tc>
        <w:tc>
          <w:tcPr>
            <w:tcW w:w="1133" w:type="dxa"/>
            <w:vAlign w:val="top"/>
          </w:tcPr>
          <w:p w14:paraId="0EDE6F6C">
            <w:pPr>
              <w:pStyle w:val="6"/>
            </w:pPr>
          </w:p>
        </w:tc>
        <w:tc>
          <w:tcPr>
            <w:tcW w:w="862" w:type="dxa"/>
            <w:vAlign w:val="top"/>
          </w:tcPr>
          <w:p w14:paraId="5DB5F20A">
            <w:pPr>
              <w:pStyle w:val="6"/>
            </w:pPr>
          </w:p>
        </w:tc>
        <w:tc>
          <w:tcPr>
            <w:tcW w:w="682" w:type="dxa"/>
            <w:vAlign w:val="top"/>
          </w:tcPr>
          <w:p w14:paraId="397AA55D">
            <w:pPr>
              <w:pStyle w:val="6"/>
            </w:pPr>
          </w:p>
        </w:tc>
        <w:tc>
          <w:tcPr>
            <w:tcW w:w="682" w:type="dxa"/>
            <w:vAlign w:val="top"/>
          </w:tcPr>
          <w:p w14:paraId="6814E9F1">
            <w:pPr>
              <w:pStyle w:val="6"/>
            </w:pPr>
          </w:p>
        </w:tc>
        <w:tc>
          <w:tcPr>
            <w:tcW w:w="682" w:type="dxa"/>
            <w:vAlign w:val="top"/>
          </w:tcPr>
          <w:p w14:paraId="2BC2B75D">
            <w:pPr>
              <w:pStyle w:val="6"/>
            </w:pPr>
          </w:p>
        </w:tc>
        <w:tc>
          <w:tcPr>
            <w:tcW w:w="852" w:type="dxa"/>
            <w:vAlign w:val="top"/>
          </w:tcPr>
          <w:p w14:paraId="5C90B5BF">
            <w:pPr>
              <w:pStyle w:val="6"/>
            </w:pPr>
          </w:p>
        </w:tc>
        <w:tc>
          <w:tcPr>
            <w:tcW w:w="852" w:type="dxa"/>
            <w:vAlign w:val="top"/>
          </w:tcPr>
          <w:p w14:paraId="4CE788F7">
            <w:pPr>
              <w:pStyle w:val="6"/>
            </w:pPr>
          </w:p>
        </w:tc>
        <w:tc>
          <w:tcPr>
            <w:tcW w:w="862" w:type="dxa"/>
            <w:vAlign w:val="top"/>
          </w:tcPr>
          <w:p w14:paraId="4D9E1331">
            <w:pPr>
              <w:pStyle w:val="6"/>
            </w:pPr>
          </w:p>
        </w:tc>
        <w:tc>
          <w:tcPr>
            <w:tcW w:w="622" w:type="dxa"/>
            <w:vAlign w:val="top"/>
          </w:tcPr>
          <w:p w14:paraId="776AE6DD">
            <w:pPr>
              <w:pStyle w:val="6"/>
            </w:pPr>
          </w:p>
        </w:tc>
        <w:tc>
          <w:tcPr>
            <w:tcW w:w="622" w:type="dxa"/>
            <w:vAlign w:val="top"/>
          </w:tcPr>
          <w:p w14:paraId="7230CCF1">
            <w:pPr>
              <w:pStyle w:val="6"/>
            </w:pPr>
          </w:p>
        </w:tc>
        <w:tc>
          <w:tcPr>
            <w:tcW w:w="632" w:type="dxa"/>
            <w:vAlign w:val="top"/>
          </w:tcPr>
          <w:p w14:paraId="73900A47">
            <w:pPr>
              <w:pStyle w:val="6"/>
            </w:pPr>
          </w:p>
        </w:tc>
      </w:tr>
      <w:tr w14:paraId="37FDF4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1423" w:type="dxa"/>
            <w:vAlign w:val="top"/>
          </w:tcPr>
          <w:p w14:paraId="3832CE50">
            <w:pPr>
              <w:pStyle w:val="6"/>
            </w:pPr>
          </w:p>
        </w:tc>
        <w:tc>
          <w:tcPr>
            <w:tcW w:w="1815" w:type="dxa"/>
            <w:vAlign w:val="top"/>
          </w:tcPr>
          <w:p w14:paraId="670DCB77">
            <w:pPr>
              <w:pStyle w:val="6"/>
            </w:pPr>
          </w:p>
        </w:tc>
        <w:tc>
          <w:tcPr>
            <w:tcW w:w="1243" w:type="dxa"/>
            <w:vAlign w:val="top"/>
          </w:tcPr>
          <w:p w14:paraId="6E72EB26">
            <w:pPr>
              <w:pStyle w:val="6"/>
            </w:pPr>
          </w:p>
        </w:tc>
        <w:tc>
          <w:tcPr>
            <w:tcW w:w="1243" w:type="dxa"/>
            <w:vAlign w:val="top"/>
          </w:tcPr>
          <w:p w14:paraId="5DF2D1D0">
            <w:pPr>
              <w:pStyle w:val="6"/>
            </w:pPr>
          </w:p>
        </w:tc>
        <w:tc>
          <w:tcPr>
            <w:tcW w:w="1133" w:type="dxa"/>
            <w:vAlign w:val="top"/>
          </w:tcPr>
          <w:p w14:paraId="3ED966B1">
            <w:pPr>
              <w:pStyle w:val="6"/>
            </w:pPr>
          </w:p>
        </w:tc>
        <w:tc>
          <w:tcPr>
            <w:tcW w:w="862" w:type="dxa"/>
            <w:vAlign w:val="top"/>
          </w:tcPr>
          <w:p w14:paraId="5EAB0899">
            <w:pPr>
              <w:pStyle w:val="6"/>
            </w:pPr>
          </w:p>
        </w:tc>
        <w:tc>
          <w:tcPr>
            <w:tcW w:w="682" w:type="dxa"/>
            <w:vAlign w:val="top"/>
          </w:tcPr>
          <w:p w14:paraId="0EB16194">
            <w:pPr>
              <w:pStyle w:val="6"/>
            </w:pPr>
          </w:p>
        </w:tc>
        <w:tc>
          <w:tcPr>
            <w:tcW w:w="682" w:type="dxa"/>
            <w:vAlign w:val="top"/>
          </w:tcPr>
          <w:p w14:paraId="233B1D12">
            <w:pPr>
              <w:pStyle w:val="6"/>
            </w:pPr>
          </w:p>
        </w:tc>
        <w:tc>
          <w:tcPr>
            <w:tcW w:w="682" w:type="dxa"/>
            <w:vAlign w:val="top"/>
          </w:tcPr>
          <w:p w14:paraId="3803E829">
            <w:pPr>
              <w:pStyle w:val="6"/>
            </w:pPr>
          </w:p>
        </w:tc>
        <w:tc>
          <w:tcPr>
            <w:tcW w:w="852" w:type="dxa"/>
            <w:vAlign w:val="top"/>
          </w:tcPr>
          <w:p w14:paraId="1E94B2AE">
            <w:pPr>
              <w:pStyle w:val="6"/>
            </w:pPr>
          </w:p>
        </w:tc>
        <w:tc>
          <w:tcPr>
            <w:tcW w:w="852" w:type="dxa"/>
            <w:vAlign w:val="top"/>
          </w:tcPr>
          <w:p w14:paraId="05BFD1D4">
            <w:pPr>
              <w:pStyle w:val="6"/>
            </w:pPr>
          </w:p>
        </w:tc>
        <w:tc>
          <w:tcPr>
            <w:tcW w:w="862" w:type="dxa"/>
            <w:vAlign w:val="top"/>
          </w:tcPr>
          <w:p w14:paraId="358D8184">
            <w:pPr>
              <w:pStyle w:val="6"/>
            </w:pPr>
          </w:p>
        </w:tc>
        <w:tc>
          <w:tcPr>
            <w:tcW w:w="622" w:type="dxa"/>
            <w:vAlign w:val="top"/>
          </w:tcPr>
          <w:p w14:paraId="55D597D7">
            <w:pPr>
              <w:pStyle w:val="6"/>
            </w:pPr>
          </w:p>
        </w:tc>
        <w:tc>
          <w:tcPr>
            <w:tcW w:w="622" w:type="dxa"/>
            <w:vAlign w:val="top"/>
          </w:tcPr>
          <w:p w14:paraId="32BBBAF6">
            <w:pPr>
              <w:pStyle w:val="6"/>
            </w:pPr>
          </w:p>
        </w:tc>
        <w:tc>
          <w:tcPr>
            <w:tcW w:w="632" w:type="dxa"/>
            <w:vAlign w:val="top"/>
          </w:tcPr>
          <w:p w14:paraId="2AD59357">
            <w:pPr>
              <w:pStyle w:val="6"/>
            </w:pPr>
          </w:p>
        </w:tc>
      </w:tr>
      <w:tr w14:paraId="0ED19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6" w:hRule="atLeast"/>
        </w:trPr>
        <w:tc>
          <w:tcPr>
            <w:tcW w:w="1423" w:type="dxa"/>
            <w:vAlign w:val="top"/>
          </w:tcPr>
          <w:p w14:paraId="657F87B8">
            <w:pPr>
              <w:pStyle w:val="6"/>
            </w:pPr>
          </w:p>
        </w:tc>
        <w:tc>
          <w:tcPr>
            <w:tcW w:w="1815" w:type="dxa"/>
            <w:vAlign w:val="top"/>
          </w:tcPr>
          <w:p w14:paraId="189E73CA">
            <w:pPr>
              <w:pStyle w:val="6"/>
            </w:pPr>
          </w:p>
        </w:tc>
        <w:tc>
          <w:tcPr>
            <w:tcW w:w="1243" w:type="dxa"/>
            <w:vAlign w:val="top"/>
          </w:tcPr>
          <w:p w14:paraId="0A57A857">
            <w:pPr>
              <w:pStyle w:val="6"/>
            </w:pPr>
          </w:p>
        </w:tc>
        <w:tc>
          <w:tcPr>
            <w:tcW w:w="1243" w:type="dxa"/>
            <w:vAlign w:val="top"/>
          </w:tcPr>
          <w:p w14:paraId="546F929C">
            <w:pPr>
              <w:pStyle w:val="6"/>
            </w:pPr>
          </w:p>
        </w:tc>
        <w:tc>
          <w:tcPr>
            <w:tcW w:w="1133" w:type="dxa"/>
            <w:vAlign w:val="top"/>
          </w:tcPr>
          <w:p w14:paraId="06487D9A">
            <w:pPr>
              <w:pStyle w:val="6"/>
            </w:pPr>
          </w:p>
        </w:tc>
        <w:tc>
          <w:tcPr>
            <w:tcW w:w="862" w:type="dxa"/>
            <w:vAlign w:val="top"/>
          </w:tcPr>
          <w:p w14:paraId="46DC67A3">
            <w:pPr>
              <w:pStyle w:val="6"/>
            </w:pPr>
          </w:p>
        </w:tc>
        <w:tc>
          <w:tcPr>
            <w:tcW w:w="682" w:type="dxa"/>
            <w:vAlign w:val="top"/>
          </w:tcPr>
          <w:p w14:paraId="21C63A54">
            <w:pPr>
              <w:pStyle w:val="6"/>
            </w:pPr>
          </w:p>
        </w:tc>
        <w:tc>
          <w:tcPr>
            <w:tcW w:w="682" w:type="dxa"/>
            <w:vAlign w:val="top"/>
          </w:tcPr>
          <w:p w14:paraId="0B7FA634">
            <w:pPr>
              <w:pStyle w:val="6"/>
            </w:pPr>
          </w:p>
        </w:tc>
        <w:tc>
          <w:tcPr>
            <w:tcW w:w="682" w:type="dxa"/>
            <w:vAlign w:val="top"/>
          </w:tcPr>
          <w:p w14:paraId="71138D4B">
            <w:pPr>
              <w:pStyle w:val="6"/>
            </w:pPr>
          </w:p>
        </w:tc>
        <w:tc>
          <w:tcPr>
            <w:tcW w:w="852" w:type="dxa"/>
            <w:vAlign w:val="top"/>
          </w:tcPr>
          <w:p w14:paraId="60C0919F">
            <w:pPr>
              <w:pStyle w:val="6"/>
            </w:pPr>
          </w:p>
        </w:tc>
        <w:tc>
          <w:tcPr>
            <w:tcW w:w="852" w:type="dxa"/>
            <w:vAlign w:val="top"/>
          </w:tcPr>
          <w:p w14:paraId="4B2E3054">
            <w:pPr>
              <w:pStyle w:val="6"/>
            </w:pPr>
          </w:p>
        </w:tc>
        <w:tc>
          <w:tcPr>
            <w:tcW w:w="862" w:type="dxa"/>
            <w:vAlign w:val="top"/>
          </w:tcPr>
          <w:p w14:paraId="5F2D69DC">
            <w:pPr>
              <w:pStyle w:val="6"/>
            </w:pPr>
          </w:p>
        </w:tc>
        <w:tc>
          <w:tcPr>
            <w:tcW w:w="622" w:type="dxa"/>
            <w:vAlign w:val="top"/>
          </w:tcPr>
          <w:p w14:paraId="168CB8E2">
            <w:pPr>
              <w:pStyle w:val="6"/>
            </w:pPr>
          </w:p>
        </w:tc>
        <w:tc>
          <w:tcPr>
            <w:tcW w:w="622" w:type="dxa"/>
            <w:vAlign w:val="top"/>
          </w:tcPr>
          <w:p w14:paraId="3F375351">
            <w:pPr>
              <w:pStyle w:val="6"/>
            </w:pPr>
          </w:p>
        </w:tc>
        <w:tc>
          <w:tcPr>
            <w:tcW w:w="632" w:type="dxa"/>
            <w:vAlign w:val="top"/>
          </w:tcPr>
          <w:p w14:paraId="0CA23C19">
            <w:pPr>
              <w:pStyle w:val="6"/>
            </w:pPr>
          </w:p>
        </w:tc>
      </w:tr>
      <w:tr w14:paraId="70D898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1" w:hRule="atLeast"/>
        </w:trPr>
        <w:tc>
          <w:tcPr>
            <w:tcW w:w="1423" w:type="dxa"/>
            <w:vAlign w:val="top"/>
          </w:tcPr>
          <w:p w14:paraId="21A0CAB8">
            <w:pPr>
              <w:pStyle w:val="6"/>
            </w:pPr>
          </w:p>
        </w:tc>
        <w:tc>
          <w:tcPr>
            <w:tcW w:w="1815" w:type="dxa"/>
            <w:vAlign w:val="top"/>
          </w:tcPr>
          <w:p w14:paraId="0958781A">
            <w:pPr>
              <w:pStyle w:val="6"/>
            </w:pPr>
          </w:p>
        </w:tc>
        <w:tc>
          <w:tcPr>
            <w:tcW w:w="1243" w:type="dxa"/>
            <w:vAlign w:val="top"/>
          </w:tcPr>
          <w:p w14:paraId="6258181D">
            <w:pPr>
              <w:pStyle w:val="6"/>
            </w:pPr>
          </w:p>
        </w:tc>
        <w:tc>
          <w:tcPr>
            <w:tcW w:w="1243" w:type="dxa"/>
            <w:vAlign w:val="top"/>
          </w:tcPr>
          <w:p w14:paraId="7F41F582">
            <w:pPr>
              <w:pStyle w:val="6"/>
            </w:pPr>
          </w:p>
        </w:tc>
        <w:tc>
          <w:tcPr>
            <w:tcW w:w="1133" w:type="dxa"/>
            <w:vAlign w:val="top"/>
          </w:tcPr>
          <w:p w14:paraId="1AE1A5B5">
            <w:pPr>
              <w:pStyle w:val="6"/>
            </w:pPr>
          </w:p>
        </w:tc>
        <w:tc>
          <w:tcPr>
            <w:tcW w:w="862" w:type="dxa"/>
            <w:vAlign w:val="top"/>
          </w:tcPr>
          <w:p w14:paraId="24CBBC67">
            <w:pPr>
              <w:pStyle w:val="6"/>
            </w:pPr>
          </w:p>
        </w:tc>
        <w:tc>
          <w:tcPr>
            <w:tcW w:w="682" w:type="dxa"/>
            <w:vAlign w:val="top"/>
          </w:tcPr>
          <w:p w14:paraId="2B110811">
            <w:pPr>
              <w:pStyle w:val="6"/>
            </w:pPr>
          </w:p>
        </w:tc>
        <w:tc>
          <w:tcPr>
            <w:tcW w:w="682" w:type="dxa"/>
            <w:vAlign w:val="top"/>
          </w:tcPr>
          <w:p w14:paraId="16BDCDFC">
            <w:pPr>
              <w:pStyle w:val="6"/>
            </w:pPr>
          </w:p>
        </w:tc>
        <w:tc>
          <w:tcPr>
            <w:tcW w:w="682" w:type="dxa"/>
            <w:vAlign w:val="top"/>
          </w:tcPr>
          <w:p w14:paraId="0461FD24">
            <w:pPr>
              <w:pStyle w:val="6"/>
            </w:pPr>
          </w:p>
        </w:tc>
        <w:tc>
          <w:tcPr>
            <w:tcW w:w="852" w:type="dxa"/>
            <w:vAlign w:val="top"/>
          </w:tcPr>
          <w:p w14:paraId="7C055120">
            <w:pPr>
              <w:pStyle w:val="6"/>
            </w:pPr>
          </w:p>
        </w:tc>
        <w:tc>
          <w:tcPr>
            <w:tcW w:w="852" w:type="dxa"/>
            <w:vAlign w:val="top"/>
          </w:tcPr>
          <w:p w14:paraId="72728591">
            <w:pPr>
              <w:pStyle w:val="6"/>
            </w:pPr>
          </w:p>
        </w:tc>
        <w:tc>
          <w:tcPr>
            <w:tcW w:w="862" w:type="dxa"/>
            <w:vAlign w:val="top"/>
          </w:tcPr>
          <w:p w14:paraId="0A9D75F0">
            <w:pPr>
              <w:pStyle w:val="6"/>
            </w:pPr>
          </w:p>
        </w:tc>
        <w:tc>
          <w:tcPr>
            <w:tcW w:w="622" w:type="dxa"/>
            <w:vAlign w:val="top"/>
          </w:tcPr>
          <w:p w14:paraId="0786A290">
            <w:pPr>
              <w:pStyle w:val="6"/>
            </w:pPr>
          </w:p>
        </w:tc>
        <w:tc>
          <w:tcPr>
            <w:tcW w:w="622" w:type="dxa"/>
            <w:vAlign w:val="top"/>
          </w:tcPr>
          <w:p w14:paraId="1D4B80E1">
            <w:pPr>
              <w:pStyle w:val="6"/>
            </w:pPr>
          </w:p>
        </w:tc>
        <w:tc>
          <w:tcPr>
            <w:tcW w:w="632" w:type="dxa"/>
            <w:vAlign w:val="top"/>
          </w:tcPr>
          <w:p w14:paraId="1E475150">
            <w:pPr>
              <w:pStyle w:val="6"/>
            </w:pPr>
          </w:p>
        </w:tc>
      </w:tr>
    </w:tbl>
    <w:p w14:paraId="388AFE7D">
      <w:pPr>
        <w:rPr>
          <w:rFonts w:ascii="Arial"/>
          <w:sz w:val="21"/>
        </w:rPr>
      </w:pPr>
    </w:p>
    <w:p w14:paraId="76CAC873">
      <w:pPr>
        <w:rPr>
          <w:rFonts w:ascii="Arial" w:hAnsi="Arial" w:eastAsia="Arial" w:cs="Arial"/>
          <w:sz w:val="21"/>
          <w:szCs w:val="21"/>
        </w:rPr>
        <w:sectPr>
          <w:pgSz w:w="16840" w:h="11905"/>
          <w:pgMar w:top="937" w:right="1318" w:bottom="400" w:left="1299" w:header="0" w:footer="0" w:gutter="0"/>
          <w:cols w:space="720" w:num="1"/>
        </w:sectPr>
      </w:pPr>
    </w:p>
    <w:p w14:paraId="1CAEDF1F">
      <w:pPr>
        <w:spacing w:before="87" w:line="224" w:lineRule="auto"/>
        <w:ind w:left="4733"/>
        <w:outlineLvl w:val="1"/>
        <w:rPr>
          <w:rFonts w:ascii="宋体" w:hAnsi="宋体" w:eastAsia="宋体" w:cs="宋体"/>
          <w:sz w:val="43"/>
          <w:szCs w:val="43"/>
        </w:rPr>
      </w:pPr>
      <w:r>
        <w:rPr>
          <w:rFonts w:ascii="宋体" w:hAnsi="宋体" w:eastAsia="宋体" w:cs="宋体"/>
          <w:b/>
          <w:bCs/>
          <w:spacing w:val="5"/>
          <w:sz w:val="43"/>
          <w:szCs w:val="43"/>
        </w:rPr>
        <w:t>政府购买服务支出预算表</w:t>
      </w:r>
    </w:p>
    <w:p w14:paraId="3FA1CB3B">
      <w:pPr>
        <w:spacing w:line="324" w:lineRule="auto"/>
        <w:rPr>
          <w:rFonts w:ascii="Arial"/>
          <w:sz w:val="21"/>
        </w:rPr>
      </w:pPr>
    </w:p>
    <w:p w14:paraId="4F8D0546">
      <w:pPr>
        <w:spacing w:before="62" w:line="231" w:lineRule="auto"/>
        <w:ind w:left="56"/>
        <w:rPr>
          <w:rFonts w:ascii="宋体" w:hAnsi="宋体" w:eastAsia="宋体" w:cs="宋体"/>
          <w:sz w:val="19"/>
          <w:szCs w:val="19"/>
        </w:rPr>
      </w:pPr>
      <w:r>
        <w:rPr>
          <w:rFonts w:ascii="宋体" w:hAnsi="宋体" w:eastAsia="宋体" w:cs="宋体"/>
          <w:spacing w:val="4"/>
          <w:sz w:val="19"/>
          <w:szCs w:val="19"/>
        </w:rPr>
        <w:t>表15</w:t>
      </w:r>
    </w:p>
    <w:p w14:paraId="69893A82">
      <w:pPr>
        <w:spacing w:before="91"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盘锦市双台子区人社局</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263"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313"/>
        <w:gridCol w:w="1023"/>
        <w:gridCol w:w="1022"/>
        <w:gridCol w:w="1022"/>
        <w:gridCol w:w="1073"/>
        <w:gridCol w:w="1073"/>
        <w:gridCol w:w="1073"/>
        <w:gridCol w:w="852"/>
        <w:gridCol w:w="561"/>
        <w:gridCol w:w="561"/>
        <w:gridCol w:w="561"/>
        <w:gridCol w:w="792"/>
        <w:gridCol w:w="792"/>
        <w:gridCol w:w="852"/>
        <w:gridCol w:w="561"/>
        <w:gridCol w:w="561"/>
        <w:gridCol w:w="571"/>
      </w:tblGrid>
      <w:tr w14:paraId="0ADA2C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1313" w:type="dxa"/>
            <w:vMerge w:val="restart"/>
            <w:tcBorders>
              <w:bottom w:val="nil"/>
            </w:tcBorders>
            <w:vAlign w:val="top"/>
          </w:tcPr>
          <w:p w14:paraId="693B17DC">
            <w:pPr>
              <w:pStyle w:val="6"/>
              <w:spacing w:line="306" w:lineRule="auto"/>
            </w:pPr>
          </w:p>
          <w:p w14:paraId="337AA395">
            <w:pPr>
              <w:pStyle w:val="6"/>
              <w:spacing w:line="307" w:lineRule="auto"/>
            </w:pPr>
          </w:p>
          <w:p w14:paraId="33CBFF5F">
            <w:pPr>
              <w:spacing w:before="62" w:line="231" w:lineRule="auto"/>
              <w:ind w:left="264"/>
              <w:rPr>
                <w:rFonts w:ascii="宋体" w:hAnsi="宋体" w:eastAsia="宋体" w:cs="宋体"/>
                <w:sz w:val="19"/>
                <w:szCs w:val="19"/>
              </w:rPr>
            </w:pPr>
            <w:r>
              <w:rPr>
                <w:rFonts w:ascii="宋体" w:hAnsi="宋体" w:eastAsia="宋体" w:cs="宋体"/>
                <w:spacing w:val="7"/>
                <w:sz w:val="19"/>
                <w:szCs w:val="19"/>
              </w:rPr>
              <w:t>单位名称</w:t>
            </w:r>
          </w:p>
        </w:tc>
        <w:tc>
          <w:tcPr>
            <w:tcW w:w="1023" w:type="dxa"/>
            <w:vMerge w:val="restart"/>
            <w:tcBorders>
              <w:bottom w:val="nil"/>
            </w:tcBorders>
            <w:vAlign w:val="top"/>
          </w:tcPr>
          <w:p w14:paraId="3E7783CD">
            <w:pPr>
              <w:pStyle w:val="6"/>
              <w:spacing w:line="368" w:lineRule="auto"/>
            </w:pPr>
          </w:p>
          <w:p w14:paraId="1211AF2E">
            <w:pPr>
              <w:spacing w:before="61" w:line="231" w:lineRule="auto"/>
              <w:ind w:left="114"/>
              <w:rPr>
                <w:rFonts w:ascii="宋体" w:hAnsi="宋体" w:eastAsia="宋体" w:cs="宋体"/>
                <w:sz w:val="19"/>
                <w:szCs w:val="19"/>
              </w:rPr>
            </w:pPr>
            <w:r>
              <w:rPr>
                <w:rFonts w:ascii="宋体" w:hAnsi="宋体" w:eastAsia="宋体" w:cs="宋体"/>
                <w:spacing w:val="7"/>
                <w:sz w:val="19"/>
                <w:szCs w:val="19"/>
              </w:rPr>
              <w:t>支出功能</w:t>
            </w:r>
          </w:p>
          <w:p w14:paraId="664F3CD3">
            <w:pPr>
              <w:spacing w:before="10" w:line="236" w:lineRule="auto"/>
              <w:ind w:left="317" w:right="102" w:hanging="201"/>
              <w:rPr>
                <w:rFonts w:ascii="宋体" w:hAnsi="宋体" w:eastAsia="宋体" w:cs="宋体"/>
                <w:sz w:val="19"/>
                <w:szCs w:val="19"/>
              </w:rPr>
            </w:pPr>
            <w:r>
              <w:rPr>
                <w:rFonts w:ascii="宋体" w:hAnsi="宋体" w:eastAsia="宋体" w:cs="宋体"/>
                <w:spacing w:val="7"/>
                <w:sz w:val="19"/>
                <w:szCs w:val="19"/>
              </w:rPr>
              <w:t>分类（类</w:t>
            </w:r>
            <w:r>
              <w:rPr>
                <w:rFonts w:ascii="宋体" w:hAnsi="宋体" w:eastAsia="宋体" w:cs="宋体"/>
                <w:spacing w:val="-3"/>
                <w:sz w:val="19"/>
                <w:szCs w:val="19"/>
              </w:rPr>
              <w:t>级）</w:t>
            </w:r>
          </w:p>
        </w:tc>
        <w:tc>
          <w:tcPr>
            <w:tcW w:w="1022" w:type="dxa"/>
            <w:vMerge w:val="restart"/>
            <w:tcBorders>
              <w:bottom w:val="nil"/>
            </w:tcBorders>
            <w:vAlign w:val="top"/>
          </w:tcPr>
          <w:p w14:paraId="6274523D">
            <w:pPr>
              <w:pStyle w:val="6"/>
              <w:spacing w:line="245" w:lineRule="auto"/>
            </w:pPr>
          </w:p>
          <w:p w14:paraId="20173192">
            <w:pPr>
              <w:pStyle w:val="6"/>
              <w:spacing w:line="245" w:lineRule="auto"/>
            </w:pPr>
          </w:p>
          <w:p w14:paraId="0DCB3F15">
            <w:pPr>
              <w:spacing w:before="62" w:line="235" w:lineRule="auto"/>
              <w:ind w:left="118" w:right="99" w:hanging="4"/>
              <w:rPr>
                <w:rFonts w:ascii="宋体" w:hAnsi="宋体" w:eastAsia="宋体" w:cs="宋体"/>
                <w:sz w:val="19"/>
                <w:szCs w:val="19"/>
              </w:rPr>
            </w:pPr>
            <w:r>
              <w:rPr>
                <w:rFonts w:ascii="宋体" w:hAnsi="宋体" w:eastAsia="宋体" w:cs="宋体"/>
                <w:spacing w:val="8"/>
                <w:sz w:val="19"/>
                <w:szCs w:val="19"/>
              </w:rPr>
              <w:t>购买服务</w:t>
            </w:r>
            <w:r>
              <w:rPr>
                <w:rFonts w:ascii="宋体" w:hAnsi="宋体" w:eastAsia="宋体" w:cs="宋体"/>
                <w:spacing w:val="7"/>
                <w:sz w:val="19"/>
                <w:szCs w:val="19"/>
              </w:rPr>
              <w:t>项目名称</w:t>
            </w:r>
          </w:p>
        </w:tc>
        <w:tc>
          <w:tcPr>
            <w:tcW w:w="1022" w:type="dxa"/>
            <w:vMerge w:val="restart"/>
            <w:tcBorders>
              <w:bottom w:val="nil"/>
            </w:tcBorders>
            <w:vAlign w:val="top"/>
          </w:tcPr>
          <w:p w14:paraId="00AD27F9">
            <w:pPr>
              <w:spacing w:before="61" w:line="238" w:lineRule="auto"/>
              <w:ind w:left="115" w:right="97"/>
              <w:jc w:val="both"/>
              <w:rPr>
                <w:rFonts w:ascii="宋体" w:hAnsi="宋体" w:eastAsia="宋体" w:cs="宋体"/>
                <w:sz w:val="19"/>
                <w:szCs w:val="19"/>
              </w:rPr>
            </w:pPr>
            <w:r>
              <w:rPr>
                <w:rFonts w:ascii="宋体" w:hAnsi="宋体" w:eastAsia="宋体" w:cs="宋体"/>
                <w:spacing w:val="8"/>
                <w:sz w:val="19"/>
                <w:szCs w:val="19"/>
              </w:rPr>
              <w:t>购买服务指导目录对应项目（三级目</w:t>
            </w:r>
          </w:p>
          <w:p w14:paraId="069160EA">
            <w:pPr>
              <w:spacing w:before="8" w:line="230" w:lineRule="auto"/>
              <w:ind w:left="219" w:right="97" w:hanging="101"/>
              <w:rPr>
                <w:rFonts w:ascii="宋体" w:hAnsi="宋体" w:eastAsia="宋体" w:cs="宋体"/>
                <w:sz w:val="19"/>
                <w:szCs w:val="19"/>
              </w:rPr>
            </w:pPr>
            <w:r>
              <w:rPr>
                <w:rFonts w:ascii="宋体" w:hAnsi="宋体" w:eastAsia="宋体" w:cs="宋体"/>
                <w:spacing w:val="7"/>
                <w:sz w:val="19"/>
                <w:szCs w:val="19"/>
              </w:rPr>
              <w:t>录代码及</w:t>
            </w:r>
            <w:r>
              <w:rPr>
                <w:rFonts w:ascii="宋体" w:hAnsi="宋体" w:eastAsia="宋体" w:cs="宋体"/>
                <w:sz w:val="19"/>
                <w:szCs w:val="19"/>
              </w:rPr>
              <w:t>名称）</w:t>
            </w:r>
          </w:p>
        </w:tc>
        <w:tc>
          <w:tcPr>
            <w:tcW w:w="1073" w:type="dxa"/>
            <w:vMerge w:val="restart"/>
            <w:tcBorders>
              <w:bottom w:val="nil"/>
            </w:tcBorders>
            <w:vAlign w:val="top"/>
          </w:tcPr>
          <w:p w14:paraId="77AF8C96">
            <w:pPr>
              <w:pStyle w:val="6"/>
              <w:spacing w:line="307" w:lineRule="auto"/>
            </w:pPr>
          </w:p>
          <w:p w14:paraId="1C8F0085">
            <w:pPr>
              <w:pStyle w:val="6"/>
              <w:spacing w:line="307" w:lineRule="auto"/>
            </w:pPr>
          </w:p>
          <w:p w14:paraId="118006E3">
            <w:pPr>
              <w:spacing w:before="62" w:line="231" w:lineRule="auto"/>
              <w:ind w:left="345"/>
              <w:rPr>
                <w:rFonts w:ascii="宋体" w:hAnsi="宋体" w:eastAsia="宋体" w:cs="宋体"/>
                <w:sz w:val="19"/>
                <w:szCs w:val="19"/>
              </w:rPr>
            </w:pPr>
            <w:r>
              <w:rPr>
                <w:rFonts w:ascii="宋体" w:hAnsi="宋体" w:eastAsia="宋体" w:cs="宋体"/>
                <w:spacing w:val="4"/>
                <w:sz w:val="19"/>
                <w:szCs w:val="19"/>
              </w:rPr>
              <w:t>总计</w:t>
            </w:r>
          </w:p>
        </w:tc>
        <w:tc>
          <w:tcPr>
            <w:tcW w:w="4681" w:type="dxa"/>
            <w:gridSpan w:val="6"/>
            <w:vAlign w:val="top"/>
          </w:tcPr>
          <w:p w14:paraId="6C720090">
            <w:pPr>
              <w:spacing w:before="159" w:line="229" w:lineRule="auto"/>
              <w:ind w:left="1950"/>
              <w:rPr>
                <w:rFonts w:ascii="宋体" w:hAnsi="宋体" w:eastAsia="宋体" w:cs="宋体"/>
                <w:sz w:val="19"/>
                <w:szCs w:val="19"/>
              </w:rPr>
            </w:pPr>
            <w:r>
              <w:rPr>
                <w:rFonts w:ascii="宋体" w:hAnsi="宋体" w:eastAsia="宋体" w:cs="宋体"/>
                <w:spacing w:val="7"/>
                <w:sz w:val="19"/>
                <w:szCs w:val="19"/>
              </w:rPr>
              <w:t>本年收入</w:t>
            </w:r>
          </w:p>
        </w:tc>
        <w:tc>
          <w:tcPr>
            <w:tcW w:w="4129" w:type="dxa"/>
            <w:gridSpan w:val="6"/>
            <w:vAlign w:val="top"/>
          </w:tcPr>
          <w:p w14:paraId="6D58461F">
            <w:pPr>
              <w:spacing w:before="158" w:line="230" w:lineRule="auto"/>
              <w:ind w:left="1475"/>
              <w:rPr>
                <w:rFonts w:ascii="宋体" w:hAnsi="宋体" w:eastAsia="宋体" w:cs="宋体"/>
                <w:sz w:val="19"/>
                <w:szCs w:val="19"/>
              </w:rPr>
            </w:pPr>
            <w:r>
              <w:rPr>
                <w:rFonts w:ascii="宋体" w:hAnsi="宋体" w:eastAsia="宋体" w:cs="宋体"/>
                <w:spacing w:val="8"/>
                <w:sz w:val="19"/>
                <w:szCs w:val="19"/>
              </w:rPr>
              <w:t>上年结转结余</w:t>
            </w:r>
          </w:p>
        </w:tc>
      </w:tr>
      <w:tr w14:paraId="512879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24" w:hRule="atLeast"/>
        </w:trPr>
        <w:tc>
          <w:tcPr>
            <w:tcW w:w="1313" w:type="dxa"/>
            <w:vMerge w:val="continue"/>
            <w:tcBorders>
              <w:top w:val="nil"/>
            </w:tcBorders>
            <w:vAlign w:val="top"/>
          </w:tcPr>
          <w:p w14:paraId="3A90CCA4">
            <w:pPr>
              <w:pStyle w:val="6"/>
            </w:pPr>
          </w:p>
        </w:tc>
        <w:tc>
          <w:tcPr>
            <w:tcW w:w="1023" w:type="dxa"/>
            <w:vMerge w:val="continue"/>
            <w:tcBorders>
              <w:top w:val="nil"/>
            </w:tcBorders>
            <w:vAlign w:val="top"/>
          </w:tcPr>
          <w:p w14:paraId="2EF23734">
            <w:pPr>
              <w:pStyle w:val="6"/>
            </w:pPr>
          </w:p>
        </w:tc>
        <w:tc>
          <w:tcPr>
            <w:tcW w:w="1022" w:type="dxa"/>
            <w:vMerge w:val="continue"/>
            <w:tcBorders>
              <w:top w:val="nil"/>
            </w:tcBorders>
            <w:vAlign w:val="top"/>
          </w:tcPr>
          <w:p w14:paraId="5874569F">
            <w:pPr>
              <w:pStyle w:val="6"/>
            </w:pPr>
          </w:p>
        </w:tc>
        <w:tc>
          <w:tcPr>
            <w:tcW w:w="1022" w:type="dxa"/>
            <w:vMerge w:val="continue"/>
            <w:tcBorders>
              <w:top w:val="nil"/>
            </w:tcBorders>
            <w:vAlign w:val="top"/>
          </w:tcPr>
          <w:p w14:paraId="3FA5F4CB">
            <w:pPr>
              <w:pStyle w:val="6"/>
            </w:pPr>
          </w:p>
        </w:tc>
        <w:tc>
          <w:tcPr>
            <w:tcW w:w="1073" w:type="dxa"/>
            <w:vMerge w:val="continue"/>
            <w:tcBorders>
              <w:top w:val="nil"/>
            </w:tcBorders>
            <w:vAlign w:val="top"/>
          </w:tcPr>
          <w:p w14:paraId="35AE9BD4">
            <w:pPr>
              <w:pStyle w:val="6"/>
            </w:pPr>
          </w:p>
        </w:tc>
        <w:tc>
          <w:tcPr>
            <w:tcW w:w="1073" w:type="dxa"/>
            <w:vAlign w:val="top"/>
          </w:tcPr>
          <w:p w14:paraId="55CCE9A4">
            <w:pPr>
              <w:pStyle w:val="6"/>
              <w:spacing w:line="356" w:lineRule="auto"/>
            </w:pPr>
          </w:p>
          <w:p w14:paraId="406649AE">
            <w:pPr>
              <w:spacing w:before="62" w:line="231" w:lineRule="auto"/>
              <w:ind w:left="344"/>
              <w:rPr>
                <w:rFonts w:ascii="宋体" w:hAnsi="宋体" w:eastAsia="宋体" w:cs="宋体"/>
                <w:sz w:val="19"/>
                <w:szCs w:val="19"/>
              </w:rPr>
            </w:pPr>
            <w:r>
              <w:rPr>
                <w:rFonts w:ascii="宋体" w:hAnsi="宋体" w:eastAsia="宋体" w:cs="宋体"/>
                <w:spacing w:val="5"/>
                <w:sz w:val="19"/>
                <w:szCs w:val="19"/>
              </w:rPr>
              <w:t>合计</w:t>
            </w:r>
          </w:p>
        </w:tc>
        <w:tc>
          <w:tcPr>
            <w:tcW w:w="1073" w:type="dxa"/>
            <w:vAlign w:val="top"/>
          </w:tcPr>
          <w:p w14:paraId="0CC3F0F4">
            <w:pPr>
              <w:spacing w:before="296" w:line="235" w:lineRule="auto"/>
              <w:ind w:left="345" w:right="121" w:hanging="198"/>
              <w:rPr>
                <w:rFonts w:ascii="宋体" w:hAnsi="宋体" w:eastAsia="宋体" w:cs="宋体"/>
                <w:sz w:val="19"/>
                <w:szCs w:val="19"/>
              </w:rPr>
            </w:pPr>
            <w:r>
              <w:rPr>
                <w:rFonts w:ascii="宋体" w:hAnsi="宋体" w:eastAsia="宋体" w:cs="宋体"/>
                <w:spacing w:val="7"/>
                <w:sz w:val="19"/>
                <w:szCs w:val="19"/>
              </w:rPr>
              <w:t>一般公共</w:t>
            </w:r>
            <w:r>
              <w:rPr>
                <w:rFonts w:ascii="宋体" w:hAnsi="宋体" w:eastAsia="宋体" w:cs="宋体"/>
                <w:spacing w:val="4"/>
                <w:sz w:val="19"/>
                <w:szCs w:val="19"/>
              </w:rPr>
              <w:t>预算</w:t>
            </w:r>
          </w:p>
        </w:tc>
        <w:tc>
          <w:tcPr>
            <w:tcW w:w="852" w:type="dxa"/>
            <w:vAlign w:val="top"/>
          </w:tcPr>
          <w:p w14:paraId="1AAB455D">
            <w:pPr>
              <w:spacing w:before="173" w:line="229" w:lineRule="auto"/>
              <w:ind w:left="135"/>
              <w:rPr>
                <w:rFonts w:ascii="宋体" w:hAnsi="宋体" w:eastAsia="宋体" w:cs="宋体"/>
                <w:sz w:val="19"/>
                <w:szCs w:val="19"/>
              </w:rPr>
            </w:pPr>
            <w:r>
              <w:rPr>
                <w:rFonts w:ascii="宋体" w:hAnsi="宋体" w:eastAsia="宋体" w:cs="宋体"/>
                <w:spacing w:val="7"/>
                <w:sz w:val="19"/>
                <w:szCs w:val="19"/>
              </w:rPr>
              <w:t>政府性</w:t>
            </w:r>
          </w:p>
          <w:p w14:paraId="3069AB42">
            <w:pPr>
              <w:spacing w:before="10" w:line="231" w:lineRule="auto"/>
              <w:ind w:left="136"/>
              <w:rPr>
                <w:rFonts w:ascii="宋体" w:hAnsi="宋体" w:eastAsia="宋体" w:cs="宋体"/>
                <w:sz w:val="19"/>
                <w:szCs w:val="19"/>
              </w:rPr>
            </w:pPr>
            <w:r>
              <w:rPr>
                <w:rFonts w:ascii="宋体" w:hAnsi="宋体" w:eastAsia="宋体" w:cs="宋体"/>
                <w:spacing w:val="7"/>
                <w:sz w:val="19"/>
                <w:szCs w:val="19"/>
              </w:rPr>
              <w:t>基金预</w:t>
            </w:r>
          </w:p>
          <w:p w14:paraId="4C62B5F7">
            <w:pPr>
              <w:spacing w:before="9" w:line="230" w:lineRule="auto"/>
              <w:ind w:left="338"/>
              <w:rPr>
                <w:rFonts w:ascii="宋体" w:hAnsi="宋体" w:eastAsia="宋体" w:cs="宋体"/>
                <w:sz w:val="19"/>
                <w:szCs w:val="19"/>
              </w:rPr>
            </w:pPr>
            <w:r>
              <w:rPr>
                <w:rFonts w:ascii="宋体" w:hAnsi="宋体" w:eastAsia="宋体" w:cs="宋体"/>
                <w:sz w:val="19"/>
                <w:szCs w:val="19"/>
              </w:rPr>
              <w:t>算</w:t>
            </w:r>
          </w:p>
        </w:tc>
        <w:tc>
          <w:tcPr>
            <w:tcW w:w="561" w:type="dxa"/>
            <w:vAlign w:val="top"/>
          </w:tcPr>
          <w:p w14:paraId="366BDAB6">
            <w:pPr>
              <w:spacing w:before="50" w:line="234" w:lineRule="auto"/>
              <w:ind w:left="92" w:right="62" w:firstLine="17"/>
              <w:jc w:val="both"/>
              <w:rPr>
                <w:rFonts w:ascii="宋体" w:hAnsi="宋体" w:eastAsia="宋体" w:cs="宋体"/>
                <w:sz w:val="19"/>
                <w:szCs w:val="19"/>
              </w:rPr>
            </w:pPr>
            <w:r>
              <w:rPr>
                <w:rFonts w:ascii="宋体" w:hAnsi="宋体" w:eastAsia="宋体" w:cs="宋体"/>
                <w:spacing w:val="-4"/>
                <w:sz w:val="19"/>
                <w:szCs w:val="19"/>
              </w:rPr>
              <w:t>国有</w:t>
            </w:r>
            <w:r>
              <w:rPr>
                <w:rFonts w:ascii="宋体" w:hAnsi="宋体" w:eastAsia="宋体" w:cs="宋体"/>
                <w:spacing w:val="5"/>
                <w:sz w:val="19"/>
                <w:szCs w:val="19"/>
              </w:rPr>
              <w:t>资本经营预算</w:t>
            </w:r>
          </w:p>
        </w:tc>
        <w:tc>
          <w:tcPr>
            <w:tcW w:w="561" w:type="dxa"/>
            <w:vAlign w:val="top"/>
          </w:tcPr>
          <w:p w14:paraId="0F88A7F7">
            <w:pPr>
              <w:spacing w:before="50" w:line="234" w:lineRule="auto"/>
              <w:ind w:left="93" w:right="62"/>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561" w:type="dxa"/>
            <w:vAlign w:val="top"/>
          </w:tcPr>
          <w:p w14:paraId="35614B08">
            <w:pPr>
              <w:spacing w:before="296" w:line="236" w:lineRule="auto"/>
              <w:ind w:left="101" w:right="60" w:hanging="7"/>
              <w:rPr>
                <w:rFonts w:ascii="宋体" w:hAnsi="宋体" w:eastAsia="宋体" w:cs="宋体"/>
                <w:sz w:val="19"/>
                <w:szCs w:val="19"/>
              </w:rPr>
            </w:pPr>
            <w:r>
              <w:rPr>
                <w:rFonts w:ascii="宋体" w:hAnsi="宋体" w:eastAsia="宋体" w:cs="宋体"/>
                <w:spacing w:val="5"/>
                <w:sz w:val="19"/>
                <w:szCs w:val="19"/>
              </w:rPr>
              <w:t>单位</w:t>
            </w:r>
            <w:r>
              <w:rPr>
                <w:rFonts w:ascii="宋体" w:hAnsi="宋体" w:eastAsia="宋体" w:cs="宋体"/>
                <w:spacing w:val="1"/>
                <w:sz w:val="19"/>
                <w:szCs w:val="19"/>
              </w:rPr>
              <w:t>资金</w:t>
            </w:r>
          </w:p>
        </w:tc>
        <w:tc>
          <w:tcPr>
            <w:tcW w:w="792" w:type="dxa"/>
            <w:vAlign w:val="top"/>
          </w:tcPr>
          <w:p w14:paraId="6F34CF92">
            <w:pPr>
              <w:pStyle w:val="6"/>
              <w:spacing w:line="356" w:lineRule="auto"/>
            </w:pPr>
          </w:p>
          <w:p w14:paraId="383EF490">
            <w:pPr>
              <w:spacing w:before="62" w:line="231" w:lineRule="auto"/>
              <w:ind w:left="209"/>
              <w:rPr>
                <w:rFonts w:ascii="宋体" w:hAnsi="宋体" w:eastAsia="宋体" w:cs="宋体"/>
                <w:sz w:val="19"/>
                <w:szCs w:val="19"/>
              </w:rPr>
            </w:pPr>
            <w:r>
              <w:rPr>
                <w:rFonts w:ascii="宋体" w:hAnsi="宋体" w:eastAsia="宋体" w:cs="宋体"/>
                <w:spacing w:val="5"/>
                <w:sz w:val="19"/>
                <w:szCs w:val="19"/>
              </w:rPr>
              <w:t>合计</w:t>
            </w:r>
          </w:p>
        </w:tc>
        <w:tc>
          <w:tcPr>
            <w:tcW w:w="792" w:type="dxa"/>
            <w:vAlign w:val="top"/>
          </w:tcPr>
          <w:p w14:paraId="45975556">
            <w:pPr>
              <w:spacing w:before="296" w:line="235" w:lineRule="auto"/>
              <w:ind w:left="109" w:right="74" w:firstLine="4"/>
              <w:rPr>
                <w:rFonts w:ascii="宋体" w:hAnsi="宋体" w:eastAsia="宋体" w:cs="宋体"/>
                <w:sz w:val="19"/>
                <w:szCs w:val="19"/>
              </w:rPr>
            </w:pPr>
            <w:r>
              <w:rPr>
                <w:rFonts w:ascii="宋体" w:hAnsi="宋体" w:eastAsia="宋体" w:cs="宋体"/>
                <w:spacing w:val="6"/>
                <w:sz w:val="19"/>
                <w:szCs w:val="19"/>
              </w:rPr>
              <w:t>一般公</w:t>
            </w:r>
            <w:r>
              <w:rPr>
                <w:rFonts w:ascii="宋体" w:hAnsi="宋体" w:eastAsia="宋体" w:cs="宋体"/>
                <w:spacing w:val="7"/>
                <w:sz w:val="19"/>
                <w:szCs w:val="19"/>
              </w:rPr>
              <w:t>共预算</w:t>
            </w:r>
          </w:p>
        </w:tc>
        <w:tc>
          <w:tcPr>
            <w:tcW w:w="852" w:type="dxa"/>
            <w:vAlign w:val="top"/>
          </w:tcPr>
          <w:p w14:paraId="0F9424A3">
            <w:pPr>
              <w:spacing w:before="173" w:line="229" w:lineRule="auto"/>
              <w:ind w:left="140"/>
              <w:rPr>
                <w:rFonts w:ascii="宋体" w:hAnsi="宋体" w:eastAsia="宋体" w:cs="宋体"/>
                <w:sz w:val="19"/>
                <w:szCs w:val="19"/>
              </w:rPr>
            </w:pPr>
            <w:r>
              <w:rPr>
                <w:rFonts w:ascii="宋体" w:hAnsi="宋体" w:eastAsia="宋体" w:cs="宋体"/>
                <w:spacing w:val="7"/>
                <w:sz w:val="19"/>
                <w:szCs w:val="19"/>
              </w:rPr>
              <w:t>政府性</w:t>
            </w:r>
          </w:p>
          <w:p w14:paraId="65593BF9">
            <w:pPr>
              <w:spacing w:before="10" w:line="231" w:lineRule="auto"/>
              <w:ind w:left="141"/>
              <w:rPr>
                <w:rFonts w:ascii="宋体" w:hAnsi="宋体" w:eastAsia="宋体" w:cs="宋体"/>
                <w:sz w:val="19"/>
                <w:szCs w:val="19"/>
              </w:rPr>
            </w:pPr>
            <w:r>
              <w:rPr>
                <w:rFonts w:ascii="宋体" w:hAnsi="宋体" w:eastAsia="宋体" w:cs="宋体"/>
                <w:spacing w:val="7"/>
                <w:sz w:val="19"/>
                <w:szCs w:val="19"/>
              </w:rPr>
              <w:t>基金预</w:t>
            </w:r>
          </w:p>
          <w:p w14:paraId="02B9F76B">
            <w:pPr>
              <w:spacing w:before="9" w:line="230" w:lineRule="auto"/>
              <w:ind w:left="343"/>
              <w:rPr>
                <w:rFonts w:ascii="宋体" w:hAnsi="宋体" w:eastAsia="宋体" w:cs="宋体"/>
                <w:sz w:val="19"/>
                <w:szCs w:val="19"/>
              </w:rPr>
            </w:pPr>
            <w:r>
              <w:rPr>
                <w:rFonts w:ascii="宋体" w:hAnsi="宋体" w:eastAsia="宋体" w:cs="宋体"/>
                <w:sz w:val="19"/>
                <w:szCs w:val="19"/>
              </w:rPr>
              <w:t>算</w:t>
            </w:r>
          </w:p>
        </w:tc>
        <w:tc>
          <w:tcPr>
            <w:tcW w:w="561" w:type="dxa"/>
            <w:vAlign w:val="top"/>
          </w:tcPr>
          <w:p w14:paraId="3A25E44A">
            <w:pPr>
              <w:spacing w:before="50" w:line="234" w:lineRule="auto"/>
              <w:ind w:left="98" w:right="57" w:firstLine="18"/>
              <w:jc w:val="both"/>
              <w:rPr>
                <w:rFonts w:ascii="宋体" w:hAnsi="宋体" w:eastAsia="宋体" w:cs="宋体"/>
                <w:sz w:val="19"/>
                <w:szCs w:val="19"/>
              </w:rPr>
            </w:pPr>
            <w:r>
              <w:rPr>
                <w:rFonts w:ascii="宋体" w:hAnsi="宋体" w:eastAsia="宋体" w:cs="宋体"/>
                <w:spacing w:val="-5"/>
                <w:sz w:val="19"/>
                <w:szCs w:val="19"/>
              </w:rPr>
              <w:t>国有</w:t>
            </w:r>
            <w:r>
              <w:rPr>
                <w:rFonts w:ascii="宋体" w:hAnsi="宋体" w:eastAsia="宋体" w:cs="宋体"/>
                <w:spacing w:val="4"/>
                <w:sz w:val="19"/>
                <w:szCs w:val="19"/>
              </w:rPr>
              <w:t>资本经营预算</w:t>
            </w:r>
          </w:p>
        </w:tc>
        <w:tc>
          <w:tcPr>
            <w:tcW w:w="561" w:type="dxa"/>
            <w:vAlign w:val="top"/>
          </w:tcPr>
          <w:p w14:paraId="7F8624EF">
            <w:pPr>
              <w:spacing w:before="50" w:line="234" w:lineRule="auto"/>
              <w:ind w:left="97" w:right="56"/>
              <w:jc w:val="both"/>
              <w:rPr>
                <w:rFonts w:ascii="宋体" w:hAnsi="宋体" w:eastAsia="宋体" w:cs="宋体"/>
                <w:sz w:val="19"/>
                <w:szCs w:val="19"/>
              </w:rPr>
            </w:pPr>
            <w:r>
              <w:rPr>
                <w:rFonts w:ascii="宋体" w:hAnsi="宋体" w:eastAsia="宋体" w:cs="宋体"/>
                <w:spacing w:val="5"/>
                <w:sz w:val="19"/>
                <w:szCs w:val="19"/>
              </w:rPr>
              <w:t>财政专户管理资金</w:t>
            </w:r>
          </w:p>
        </w:tc>
        <w:tc>
          <w:tcPr>
            <w:tcW w:w="571" w:type="dxa"/>
            <w:vAlign w:val="top"/>
          </w:tcPr>
          <w:p w14:paraId="4384FEDC">
            <w:pPr>
              <w:spacing w:before="296" w:line="236" w:lineRule="auto"/>
              <w:ind w:left="106" w:right="66" w:hanging="7"/>
              <w:rPr>
                <w:rFonts w:ascii="宋体" w:hAnsi="宋体" w:eastAsia="宋体" w:cs="宋体"/>
                <w:sz w:val="19"/>
                <w:szCs w:val="19"/>
              </w:rPr>
            </w:pPr>
            <w:r>
              <w:rPr>
                <w:rFonts w:ascii="宋体" w:hAnsi="宋体" w:eastAsia="宋体" w:cs="宋体"/>
                <w:spacing w:val="4"/>
                <w:sz w:val="19"/>
                <w:szCs w:val="19"/>
              </w:rPr>
              <w:t>单位</w:t>
            </w:r>
            <w:r>
              <w:rPr>
                <w:rFonts w:ascii="宋体" w:hAnsi="宋体" w:eastAsia="宋体" w:cs="宋体"/>
                <w:spacing w:val="1"/>
                <w:sz w:val="19"/>
                <w:szCs w:val="19"/>
              </w:rPr>
              <w:t>资金</w:t>
            </w:r>
          </w:p>
        </w:tc>
      </w:tr>
      <w:tr w14:paraId="028B6F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49571C70">
            <w:pPr>
              <w:spacing w:before="162" w:line="231" w:lineRule="auto"/>
              <w:ind w:left="463"/>
              <w:rPr>
                <w:rFonts w:ascii="宋体" w:hAnsi="宋体" w:eastAsia="宋体" w:cs="宋体"/>
                <w:sz w:val="19"/>
                <w:szCs w:val="19"/>
              </w:rPr>
            </w:pPr>
            <w:r>
              <w:rPr>
                <w:rFonts w:ascii="宋体" w:hAnsi="宋体" w:eastAsia="宋体" w:cs="宋体"/>
                <w:spacing w:val="5"/>
                <w:sz w:val="19"/>
                <w:szCs w:val="19"/>
              </w:rPr>
              <w:t>合计</w:t>
            </w:r>
          </w:p>
        </w:tc>
        <w:tc>
          <w:tcPr>
            <w:tcW w:w="1023" w:type="dxa"/>
            <w:vAlign w:val="top"/>
          </w:tcPr>
          <w:p w14:paraId="3FE723EC">
            <w:pPr>
              <w:pStyle w:val="6"/>
            </w:pPr>
          </w:p>
        </w:tc>
        <w:tc>
          <w:tcPr>
            <w:tcW w:w="1022" w:type="dxa"/>
            <w:vAlign w:val="top"/>
          </w:tcPr>
          <w:p w14:paraId="619144F3">
            <w:pPr>
              <w:pStyle w:val="6"/>
            </w:pPr>
          </w:p>
        </w:tc>
        <w:tc>
          <w:tcPr>
            <w:tcW w:w="1022" w:type="dxa"/>
            <w:vAlign w:val="top"/>
          </w:tcPr>
          <w:p w14:paraId="449D064D">
            <w:pPr>
              <w:pStyle w:val="6"/>
            </w:pPr>
          </w:p>
        </w:tc>
        <w:tc>
          <w:tcPr>
            <w:tcW w:w="1073" w:type="dxa"/>
            <w:vAlign w:val="top"/>
          </w:tcPr>
          <w:p w14:paraId="17E07F31">
            <w:pPr>
              <w:pStyle w:val="6"/>
            </w:pPr>
          </w:p>
        </w:tc>
        <w:tc>
          <w:tcPr>
            <w:tcW w:w="1073" w:type="dxa"/>
            <w:vAlign w:val="top"/>
          </w:tcPr>
          <w:p w14:paraId="5CEBFB3E">
            <w:pPr>
              <w:pStyle w:val="6"/>
            </w:pPr>
          </w:p>
        </w:tc>
        <w:tc>
          <w:tcPr>
            <w:tcW w:w="1073" w:type="dxa"/>
            <w:vAlign w:val="top"/>
          </w:tcPr>
          <w:p w14:paraId="4AA4EF87">
            <w:pPr>
              <w:pStyle w:val="6"/>
            </w:pPr>
          </w:p>
        </w:tc>
        <w:tc>
          <w:tcPr>
            <w:tcW w:w="852" w:type="dxa"/>
            <w:vAlign w:val="top"/>
          </w:tcPr>
          <w:p w14:paraId="088FEFC5">
            <w:pPr>
              <w:pStyle w:val="6"/>
            </w:pPr>
          </w:p>
        </w:tc>
        <w:tc>
          <w:tcPr>
            <w:tcW w:w="561" w:type="dxa"/>
            <w:vAlign w:val="top"/>
          </w:tcPr>
          <w:p w14:paraId="506C5584">
            <w:pPr>
              <w:pStyle w:val="6"/>
            </w:pPr>
          </w:p>
        </w:tc>
        <w:tc>
          <w:tcPr>
            <w:tcW w:w="561" w:type="dxa"/>
            <w:vAlign w:val="top"/>
          </w:tcPr>
          <w:p w14:paraId="075DA383">
            <w:pPr>
              <w:pStyle w:val="6"/>
            </w:pPr>
          </w:p>
        </w:tc>
        <w:tc>
          <w:tcPr>
            <w:tcW w:w="561" w:type="dxa"/>
            <w:vAlign w:val="top"/>
          </w:tcPr>
          <w:p w14:paraId="06A35AEF">
            <w:pPr>
              <w:pStyle w:val="6"/>
            </w:pPr>
          </w:p>
        </w:tc>
        <w:tc>
          <w:tcPr>
            <w:tcW w:w="792" w:type="dxa"/>
            <w:vAlign w:val="top"/>
          </w:tcPr>
          <w:p w14:paraId="59273638">
            <w:pPr>
              <w:pStyle w:val="6"/>
            </w:pPr>
          </w:p>
        </w:tc>
        <w:tc>
          <w:tcPr>
            <w:tcW w:w="792" w:type="dxa"/>
            <w:vAlign w:val="top"/>
          </w:tcPr>
          <w:p w14:paraId="2EFB30F2">
            <w:pPr>
              <w:pStyle w:val="6"/>
            </w:pPr>
          </w:p>
        </w:tc>
        <w:tc>
          <w:tcPr>
            <w:tcW w:w="852" w:type="dxa"/>
            <w:vAlign w:val="top"/>
          </w:tcPr>
          <w:p w14:paraId="66700706">
            <w:pPr>
              <w:pStyle w:val="6"/>
            </w:pPr>
          </w:p>
        </w:tc>
        <w:tc>
          <w:tcPr>
            <w:tcW w:w="561" w:type="dxa"/>
            <w:vAlign w:val="top"/>
          </w:tcPr>
          <w:p w14:paraId="08888A96">
            <w:pPr>
              <w:pStyle w:val="6"/>
            </w:pPr>
          </w:p>
        </w:tc>
        <w:tc>
          <w:tcPr>
            <w:tcW w:w="561" w:type="dxa"/>
            <w:vAlign w:val="top"/>
          </w:tcPr>
          <w:p w14:paraId="0416A9F9">
            <w:pPr>
              <w:pStyle w:val="6"/>
            </w:pPr>
          </w:p>
        </w:tc>
        <w:tc>
          <w:tcPr>
            <w:tcW w:w="571" w:type="dxa"/>
            <w:vAlign w:val="top"/>
          </w:tcPr>
          <w:p w14:paraId="5974F92B">
            <w:pPr>
              <w:pStyle w:val="6"/>
            </w:pPr>
          </w:p>
        </w:tc>
      </w:tr>
      <w:tr w14:paraId="75BF2A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457FAD92">
            <w:pPr>
              <w:pStyle w:val="6"/>
            </w:pPr>
          </w:p>
        </w:tc>
        <w:tc>
          <w:tcPr>
            <w:tcW w:w="1023" w:type="dxa"/>
            <w:vAlign w:val="top"/>
          </w:tcPr>
          <w:p w14:paraId="48BE7C48">
            <w:pPr>
              <w:pStyle w:val="6"/>
            </w:pPr>
          </w:p>
        </w:tc>
        <w:tc>
          <w:tcPr>
            <w:tcW w:w="1022" w:type="dxa"/>
            <w:vAlign w:val="top"/>
          </w:tcPr>
          <w:p w14:paraId="2DA1D37B">
            <w:pPr>
              <w:pStyle w:val="6"/>
            </w:pPr>
          </w:p>
        </w:tc>
        <w:tc>
          <w:tcPr>
            <w:tcW w:w="1022" w:type="dxa"/>
            <w:vAlign w:val="top"/>
          </w:tcPr>
          <w:p w14:paraId="124402CF">
            <w:pPr>
              <w:pStyle w:val="6"/>
            </w:pPr>
          </w:p>
        </w:tc>
        <w:tc>
          <w:tcPr>
            <w:tcW w:w="1073" w:type="dxa"/>
            <w:vAlign w:val="top"/>
          </w:tcPr>
          <w:p w14:paraId="366B2169">
            <w:pPr>
              <w:pStyle w:val="6"/>
            </w:pPr>
          </w:p>
        </w:tc>
        <w:tc>
          <w:tcPr>
            <w:tcW w:w="1073" w:type="dxa"/>
            <w:vAlign w:val="top"/>
          </w:tcPr>
          <w:p w14:paraId="1786B075">
            <w:pPr>
              <w:pStyle w:val="6"/>
            </w:pPr>
          </w:p>
        </w:tc>
        <w:tc>
          <w:tcPr>
            <w:tcW w:w="1073" w:type="dxa"/>
            <w:vAlign w:val="top"/>
          </w:tcPr>
          <w:p w14:paraId="71DB8355">
            <w:pPr>
              <w:pStyle w:val="6"/>
            </w:pPr>
          </w:p>
        </w:tc>
        <w:tc>
          <w:tcPr>
            <w:tcW w:w="852" w:type="dxa"/>
            <w:vAlign w:val="top"/>
          </w:tcPr>
          <w:p w14:paraId="24C6641A">
            <w:pPr>
              <w:pStyle w:val="6"/>
            </w:pPr>
          </w:p>
        </w:tc>
        <w:tc>
          <w:tcPr>
            <w:tcW w:w="561" w:type="dxa"/>
            <w:vAlign w:val="top"/>
          </w:tcPr>
          <w:p w14:paraId="40B22A2E">
            <w:pPr>
              <w:pStyle w:val="6"/>
            </w:pPr>
          </w:p>
        </w:tc>
        <w:tc>
          <w:tcPr>
            <w:tcW w:w="561" w:type="dxa"/>
            <w:vAlign w:val="top"/>
          </w:tcPr>
          <w:p w14:paraId="5A4F8E95">
            <w:pPr>
              <w:pStyle w:val="6"/>
            </w:pPr>
          </w:p>
        </w:tc>
        <w:tc>
          <w:tcPr>
            <w:tcW w:w="561" w:type="dxa"/>
            <w:vAlign w:val="top"/>
          </w:tcPr>
          <w:p w14:paraId="0367BCCD">
            <w:pPr>
              <w:pStyle w:val="6"/>
            </w:pPr>
          </w:p>
        </w:tc>
        <w:tc>
          <w:tcPr>
            <w:tcW w:w="792" w:type="dxa"/>
            <w:vAlign w:val="top"/>
          </w:tcPr>
          <w:p w14:paraId="29BDF7F9">
            <w:pPr>
              <w:pStyle w:val="6"/>
            </w:pPr>
          </w:p>
        </w:tc>
        <w:tc>
          <w:tcPr>
            <w:tcW w:w="792" w:type="dxa"/>
            <w:vAlign w:val="top"/>
          </w:tcPr>
          <w:p w14:paraId="2B9BDA9F">
            <w:pPr>
              <w:pStyle w:val="6"/>
            </w:pPr>
          </w:p>
        </w:tc>
        <w:tc>
          <w:tcPr>
            <w:tcW w:w="852" w:type="dxa"/>
            <w:vAlign w:val="top"/>
          </w:tcPr>
          <w:p w14:paraId="423C6FA9">
            <w:pPr>
              <w:pStyle w:val="6"/>
            </w:pPr>
          </w:p>
        </w:tc>
        <w:tc>
          <w:tcPr>
            <w:tcW w:w="561" w:type="dxa"/>
            <w:vAlign w:val="top"/>
          </w:tcPr>
          <w:p w14:paraId="08BFCC33">
            <w:pPr>
              <w:pStyle w:val="6"/>
            </w:pPr>
          </w:p>
        </w:tc>
        <w:tc>
          <w:tcPr>
            <w:tcW w:w="561" w:type="dxa"/>
            <w:vAlign w:val="top"/>
          </w:tcPr>
          <w:p w14:paraId="3D77AA63">
            <w:pPr>
              <w:pStyle w:val="6"/>
            </w:pPr>
          </w:p>
        </w:tc>
        <w:tc>
          <w:tcPr>
            <w:tcW w:w="571" w:type="dxa"/>
            <w:vAlign w:val="top"/>
          </w:tcPr>
          <w:p w14:paraId="01C5BC92">
            <w:pPr>
              <w:pStyle w:val="6"/>
            </w:pPr>
          </w:p>
        </w:tc>
      </w:tr>
      <w:tr w14:paraId="6E07B8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2C4BA2A9">
            <w:pPr>
              <w:pStyle w:val="6"/>
            </w:pPr>
          </w:p>
        </w:tc>
        <w:tc>
          <w:tcPr>
            <w:tcW w:w="1023" w:type="dxa"/>
            <w:vAlign w:val="top"/>
          </w:tcPr>
          <w:p w14:paraId="4EE9C557">
            <w:pPr>
              <w:pStyle w:val="6"/>
            </w:pPr>
          </w:p>
        </w:tc>
        <w:tc>
          <w:tcPr>
            <w:tcW w:w="1022" w:type="dxa"/>
            <w:vAlign w:val="top"/>
          </w:tcPr>
          <w:p w14:paraId="75C1DA2D">
            <w:pPr>
              <w:pStyle w:val="6"/>
            </w:pPr>
          </w:p>
        </w:tc>
        <w:tc>
          <w:tcPr>
            <w:tcW w:w="1022" w:type="dxa"/>
            <w:vAlign w:val="top"/>
          </w:tcPr>
          <w:p w14:paraId="2B627B91">
            <w:pPr>
              <w:pStyle w:val="6"/>
            </w:pPr>
          </w:p>
        </w:tc>
        <w:tc>
          <w:tcPr>
            <w:tcW w:w="1073" w:type="dxa"/>
            <w:vAlign w:val="top"/>
          </w:tcPr>
          <w:p w14:paraId="46C69528">
            <w:pPr>
              <w:pStyle w:val="6"/>
            </w:pPr>
          </w:p>
        </w:tc>
        <w:tc>
          <w:tcPr>
            <w:tcW w:w="1073" w:type="dxa"/>
            <w:vAlign w:val="top"/>
          </w:tcPr>
          <w:p w14:paraId="0227E5C8">
            <w:pPr>
              <w:pStyle w:val="6"/>
            </w:pPr>
          </w:p>
        </w:tc>
        <w:tc>
          <w:tcPr>
            <w:tcW w:w="1073" w:type="dxa"/>
            <w:vAlign w:val="top"/>
          </w:tcPr>
          <w:p w14:paraId="14E2603F">
            <w:pPr>
              <w:pStyle w:val="6"/>
            </w:pPr>
          </w:p>
        </w:tc>
        <w:tc>
          <w:tcPr>
            <w:tcW w:w="852" w:type="dxa"/>
            <w:vAlign w:val="top"/>
          </w:tcPr>
          <w:p w14:paraId="7343EE1D">
            <w:pPr>
              <w:pStyle w:val="6"/>
            </w:pPr>
          </w:p>
        </w:tc>
        <w:tc>
          <w:tcPr>
            <w:tcW w:w="561" w:type="dxa"/>
            <w:vAlign w:val="top"/>
          </w:tcPr>
          <w:p w14:paraId="369B76E9">
            <w:pPr>
              <w:pStyle w:val="6"/>
            </w:pPr>
          </w:p>
        </w:tc>
        <w:tc>
          <w:tcPr>
            <w:tcW w:w="561" w:type="dxa"/>
            <w:vAlign w:val="top"/>
          </w:tcPr>
          <w:p w14:paraId="4DEF3103">
            <w:pPr>
              <w:pStyle w:val="6"/>
            </w:pPr>
          </w:p>
        </w:tc>
        <w:tc>
          <w:tcPr>
            <w:tcW w:w="561" w:type="dxa"/>
            <w:vAlign w:val="top"/>
          </w:tcPr>
          <w:p w14:paraId="05D8DE2A">
            <w:pPr>
              <w:pStyle w:val="6"/>
            </w:pPr>
          </w:p>
        </w:tc>
        <w:tc>
          <w:tcPr>
            <w:tcW w:w="792" w:type="dxa"/>
            <w:vAlign w:val="top"/>
          </w:tcPr>
          <w:p w14:paraId="2A6FA915">
            <w:pPr>
              <w:pStyle w:val="6"/>
            </w:pPr>
          </w:p>
        </w:tc>
        <w:tc>
          <w:tcPr>
            <w:tcW w:w="792" w:type="dxa"/>
            <w:vAlign w:val="top"/>
          </w:tcPr>
          <w:p w14:paraId="62E1169B">
            <w:pPr>
              <w:pStyle w:val="6"/>
            </w:pPr>
          </w:p>
        </w:tc>
        <w:tc>
          <w:tcPr>
            <w:tcW w:w="852" w:type="dxa"/>
            <w:vAlign w:val="top"/>
          </w:tcPr>
          <w:p w14:paraId="4E4D15A9">
            <w:pPr>
              <w:pStyle w:val="6"/>
            </w:pPr>
          </w:p>
        </w:tc>
        <w:tc>
          <w:tcPr>
            <w:tcW w:w="561" w:type="dxa"/>
            <w:vAlign w:val="top"/>
          </w:tcPr>
          <w:p w14:paraId="28E51C34">
            <w:pPr>
              <w:pStyle w:val="6"/>
            </w:pPr>
          </w:p>
        </w:tc>
        <w:tc>
          <w:tcPr>
            <w:tcW w:w="561" w:type="dxa"/>
            <w:vAlign w:val="top"/>
          </w:tcPr>
          <w:p w14:paraId="3C1AA0EA">
            <w:pPr>
              <w:pStyle w:val="6"/>
            </w:pPr>
          </w:p>
        </w:tc>
        <w:tc>
          <w:tcPr>
            <w:tcW w:w="571" w:type="dxa"/>
            <w:vAlign w:val="top"/>
          </w:tcPr>
          <w:p w14:paraId="17A0EB96">
            <w:pPr>
              <w:pStyle w:val="6"/>
            </w:pPr>
          </w:p>
        </w:tc>
      </w:tr>
      <w:tr w14:paraId="1159B2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706DAD91">
            <w:pPr>
              <w:pStyle w:val="6"/>
            </w:pPr>
          </w:p>
        </w:tc>
        <w:tc>
          <w:tcPr>
            <w:tcW w:w="1023" w:type="dxa"/>
            <w:vAlign w:val="top"/>
          </w:tcPr>
          <w:p w14:paraId="7ACFD4D6">
            <w:pPr>
              <w:pStyle w:val="6"/>
            </w:pPr>
          </w:p>
        </w:tc>
        <w:tc>
          <w:tcPr>
            <w:tcW w:w="1022" w:type="dxa"/>
            <w:vAlign w:val="top"/>
          </w:tcPr>
          <w:p w14:paraId="6BC46B98">
            <w:pPr>
              <w:pStyle w:val="6"/>
            </w:pPr>
          </w:p>
        </w:tc>
        <w:tc>
          <w:tcPr>
            <w:tcW w:w="1022" w:type="dxa"/>
            <w:vAlign w:val="top"/>
          </w:tcPr>
          <w:p w14:paraId="56CC7C85">
            <w:pPr>
              <w:pStyle w:val="6"/>
            </w:pPr>
          </w:p>
        </w:tc>
        <w:tc>
          <w:tcPr>
            <w:tcW w:w="1073" w:type="dxa"/>
            <w:vAlign w:val="top"/>
          </w:tcPr>
          <w:p w14:paraId="7DC1AC23">
            <w:pPr>
              <w:pStyle w:val="6"/>
            </w:pPr>
          </w:p>
        </w:tc>
        <w:tc>
          <w:tcPr>
            <w:tcW w:w="1073" w:type="dxa"/>
            <w:vAlign w:val="top"/>
          </w:tcPr>
          <w:p w14:paraId="5ECD63C0">
            <w:pPr>
              <w:pStyle w:val="6"/>
            </w:pPr>
          </w:p>
        </w:tc>
        <w:tc>
          <w:tcPr>
            <w:tcW w:w="1073" w:type="dxa"/>
            <w:vAlign w:val="top"/>
          </w:tcPr>
          <w:p w14:paraId="682FD70E">
            <w:pPr>
              <w:pStyle w:val="6"/>
            </w:pPr>
          </w:p>
        </w:tc>
        <w:tc>
          <w:tcPr>
            <w:tcW w:w="852" w:type="dxa"/>
            <w:vAlign w:val="top"/>
          </w:tcPr>
          <w:p w14:paraId="43FC30EA">
            <w:pPr>
              <w:pStyle w:val="6"/>
            </w:pPr>
          </w:p>
        </w:tc>
        <w:tc>
          <w:tcPr>
            <w:tcW w:w="561" w:type="dxa"/>
            <w:vAlign w:val="top"/>
          </w:tcPr>
          <w:p w14:paraId="6E029F11">
            <w:pPr>
              <w:pStyle w:val="6"/>
            </w:pPr>
          </w:p>
        </w:tc>
        <w:tc>
          <w:tcPr>
            <w:tcW w:w="561" w:type="dxa"/>
            <w:vAlign w:val="top"/>
          </w:tcPr>
          <w:p w14:paraId="42B7A89A">
            <w:pPr>
              <w:pStyle w:val="6"/>
            </w:pPr>
          </w:p>
        </w:tc>
        <w:tc>
          <w:tcPr>
            <w:tcW w:w="561" w:type="dxa"/>
            <w:vAlign w:val="top"/>
          </w:tcPr>
          <w:p w14:paraId="48721CA5">
            <w:pPr>
              <w:pStyle w:val="6"/>
            </w:pPr>
          </w:p>
        </w:tc>
        <w:tc>
          <w:tcPr>
            <w:tcW w:w="792" w:type="dxa"/>
            <w:vAlign w:val="top"/>
          </w:tcPr>
          <w:p w14:paraId="1170DFA7">
            <w:pPr>
              <w:pStyle w:val="6"/>
            </w:pPr>
          </w:p>
        </w:tc>
        <w:tc>
          <w:tcPr>
            <w:tcW w:w="792" w:type="dxa"/>
            <w:vAlign w:val="top"/>
          </w:tcPr>
          <w:p w14:paraId="1D4DFA0F">
            <w:pPr>
              <w:pStyle w:val="6"/>
            </w:pPr>
          </w:p>
        </w:tc>
        <w:tc>
          <w:tcPr>
            <w:tcW w:w="852" w:type="dxa"/>
            <w:vAlign w:val="top"/>
          </w:tcPr>
          <w:p w14:paraId="25898BF7">
            <w:pPr>
              <w:pStyle w:val="6"/>
            </w:pPr>
          </w:p>
        </w:tc>
        <w:tc>
          <w:tcPr>
            <w:tcW w:w="561" w:type="dxa"/>
            <w:vAlign w:val="top"/>
          </w:tcPr>
          <w:p w14:paraId="5080E701">
            <w:pPr>
              <w:pStyle w:val="6"/>
            </w:pPr>
          </w:p>
        </w:tc>
        <w:tc>
          <w:tcPr>
            <w:tcW w:w="561" w:type="dxa"/>
            <w:vAlign w:val="top"/>
          </w:tcPr>
          <w:p w14:paraId="5C2FC1DA">
            <w:pPr>
              <w:pStyle w:val="6"/>
            </w:pPr>
          </w:p>
        </w:tc>
        <w:tc>
          <w:tcPr>
            <w:tcW w:w="571" w:type="dxa"/>
            <w:vAlign w:val="top"/>
          </w:tcPr>
          <w:p w14:paraId="6FC8B35C">
            <w:pPr>
              <w:pStyle w:val="6"/>
            </w:pPr>
          </w:p>
        </w:tc>
      </w:tr>
      <w:tr w14:paraId="17227D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5" w:hRule="atLeast"/>
        </w:trPr>
        <w:tc>
          <w:tcPr>
            <w:tcW w:w="1313" w:type="dxa"/>
            <w:vAlign w:val="top"/>
          </w:tcPr>
          <w:p w14:paraId="5BE8340B">
            <w:pPr>
              <w:pStyle w:val="6"/>
            </w:pPr>
          </w:p>
        </w:tc>
        <w:tc>
          <w:tcPr>
            <w:tcW w:w="1023" w:type="dxa"/>
            <w:vAlign w:val="top"/>
          </w:tcPr>
          <w:p w14:paraId="33CAD2B6">
            <w:pPr>
              <w:pStyle w:val="6"/>
            </w:pPr>
          </w:p>
        </w:tc>
        <w:tc>
          <w:tcPr>
            <w:tcW w:w="1022" w:type="dxa"/>
            <w:vAlign w:val="top"/>
          </w:tcPr>
          <w:p w14:paraId="3CBAED1D">
            <w:pPr>
              <w:pStyle w:val="6"/>
            </w:pPr>
          </w:p>
        </w:tc>
        <w:tc>
          <w:tcPr>
            <w:tcW w:w="1022" w:type="dxa"/>
            <w:vAlign w:val="top"/>
          </w:tcPr>
          <w:p w14:paraId="4A8113BE">
            <w:pPr>
              <w:pStyle w:val="6"/>
            </w:pPr>
          </w:p>
        </w:tc>
        <w:tc>
          <w:tcPr>
            <w:tcW w:w="1073" w:type="dxa"/>
            <w:vAlign w:val="top"/>
          </w:tcPr>
          <w:p w14:paraId="4B380821">
            <w:pPr>
              <w:pStyle w:val="6"/>
            </w:pPr>
          </w:p>
        </w:tc>
        <w:tc>
          <w:tcPr>
            <w:tcW w:w="1073" w:type="dxa"/>
            <w:vAlign w:val="top"/>
          </w:tcPr>
          <w:p w14:paraId="7ABE438A">
            <w:pPr>
              <w:pStyle w:val="6"/>
            </w:pPr>
          </w:p>
        </w:tc>
        <w:tc>
          <w:tcPr>
            <w:tcW w:w="1073" w:type="dxa"/>
            <w:vAlign w:val="top"/>
          </w:tcPr>
          <w:p w14:paraId="09C59C02">
            <w:pPr>
              <w:pStyle w:val="6"/>
            </w:pPr>
          </w:p>
        </w:tc>
        <w:tc>
          <w:tcPr>
            <w:tcW w:w="852" w:type="dxa"/>
            <w:vAlign w:val="top"/>
          </w:tcPr>
          <w:p w14:paraId="2F694057">
            <w:pPr>
              <w:pStyle w:val="6"/>
            </w:pPr>
          </w:p>
        </w:tc>
        <w:tc>
          <w:tcPr>
            <w:tcW w:w="561" w:type="dxa"/>
            <w:vAlign w:val="top"/>
          </w:tcPr>
          <w:p w14:paraId="01A086E3">
            <w:pPr>
              <w:pStyle w:val="6"/>
            </w:pPr>
          </w:p>
        </w:tc>
        <w:tc>
          <w:tcPr>
            <w:tcW w:w="561" w:type="dxa"/>
            <w:vAlign w:val="top"/>
          </w:tcPr>
          <w:p w14:paraId="13701D4C">
            <w:pPr>
              <w:pStyle w:val="6"/>
            </w:pPr>
          </w:p>
        </w:tc>
        <w:tc>
          <w:tcPr>
            <w:tcW w:w="561" w:type="dxa"/>
            <w:vAlign w:val="top"/>
          </w:tcPr>
          <w:p w14:paraId="34B9DD16">
            <w:pPr>
              <w:pStyle w:val="6"/>
            </w:pPr>
          </w:p>
        </w:tc>
        <w:tc>
          <w:tcPr>
            <w:tcW w:w="792" w:type="dxa"/>
            <w:vAlign w:val="top"/>
          </w:tcPr>
          <w:p w14:paraId="67E976FB">
            <w:pPr>
              <w:pStyle w:val="6"/>
            </w:pPr>
          </w:p>
        </w:tc>
        <w:tc>
          <w:tcPr>
            <w:tcW w:w="792" w:type="dxa"/>
            <w:vAlign w:val="top"/>
          </w:tcPr>
          <w:p w14:paraId="1062086C">
            <w:pPr>
              <w:pStyle w:val="6"/>
            </w:pPr>
          </w:p>
        </w:tc>
        <w:tc>
          <w:tcPr>
            <w:tcW w:w="852" w:type="dxa"/>
            <w:vAlign w:val="top"/>
          </w:tcPr>
          <w:p w14:paraId="75B8E699">
            <w:pPr>
              <w:pStyle w:val="6"/>
            </w:pPr>
          </w:p>
        </w:tc>
        <w:tc>
          <w:tcPr>
            <w:tcW w:w="561" w:type="dxa"/>
            <w:vAlign w:val="top"/>
          </w:tcPr>
          <w:p w14:paraId="12E26048">
            <w:pPr>
              <w:pStyle w:val="6"/>
            </w:pPr>
          </w:p>
        </w:tc>
        <w:tc>
          <w:tcPr>
            <w:tcW w:w="561" w:type="dxa"/>
            <w:vAlign w:val="top"/>
          </w:tcPr>
          <w:p w14:paraId="63B0AAD4">
            <w:pPr>
              <w:pStyle w:val="6"/>
            </w:pPr>
          </w:p>
        </w:tc>
        <w:tc>
          <w:tcPr>
            <w:tcW w:w="571" w:type="dxa"/>
            <w:vAlign w:val="top"/>
          </w:tcPr>
          <w:p w14:paraId="51181C46">
            <w:pPr>
              <w:pStyle w:val="6"/>
            </w:pPr>
          </w:p>
        </w:tc>
      </w:tr>
      <w:tr w14:paraId="3A88BC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4" w:hRule="atLeast"/>
        </w:trPr>
        <w:tc>
          <w:tcPr>
            <w:tcW w:w="1313" w:type="dxa"/>
            <w:vAlign w:val="top"/>
          </w:tcPr>
          <w:p w14:paraId="1619D7FD">
            <w:pPr>
              <w:pStyle w:val="6"/>
            </w:pPr>
          </w:p>
        </w:tc>
        <w:tc>
          <w:tcPr>
            <w:tcW w:w="1023" w:type="dxa"/>
            <w:vAlign w:val="top"/>
          </w:tcPr>
          <w:p w14:paraId="78D415D4">
            <w:pPr>
              <w:pStyle w:val="6"/>
            </w:pPr>
          </w:p>
        </w:tc>
        <w:tc>
          <w:tcPr>
            <w:tcW w:w="1022" w:type="dxa"/>
            <w:vAlign w:val="top"/>
          </w:tcPr>
          <w:p w14:paraId="22076F78">
            <w:pPr>
              <w:pStyle w:val="6"/>
            </w:pPr>
          </w:p>
        </w:tc>
        <w:tc>
          <w:tcPr>
            <w:tcW w:w="1022" w:type="dxa"/>
            <w:vAlign w:val="top"/>
          </w:tcPr>
          <w:p w14:paraId="07A789D0">
            <w:pPr>
              <w:pStyle w:val="6"/>
            </w:pPr>
          </w:p>
        </w:tc>
        <w:tc>
          <w:tcPr>
            <w:tcW w:w="1073" w:type="dxa"/>
            <w:vAlign w:val="top"/>
          </w:tcPr>
          <w:p w14:paraId="67A3049F">
            <w:pPr>
              <w:pStyle w:val="6"/>
            </w:pPr>
          </w:p>
        </w:tc>
        <w:tc>
          <w:tcPr>
            <w:tcW w:w="1073" w:type="dxa"/>
            <w:vAlign w:val="top"/>
          </w:tcPr>
          <w:p w14:paraId="53774471">
            <w:pPr>
              <w:pStyle w:val="6"/>
            </w:pPr>
          </w:p>
        </w:tc>
        <w:tc>
          <w:tcPr>
            <w:tcW w:w="1073" w:type="dxa"/>
            <w:vAlign w:val="top"/>
          </w:tcPr>
          <w:p w14:paraId="1AC704E2">
            <w:pPr>
              <w:pStyle w:val="6"/>
            </w:pPr>
          </w:p>
        </w:tc>
        <w:tc>
          <w:tcPr>
            <w:tcW w:w="852" w:type="dxa"/>
            <w:vAlign w:val="top"/>
          </w:tcPr>
          <w:p w14:paraId="6B5E9F7A">
            <w:pPr>
              <w:pStyle w:val="6"/>
            </w:pPr>
          </w:p>
        </w:tc>
        <w:tc>
          <w:tcPr>
            <w:tcW w:w="561" w:type="dxa"/>
            <w:vAlign w:val="top"/>
          </w:tcPr>
          <w:p w14:paraId="1D92D0F4">
            <w:pPr>
              <w:pStyle w:val="6"/>
            </w:pPr>
          </w:p>
        </w:tc>
        <w:tc>
          <w:tcPr>
            <w:tcW w:w="561" w:type="dxa"/>
            <w:vAlign w:val="top"/>
          </w:tcPr>
          <w:p w14:paraId="09882EC2">
            <w:pPr>
              <w:pStyle w:val="6"/>
            </w:pPr>
          </w:p>
        </w:tc>
        <w:tc>
          <w:tcPr>
            <w:tcW w:w="561" w:type="dxa"/>
            <w:vAlign w:val="top"/>
          </w:tcPr>
          <w:p w14:paraId="627B8737">
            <w:pPr>
              <w:pStyle w:val="6"/>
            </w:pPr>
          </w:p>
        </w:tc>
        <w:tc>
          <w:tcPr>
            <w:tcW w:w="792" w:type="dxa"/>
            <w:vAlign w:val="top"/>
          </w:tcPr>
          <w:p w14:paraId="6F440FEC">
            <w:pPr>
              <w:pStyle w:val="6"/>
            </w:pPr>
          </w:p>
        </w:tc>
        <w:tc>
          <w:tcPr>
            <w:tcW w:w="792" w:type="dxa"/>
            <w:vAlign w:val="top"/>
          </w:tcPr>
          <w:p w14:paraId="72A0C5D1">
            <w:pPr>
              <w:pStyle w:val="6"/>
            </w:pPr>
          </w:p>
        </w:tc>
        <w:tc>
          <w:tcPr>
            <w:tcW w:w="852" w:type="dxa"/>
            <w:vAlign w:val="top"/>
          </w:tcPr>
          <w:p w14:paraId="47918DC5">
            <w:pPr>
              <w:pStyle w:val="6"/>
            </w:pPr>
          </w:p>
        </w:tc>
        <w:tc>
          <w:tcPr>
            <w:tcW w:w="561" w:type="dxa"/>
            <w:vAlign w:val="top"/>
          </w:tcPr>
          <w:p w14:paraId="177514A5">
            <w:pPr>
              <w:pStyle w:val="6"/>
            </w:pPr>
          </w:p>
        </w:tc>
        <w:tc>
          <w:tcPr>
            <w:tcW w:w="561" w:type="dxa"/>
            <w:vAlign w:val="top"/>
          </w:tcPr>
          <w:p w14:paraId="233D7C28">
            <w:pPr>
              <w:pStyle w:val="6"/>
            </w:pPr>
          </w:p>
        </w:tc>
        <w:tc>
          <w:tcPr>
            <w:tcW w:w="571" w:type="dxa"/>
            <w:vAlign w:val="top"/>
          </w:tcPr>
          <w:p w14:paraId="495F3168">
            <w:pPr>
              <w:pStyle w:val="6"/>
            </w:pPr>
          </w:p>
        </w:tc>
      </w:tr>
      <w:tr w14:paraId="7DB2C4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5" w:hRule="atLeast"/>
        </w:trPr>
        <w:tc>
          <w:tcPr>
            <w:tcW w:w="1313" w:type="dxa"/>
            <w:vAlign w:val="top"/>
          </w:tcPr>
          <w:p w14:paraId="639CB17B">
            <w:pPr>
              <w:pStyle w:val="6"/>
            </w:pPr>
          </w:p>
        </w:tc>
        <w:tc>
          <w:tcPr>
            <w:tcW w:w="1023" w:type="dxa"/>
            <w:vAlign w:val="top"/>
          </w:tcPr>
          <w:p w14:paraId="2FD0959C">
            <w:pPr>
              <w:pStyle w:val="6"/>
            </w:pPr>
          </w:p>
        </w:tc>
        <w:tc>
          <w:tcPr>
            <w:tcW w:w="1022" w:type="dxa"/>
            <w:vAlign w:val="top"/>
          </w:tcPr>
          <w:p w14:paraId="6434CC46">
            <w:pPr>
              <w:pStyle w:val="6"/>
            </w:pPr>
          </w:p>
        </w:tc>
        <w:tc>
          <w:tcPr>
            <w:tcW w:w="1022" w:type="dxa"/>
            <w:vAlign w:val="top"/>
          </w:tcPr>
          <w:p w14:paraId="089983DA">
            <w:pPr>
              <w:pStyle w:val="6"/>
            </w:pPr>
          </w:p>
        </w:tc>
        <w:tc>
          <w:tcPr>
            <w:tcW w:w="1073" w:type="dxa"/>
            <w:vAlign w:val="top"/>
          </w:tcPr>
          <w:p w14:paraId="2610D618">
            <w:pPr>
              <w:pStyle w:val="6"/>
            </w:pPr>
          </w:p>
        </w:tc>
        <w:tc>
          <w:tcPr>
            <w:tcW w:w="1073" w:type="dxa"/>
            <w:vAlign w:val="top"/>
          </w:tcPr>
          <w:p w14:paraId="766ACE89">
            <w:pPr>
              <w:pStyle w:val="6"/>
            </w:pPr>
          </w:p>
        </w:tc>
        <w:tc>
          <w:tcPr>
            <w:tcW w:w="1073" w:type="dxa"/>
            <w:vAlign w:val="top"/>
          </w:tcPr>
          <w:p w14:paraId="6071E13D">
            <w:pPr>
              <w:pStyle w:val="6"/>
            </w:pPr>
          </w:p>
        </w:tc>
        <w:tc>
          <w:tcPr>
            <w:tcW w:w="852" w:type="dxa"/>
            <w:vAlign w:val="top"/>
          </w:tcPr>
          <w:p w14:paraId="7C4C9B75">
            <w:pPr>
              <w:pStyle w:val="6"/>
            </w:pPr>
          </w:p>
        </w:tc>
        <w:tc>
          <w:tcPr>
            <w:tcW w:w="561" w:type="dxa"/>
            <w:vAlign w:val="top"/>
          </w:tcPr>
          <w:p w14:paraId="5384A1DE">
            <w:pPr>
              <w:pStyle w:val="6"/>
            </w:pPr>
          </w:p>
        </w:tc>
        <w:tc>
          <w:tcPr>
            <w:tcW w:w="561" w:type="dxa"/>
            <w:vAlign w:val="top"/>
          </w:tcPr>
          <w:p w14:paraId="48273892">
            <w:pPr>
              <w:pStyle w:val="6"/>
            </w:pPr>
          </w:p>
        </w:tc>
        <w:tc>
          <w:tcPr>
            <w:tcW w:w="561" w:type="dxa"/>
            <w:vAlign w:val="top"/>
          </w:tcPr>
          <w:p w14:paraId="730C15A8">
            <w:pPr>
              <w:pStyle w:val="6"/>
            </w:pPr>
          </w:p>
        </w:tc>
        <w:tc>
          <w:tcPr>
            <w:tcW w:w="792" w:type="dxa"/>
            <w:vAlign w:val="top"/>
          </w:tcPr>
          <w:p w14:paraId="7A7DEF3C">
            <w:pPr>
              <w:pStyle w:val="6"/>
            </w:pPr>
          </w:p>
        </w:tc>
        <w:tc>
          <w:tcPr>
            <w:tcW w:w="792" w:type="dxa"/>
            <w:vAlign w:val="top"/>
          </w:tcPr>
          <w:p w14:paraId="79E23BE7">
            <w:pPr>
              <w:pStyle w:val="6"/>
            </w:pPr>
          </w:p>
        </w:tc>
        <w:tc>
          <w:tcPr>
            <w:tcW w:w="852" w:type="dxa"/>
            <w:vAlign w:val="top"/>
          </w:tcPr>
          <w:p w14:paraId="4AAF20F6">
            <w:pPr>
              <w:pStyle w:val="6"/>
            </w:pPr>
          </w:p>
        </w:tc>
        <w:tc>
          <w:tcPr>
            <w:tcW w:w="561" w:type="dxa"/>
            <w:vAlign w:val="top"/>
          </w:tcPr>
          <w:p w14:paraId="76758390">
            <w:pPr>
              <w:pStyle w:val="6"/>
            </w:pPr>
          </w:p>
        </w:tc>
        <w:tc>
          <w:tcPr>
            <w:tcW w:w="561" w:type="dxa"/>
            <w:vAlign w:val="top"/>
          </w:tcPr>
          <w:p w14:paraId="34B52633">
            <w:pPr>
              <w:pStyle w:val="6"/>
            </w:pPr>
          </w:p>
        </w:tc>
        <w:tc>
          <w:tcPr>
            <w:tcW w:w="571" w:type="dxa"/>
            <w:vAlign w:val="top"/>
          </w:tcPr>
          <w:p w14:paraId="0E15C275">
            <w:pPr>
              <w:pStyle w:val="6"/>
            </w:pPr>
          </w:p>
        </w:tc>
      </w:tr>
      <w:tr w14:paraId="4F886A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4" w:hRule="atLeast"/>
        </w:trPr>
        <w:tc>
          <w:tcPr>
            <w:tcW w:w="1313" w:type="dxa"/>
            <w:vAlign w:val="top"/>
          </w:tcPr>
          <w:p w14:paraId="5E6FD765">
            <w:pPr>
              <w:pStyle w:val="6"/>
            </w:pPr>
          </w:p>
        </w:tc>
        <w:tc>
          <w:tcPr>
            <w:tcW w:w="1023" w:type="dxa"/>
            <w:vAlign w:val="top"/>
          </w:tcPr>
          <w:p w14:paraId="0AA2310B">
            <w:pPr>
              <w:pStyle w:val="6"/>
            </w:pPr>
          </w:p>
        </w:tc>
        <w:tc>
          <w:tcPr>
            <w:tcW w:w="1022" w:type="dxa"/>
            <w:vAlign w:val="top"/>
          </w:tcPr>
          <w:p w14:paraId="1391905E">
            <w:pPr>
              <w:pStyle w:val="6"/>
            </w:pPr>
          </w:p>
        </w:tc>
        <w:tc>
          <w:tcPr>
            <w:tcW w:w="1022" w:type="dxa"/>
            <w:vAlign w:val="top"/>
          </w:tcPr>
          <w:p w14:paraId="2B5436F7">
            <w:pPr>
              <w:pStyle w:val="6"/>
            </w:pPr>
          </w:p>
        </w:tc>
        <w:tc>
          <w:tcPr>
            <w:tcW w:w="1073" w:type="dxa"/>
            <w:vAlign w:val="top"/>
          </w:tcPr>
          <w:p w14:paraId="2EC058C6">
            <w:pPr>
              <w:pStyle w:val="6"/>
            </w:pPr>
          </w:p>
        </w:tc>
        <w:tc>
          <w:tcPr>
            <w:tcW w:w="1073" w:type="dxa"/>
            <w:vAlign w:val="top"/>
          </w:tcPr>
          <w:p w14:paraId="558C3DCE">
            <w:pPr>
              <w:pStyle w:val="6"/>
            </w:pPr>
          </w:p>
        </w:tc>
        <w:tc>
          <w:tcPr>
            <w:tcW w:w="1073" w:type="dxa"/>
            <w:vAlign w:val="top"/>
          </w:tcPr>
          <w:p w14:paraId="4DABF54F">
            <w:pPr>
              <w:pStyle w:val="6"/>
            </w:pPr>
          </w:p>
        </w:tc>
        <w:tc>
          <w:tcPr>
            <w:tcW w:w="852" w:type="dxa"/>
            <w:vAlign w:val="top"/>
          </w:tcPr>
          <w:p w14:paraId="441D9C4B">
            <w:pPr>
              <w:pStyle w:val="6"/>
            </w:pPr>
          </w:p>
        </w:tc>
        <w:tc>
          <w:tcPr>
            <w:tcW w:w="561" w:type="dxa"/>
            <w:vAlign w:val="top"/>
          </w:tcPr>
          <w:p w14:paraId="2C2E040F">
            <w:pPr>
              <w:pStyle w:val="6"/>
            </w:pPr>
          </w:p>
        </w:tc>
        <w:tc>
          <w:tcPr>
            <w:tcW w:w="561" w:type="dxa"/>
            <w:vAlign w:val="top"/>
          </w:tcPr>
          <w:p w14:paraId="5E90040D">
            <w:pPr>
              <w:pStyle w:val="6"/>
            </w:pPr>
          </w:p>
        </w:tc>
        <w:tc>
          <w:tcPr>
            <w:tcW w:w="561" w:type="dxa"/>
            <w:vAlign w:val="top"/>
          </w:tcPr>
          <w:p w14:paraId="544C13D9">
            <w:pPr>
              <w:pStyle w:val="6"/>
            </w:pPr>
          </w:p>
        </w:tc>
        <w:tc>
          <w:tcPr>
            <w:tcW w:w="792" w:type="dxa"/>
            <w:vAlign w:val="top"/>
          </w:tcPr>
          <w:p w14:paraId="7885EA16">
            <w:pPr>
              <w:pStyle w:val="6"/>
            </w:pPr>
          </w:p>
        </w:tc>
        <w:tc>
          <w:tcPr>
            <w:tcW w:w="792" w:type="dxa"/>
            <w:vAlign w:val="top"/>
          </w:tcPr>
          <w:p w14:paraId="57BFFA9B">
            <w:pPr>
              <w:pStyle w:val="6"/>
            </w:pPr>
          </w:p>
        </w:tc>
        <w:tc>
          <w:tcPr>
            <w:tcW w:w="852" w:type="dxa"/>
            <w:vAlign w:val="top"/>
          </w:tcPr>
          <w:p w14:paraId="20BC07E2">
            <w:pPr>
              <w:pStyle w:val="6"/>
            </w:pPr>
          </w:p>
        </w:tc>
        <w:tc>
          <w:tcPr>
            <w:tcW w:w="561" w:type="dxa"/>
            <w:vAlign w:val="top"/>
          </w:tcPr>
          <w:p w14:paraId="7B7FDB66">
            <w:pPr>
              <w:pStyle w:val="6"/>
            </w:pPr>
          </w:p>
        </w:tc>
        <w:tc>
          <w:tcPr>
            <w:tcW w:w="561" w:type="dxa"/>
            <w:vAlign w:val="top"/>
          </w:tcPr>
          <w:p w14:paraId="06D1D6B8">
            <w:pPr>
              <w:pStyle w:val="6"/>
            </w:pPr>
          </w:p>
        </w:tc>
        <w:tc>
          <w:tcPr>
            <w:tcW w:w="571" w:type="dxa"/>
            <w:vAlign w:val="top"/>
          </w:tcPr>
          <w:p w14:paraId="6FE1634A">
            <w:pPr>
              <w:pStyle w:val="6"/>
            </w:pPr>
          </w:p>
        </w:tc>
      </w:tr>
    </w:tbl>
    <w:p w14:paraId="1E6C6C67">
      <w:pPr>
        <w:rPr>
          <w:rFonts w:ascii="Arial"/>
          <w:sz w:val="21"/>
        </w:rPr>
      </w:pPr>
    </w:p>
    <w:p w14:paraId="33F42B14">
      <w:pPr>
        <w:rPr>
          <w:rFonts w:ascii="Arial" w:hAnsi="Arial" w:eastAsia="Arial" w:cs="Arial"/>
          <w:sz w:val="21"/>
          <w:szCs w:val="21"/>
        </w:rPr>
        <w:sectPr>
          <w:pgSz w:w="16840" w:h="11905"/>
          <w:pgMar w:top="911" w:right="1290" w:bottom="400" w:left="1270" w:header="0" w:footer="0" w:gutter="0"/>
          <w:cols w:space="720" w:num="1"/>
        </w:sectPr>
      </w:pPr>
    </w:p>
    <w:p w14:paraId="592B975D">
      <w:pPr>
        <w:spacing w:before="79" w:line="225" w:lineRule="auto"/>
        <w:outlineLvl w:val="2"/>
        <w:rPr>
          <w:rFonts w:ascii="宋体" w:hAnsi="宋体" w:eastAsia="宋体" w:cs="宋体"/>
          <w:b/>
          <w:bCs/>
          <w:spacing w:val="5"/>
          <w:sz w:val="39"/>
          <w:szCs w:val="39"/>
        </w:rPr>
      </w:pPr>
      <w:r>
        <w:rPr>
          <w:rFonts w:ascii="宋体" w:hAnsi="宋体" w:eastAsia="宋体" w:cs="宋体"/>
          <w:b/>
          <w:bCs/>
          <w:spacing w:val="5"/>
          <w:sz w:val="39"/>
          <w:szCs w:val="39"/>
        </w:rPr>
        <w:object>
          <v:shape id="_x0000_i1034" o:spt="75" type="#_x0000_t75" style="height:486.1pt;width:715.9pt;" o:ole="t" filled="f" o:preferrelative="t" stroked="f" coordsize="21600,21600">
            <v:path/>
            <v:fill on="f" focussize="0,0"/>
            <v:stroke on="f"/>
            <v:imagedata r:id="rId33" o:title=""/>
            <o:lock v:ext="edit" aspectratio="f"/>
            <w10:wrap type="none"/>
            <w10:anchorlock/>
          </v:shape>
          <o:OLEObject Type="Embed" ProgID="Excel.Sheet.12" ShapeID="_x0000_i1034" DrawAspect="Content" ObjectID="_1468075734" r:id="rId32">
            <o:LockedField>false</o:LockedField>
          </o:OLEObject>
        </w:object>
      </w:r>
    </w:p>
    <w:p w14:paraId="78B8ED31">
      <w:pPr>
        <w:spacing w:before="79" w:line="225" w:lineRule="auto"/>
        <w:outlineLvl w:val="2"/>
        <w:rPr>
          <w:rFonts w:ascii="宋体" w:hAnsi="宋体" w:eastAsia="宋体" w:cs="宋体"/>
          <w:b/>
          <w:bCs/>
          <w:spacing w:val="5"/>
          <w:sz w:val="39"/>
          <w:szCs w:val="39"/>
        </w:rPr>
      </w:pPr>
    </w:p>
    <w:p w14:paraId="2C82D650">
      <w:pPr>
        <w:spacing w:before="79" w:line="225" w:lineRule="auto"/>
        <w:outlineLvl w:val="2"/>
        <w:rPr>
          <w:rFonts w:ascii="宋体" w:hAnsi="宋体" w:eastAsia="宋体" w:cs="宋体"/>
          <w:b/>
          <w:bCs/>
          <w:spacing w:val="5"/>
          <w:sz w:val="39"/>
          <w:szCs w:val="39"/>
        </w:rPr>
      </w:pPr>
    </w:p>
    <w:p w14:paraId="4730082C">
      <w:pPr>
        <w:spacing w:before="79" w:line="225" w:lineRule="auto"/>
        <w:outlineLvl w:val="2"/>
        <w:rPr>
          <w:rFonts w:ascii="宋体" w:hAnsi="宋体" w:eastAsia="宋体" w:cs="宋体"/>
          <w:b/>
          <w:bCs/>
          <w:spacing w:val="5"/>
          <w:sz w:val="39"/>
          <w:szCs w:val="39"/>
        </w:rPr>
      </w:pPr>
      <w:r>
        <w:rPr>
          <w:rFonts w:ascii="宋体" w:hAnsi="宋体" w:eastAsia="宋体" w:cs="宋体"/>
          <w:b/>
          <w:bCs/>
          <w:spacing w:val="5"/>
          <w:sz w:val="39"/>
          <w:szCs w:val="39"/>
        </w:rPr>
        <w:object>
          <v:shape id="_x0000_i1035" o:spt="75" type="#_x0000_t75" style="height:475.5pt;width:715.9pt;" o:ole="t" filled="f" o:preferrelative="t" stroked="f" coordsize="21600,21600">
            <v:path/>
            <v:fill on="f" focussize="0,0"/>
            <v:stroke on="f"/>
            <v:imagedata r:id="rId35" o:title=""/>
            <o:lock v:ext="edit" aspectratio="f"/>
            <w10:wrap type="none"/>
            <w10:anchorlock/>
          </v:shape>
          <o:OLEObject Type="Embed" ProgID="Excel.Sheet.12" ShapeID="_x0000_i1035" DrawAspect="Content" ObjectID="_1468075735" r:id="rId34">
            <o:LockedField>false</o:LockedField>
          </o:OLEObject>
        </w:object>
      </w:r>
    </w:p>
    <w:p w14:paraId="60B28012">
      <w:pPr>
        <w:spacing w:before="79" w:line="225" w:lineRule="auto"/>
        <w:outlineLvl w:val="2"/>
        <w:rPr>
          <w:rFonts w:ascii="宋体" w:hAnsi="宋体" w:eastAsia="宋体" w:cs="宋体"/>
          <w:b/>
          <w:bCs/>
          <w:spacing w:val="5"/>
          <w:sz w:val="39"/>
          <w:szCs w:val="39"/>
        </w:rPr>
      </w:pPr>
    </w:p>
    <w:p w14:paraId="1515764B">
      <w:pPr>
        <w:spacing w:before="79" w:line="225" w:lineRule="auto"/>
        <w:outlineLvl w:val="2"/>
        <w:rPr>
          <w:rFonts w:ascii="宋体" w:hAnsi="宋体" w:eastAsia="宋体" w:cs="宋体"/>
          <w:b/>
          <w:bCs/>
          <w:spacing w:val="5"/>
          <w:sz w:val="39"/>
          <w:szCs w:val="39"/>
        </w:rPr>
      </w:pPr>
    </w:p>
    <w:p w14:paraId="34C3FB83">
      <w:pPr>
        <w:spacing w:before="79" w:line="225" w:lineRule="auto"/>
        <w:outlineLvl w:val="2"/>
        <w:rPr>
          <w:rFonts w:ascii="宋体" w:hAnsi="宋体" w:eastAsia="宋体" w:cs="宋体"/>
          <w:b/>
          <w:bCs/>
          <w:spacing w:val="5"/>
          <w:sz w:val="39"/>
          <w:szCs w:val="39"/>
        </w:rPr>
      </w:pPr>
    </w:p>
    <w:p w14:paraId="7CD234A6">
      <w:pPr>
        <w:spacing w:before="79" w:line="225" w:lineRule="auto"/>
        <w:outlineLvl w:val="2"/>
        <w:rPr>
          <w:rFonts w:ascii="宋体" w:hAnsi="宋体" w:eastAsia="宋体" w:cs="宋体"/>
          <w:b/>
          <w:bCs/>
          <w:spacing w:val="5"/>
          <w:sz w:val="39"/>
          <w:szCs w:val="39"/>
        </w:rPr>
      </w:pPr>
      <w:r>
        <w:rPr>
          <w:rFonts w:ascii="宋体" w:hAnsi="宋体" w:eastAsia="宋体" w:cs="宋体"/>
          <w:b/>
          <w:bCs/>
          <w:spacing w:val="5"/>
          <w:sz w:val="39"/>
          <w:szCs w:val="39"/>
        </w:rPr>
        <w:object>
          <v:shape id="_x0000_i1036" o:spt="75" type="#_x0000_t75" style="height:433.75pt;width:715.9pt;" o:ole="t" filled="f" o:preferrelative="t" stroked="f" coordsize="21600,21600">
            <v:path/>
            <v:fill on="f" focussize="0,0"/>
            <v:stroke on="f"/>
            <v:imagedata r:id="rId37" o:title=""/>
            <o:lock v:ext="edit" aspectratio="f"/>
            <w10:wrap type="none"/>
            <w10:anchorlock/>
          </v:shape>
          <o:OLEObject Type="Embed" ProgID="Excel.Sheet.12" ShapeID="_x0000_i1036" DrawAspect="Content" ObjectID="_1468075736" r:id="rId36">
            <o:LockedField>false</o:LockedField>
          </o:OLEObject>
        </w:object>
      </w:r>
    </w:p>
    <w:p w14:paraId="5BE6D1C1">
      <w:pPr>
        <w:spacing w:before="79" w:line="225" w:lineRule="auto"/>
        <w:jc w:val="left"/>
        <w:outlineLvl w:val="3"/>
        <w:rPr>
          <w:rFonts w:ascii="宋体" w:hAnsi="宋体" w:eastAsia="宋体" w:cs="宋体"/>
          <w:b/>
          <w:bCs/>
          <w:spacing w:val="5"/>
          <w:sz w:val="39"/>
          <w:szCs w:val="39"/>
        </w:rPr>
      </w:pPr>
    </w:p>
    <w:p w14:paraId="1E8319D9">
      <w:pPr>
        <w:spacing w:before="79" w:line="225" w:lineRule="auto"/>
        <w:jc w:val="left"/>
        <w:outlineLvl w:val="3"/>
        <w:rPr>
          <w:rFonts w:ascii="宋体" w:hAnsi="宋体" w:eastAsia="宋体" w:cs="宋体"/>
          <w:b/>
          <w:bCs/>
          <w:spacing w:val="5"/>
          <w:sz w:val="39"/>
          <w:szCs w:val="39"/>
        </w:rPr>
      </w:pPr>
      <w:r>
        <w:rPr>
          <w:rFonts w:ascii="宋体" w:hAnsi="宋体" w:eastAsia="宋体" w:cs="宋体"/>
          <w:b/>
          <w:bCs/>
          <w:spacing w:val="5"/>
          <w:sz w:val="39"/>
          <w:szCs w:val="39"/>
        </w:rPr>
        <w:object>
          <v:shape id="_x0000_i1037" o:spt="75" type="#_x0000_t75" style="height:408.75pt;width:715.5pt;" o:ole="t" filled="f" o:preferrelative="t" stroked="f" coordsize="21600,21600">
            <v:path/>
            <v:fill on="f" focussize="0,0"/>
            <v:stroke on="f"/>
            <v:imagedata r:id="rId39" o:title=""/>
            <o:lock v:ext="edit" aspectratio="f"/>
            <w10:wrap type="none"/>
            <w10:anchorlock/>
          </v:shape>
          <o:OLEObject Type="Embed" ProgID="Excel.Sheet.12" ShapeID="_x0000_i1037" DrawAspect="Content" ObjectID="_1468075737" r:id="rId38">
            <o:LockedField>false</o:LockedField>
          </o:OLEObject>
        </w:object>
      </w:r>
    </w:p>
    <w:p w14:paraId="0B61D147">
      <w:pPr>
        <w:spacing w:before="79" w:line="225" w:lineRule="auto"/>
        <w:jc w:val="left"/>
        <w:outlineLvl w:val="3"/>
        <w:rPr>
          <w:rFonts w:ascii="宋体" w:hAnsi="宋体" w:eastAsia="宋体" w:cs="宋体"/>
          <w:b/>
          <w:bCs/>
          <w:spacing w:val="5"/>
          <w:sz w:val="39"/>
          <w:szCs w:val="39"/>
        </w:rPr>
      </w:pPr>
    </w:p>
    <w:p w14:paraId="4D8BE7D4">
      <w:pPr>
        <w:spacing w:before="79" w:line="225" w:lineRule="auto"/>
        <w:jc w:val="left"/>
        <w:outlineLvl w:val="3"/>
        <w:rPr>
          <w:rFonts w:ascii="宋体" w:hAnsi="宋体" w:eastAsia="宋体" w:cs="宋体"/>
          <w:b/>
          <w:bCs/>
          <w:spacing w:val="5"/>
          <w:sz w:val="39"/>
          <w:szCs w:val="39"/>
        </w:rPr>
      </w:pPr>
    </w:p>
    <w:p w14:paraId="530B65FF">
      <w:pPr>
        <w:spacing w:before="79" w:line="225" w:lineRule="auto"/>
        <w:jc w:val="left"/>
        <w:outlineLvl w:val="3"/>
        <w:rPr>
          <w:rFonts w:ascii="宋体" w:hAnsi="宋体" w:eastAsia="宋体" w:cs="宋体"/>
          <w:b/>
          <w:bCs/>
          <w:spacing w:val="5"/>
          <w:sz w:val="39"/>
          <w:szCs w:val="39"/>
        </w:rPr>
      </w:pPr>
    </w:p>
    <w:p w14:paraId="3276454A">
      <w:pPr>
        <w:spacing w:before="79" w:line="225" w:lineRule="auto"/>
        <w:jc w:val="left"/>
        <w:outlineLvl w:val="3"/>
        <w:rPr>
          <w:rFonts w:ascii="宋体" w:hAnsi="宋体" w:eastAsia="宋体" w:cs="宋体"/>
          <w:b/>
          <w:bCs/>
          <w:spacing w:val="5"/>
          <w:sz w:val="39"/>
          <w:szCs w:val="39"/>
        </w:rPr>
      </w:pPr>
    </w:p>
    <w:p w14:paraId="7361B8FC">
      <w:pPr>
        <w:spacing w:before="79" w:line="225" w:lineRule="auto"/>
        <w:jc w:val="left"/>
        <w:outlineLvl w:val="3"/>
        <w:rPr>
          <w:rFonts w:ascii="宋体" w:hAnsi="宋体" w:eastAsia="宋体" w:cs="宋体"/>
          <w:b/>
          <w:bCs/>
          <w:spacing w:val="5"/>
          <w:sz w:val="39"/>
          <w:szCs w:val="39"/>
        </w:rPr>
      </w:pPr>
    </w:p>
    <w:p w14:paraId="2938F8B7">
      <w:pPr>
        <w:spacing w:before="79" w:line="225" w:lineRule="auto"/>
        <w:jc w:val="left"/>
        <w:outlineLvl w:val="3"/>
        <w:rPr>
          <w:rFonts w:ascii="宋体" w:hAnsi="宋体" w:eastAsia="宋体" w:cs="宋体"/>
          <w:b/>
          <w:bCs/>
          <w:spacing w:val="5"/>
          <w:sz w:val="39"/>
          <w:szCs w:val="39"/>
        </w:rPr>
      </w:pPr>
      <w:r>
        <w:rPr>
          <w:rFonts w:ascii="宋体" w:hAnsi="宋体" w:eastAsia="宋体" w:cs="宋体"/>
          <w:b/>
          <w:bCs/>
          <w:spacing w:val="5"/>
          <w:sz w:val="39"/>
          <w:szCs w:val="39"/>
        </w:rPr>
        <w:object>
          <v:shape id="_x0000_i1038" o:spt="75" type="#_x0000_t75" style="height:471.55pt;width:715.5pt;" o:ole="t" filled="f" o:preferrelative="t" stroked="f" coordsize="21600,21600">
            <v:path/>
            <v:fill on="f" focussize="0,0"/>
            <v:stroke on="f"/>
            <v:imagedata r:id="rId41" o:title=""/>
            <o:lock v:ext="edit" aspectratio="f"/>
            <w10:wrap type="none"/>
            <w10:anchorlock/>
          </v:shape>
          <o:OLEObject Type="Embed" ProgID="Excel.Sheet.12" ShapeID="_x0000_i1038" DrawAspect="Content" ObjectID="_1468075738" r:id="rId40">
            <o:LockedField>false</o:LockedField>
          </o:OLEObject>
        </w:object>
      </w:r>
    </w:p>
    <w:p w14:paraId="59DED0B2">
      <w:pPr>
        <w:spacing w:before="79" w:line="225" w:lineRule="auto"/>
        <w:jc w:val="center"/>
        <w:outlineLvl w:val="3"/>
        <w:rPr>
          <w:rFonts w:ascii="宋体" w:hAnsi="宋体" w:eastAsia="宋体" w:cs="宋体"/>
          <w:b/>
          <w:bCs/>
          <w:spacing w:val="5"/>
          <w:sz w:val="39"/>
          <w:szCs w:val="39"/>
        </w:rPr>
      </w:pPr>
    </w:p>
    <w:p w14:paraId="102D3B60">
      <w:pPr>
        <w:spacing w:before="87" w:line="225" w:lineRule="auto"/>
        <w:jc w:val="center"/>
        <w:outlineLvl w:val="1"/>
        <w:rPr>
          <w:rFonts w:ascii="宋体" w:hAnsi="宋体" w:eastAsia="宋体" w:cs="宋体"/>
          <w:b/>
          <w:bCs/>
          <w:spacing w:val="5"/>
          <w:sz w:val="43"/>
          <w:szCs w:val="43"/>
        </w:rPr>
      </w:pPr>
    </w:p>
    <w:p w14:paraId="1BF137A2">
      <w:pPr>
        <w:spacing w:before="87" w:line="225" w:lineRule="auto"/>
        <w:jc w:val="center"/>
        <w:outlineLvl w:val="1"/>
        <w:rPr>
          <w:rFonts w:ascii="宋体" w:hAnsi="宋体" w:eastAsia="宋体" w:cs="宋体"/>
          <w:sz w:val="43"/>
          <w:szCs w:val="43"/>
        </w:rPr>
      </w:pPr>
      <w:r>
        <w:rPr>
          <w:rFonts w:ascii="宋体" w:hAnsi="宋体" w:eastAsia="宋体" w:cs="宋体"/>
          <w:b/>
          <w:bCs/>
          <w:spacing w:val="5"/>
          <w:sz w:val="43"/>
          <w:szCs w:val="43"/>
        </w:rPr>
        <w:t>部门管理专项资金预算表</w:t>
      </w:r>
    </w:p>
    <w:p w14:paraId="70F04EDD">
      <w:pPr>
        <w:spacing w:line="337" w:lineRule="auto"/>
        <w:rPr>
          <w:rFonts w:ascii="Arial"/>
          <w:sz w:val="21"/>
        </w:rPr>
      </w:pPr>
    </w:p>
    <w:p w14:paraId="1E1F87FB">
      <w:pPr>
        <w:spacing w:before="62" w:line="231" w:lineRule="auto"/>
        <w:ind w:left="56"/>
        <w:rPr>
          <w:rFonts w:ascii="宋体" w:hAnsi="宋体" w:eastAsia="宋体" w:cs="宋体"/>
          <w:sz w:val="19"/>
          <w:szCs w:val="19"/>
        </w:rPr>
      </w:pPr>
      <w:r>
        <w:rPr>
          <w:rFonts w:ascii="宋体" w:hAnsi="宋体" w:eastAsia="宋体" w:cs="宋体"/>
          <w:spacing w:val="4"/>
          <w:sz w:val="19"/>
          <w:szCs w:val="19"/>
        </w:rPr>
        <w:t>表18</w:t>
      </w:r>
    </w:p>
    <w:p w14:paraId="06B7A4F6">
      <w:pPr>
        <w:spacing w:before="76" w:line="226" w:lineRule="auto"/>
        <w:ind w:left="59"/>
        <w:rPr>
          <w:rFonts w:ascii="宋体" w:hAnsi="宋体" w:eastAsia="宋体" w:cs="宋体"/>
          <w:sz w:val="19"/>
          <w:szCs w:val="19"/>
        </w:rPr>
      </w:pPr>
      <w:r>
        <w:rPr>
          <w:rFonts w:ascii="宋体" w:hAnsi="宋体" w:eastAsia="宋体" w:cs="宋体"/>
          <w:spacing w:val="6"/>
          <w:sz w:val="19"/>
          <w:szCs w:val="19"/>
        </w:rPr>
        <w:t>部门名称：</w:t>
      </w:r>
      <w:r>
        <w:rPr>
          <w:rFonts w:hint="eastAsia" w:ascii="宋体" w:hAnsi="宋体" w:eastAsia="宋体" w:cs="宋体"/>
          <w:spacing w:val="8"/>
          <w:sz w:val="19"/>
          <w:szCs w:val="19"/>
          <w:lang w:val="en-US" w:eastAsia="zh-CN"/>
        </w:rPr>
        <w:t>盘锦市双台子区人社局</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hint="eastAsia" w:ascii="宋体" w:hAnsi="宋体" w:eastAsia="宋体" w:cs="宋体"/>
          <w:spacing w:val="8"/>
          <w:sz w:val="19"/>
          <w:szCs w:val="19"/>
          <w:lang w:val="en-US" w:eastAsia="zh-CN"/>
        </w:rPr>
        <w:tab/>
      </w:r>
      <w:r>
        <w:rPr>
          <w:rFonts w:hint="eastAsia" w:ascii="宋体" w:hAnsi="宋体" w:eastAsia="宋体" w:cs="宋体"/>
          <w:spacing w:val="8"/>
          <w:sz w:val="19"/>
          <w:szCs w:val="19"/>
          <w:lang w:val="en-US" w:eastAsia="zh-CN"/>
        </w:rPr>
        <w:t xml:space="preserve">   </w:t>
      </w:r>
      <w:r>
        <w:rPr>
          <w:rFonts w:ascii="宋体" w:hAnsi="宋体" w:eastAsia="宋体" w:cs="宋体"/>
          <w:spacing w:val="6"/>
          <w:sz w:val="19"/>
          <w:szCs w:val="19"/>
        </w:rPr>
        <w:t>单位：万元</w:t>
      </w:r>
    </w:p>
    <w:tbl>
      <w:tblPr>
        <w:tblStyle w:val="5"/>
        <w:tblW w:w="1430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880"/>
        <w:gridCol w:w="2146"/>
        <w:gridCol w:w="2146"/>
        <w:gridCol w:w="2135"/>
      </w:tblGrid>
      <w:tr w14:paraId="3C1AA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92" w:hRule="atLeast"/>
        </w:trPr>
        <w:tc>
          <w:tcPr>
            <w:tcW w:w="7880" w:type="dxa"/>
            <w:vAlign w:val="top"/>
          </w:tcPr>
          <w:p w14:paraId="139AA339">
            <w:pPr>
              <w:pStyle w:val="6"/>
              <w:spacing w:line="344" w:lineRule="auto"/>
            </w:pPr>
          </w:p>
          <w:p w14:paraId="5C3EA48A">
            <w:pPr>
              <w:spacing w:before="62" w:line="231" w:lineRule="auto"/>
              <w:ind w:left="3501"/>
              <w:rPr>
                <w:rFonts w:ascii="宋体" w:hAnsi="宋体" w:eastAsia="宋体" w:cs="宋体"/>
                <w:sz w:val="19"/>
                <w:szCs w:val="19"/>
              </w:rPr>
            </w:pPr>
            <w:r>
              <w:rPr>
                <w:rFonts w:ascii="宋体" w:hAnsi="宋体" w:eastAsia="宋体" w:cs="宋体"/>
                <w:spacing w:val="-1"/>
                <w:sz w:val="19"/>
                <w:szCs w:val="19"/>
              </w:rPr>
              <w:t>项目</w:t>
            </w:r>
          </w:p>
        </w:tc>
        <w:tc>
          <w:tcPr>
            <w:tcW w:w="2146" w:type="dxa"/>
            <w:vAlign w:val="top"/>
          </w:tcPr>
          <w:p w14:paraId="20717F23">
            <w:pPr>
              <w:pStyle w:val="6"/>
              <w:spacing w:line="344" w:lineRule="auto"/>
            </w:pPr>
          </w:p>
          <w:p w14:paraId="4DE520A1">
            <w:pPr>
              <w:spacing w:before="62" w:line="231" w:lineRule="auto"/>
              <w:ind w:left="886"/>
              <w:rPr>
                <w:rFonts w:ascii="宋体" w:hAnsi="宋体" w:eastAsia="宋体" w:cs="宋体"/>
                <w:sz w:val="19"/>
                <w:szCs w:val="19"/>
              </w:rPr>
            </w:pPr>
            <w:r>
              <w:rPr>
                <w:rFonts w:ascii="宋体" w:hAnsi="宋体" w:eastAsia="宋体" w:cs="宋体"/>
                <w:spacing w:val="5"/>
                <w:sz w:val="19"/>
                <w:szCs w:val="19"/>
              </w:rPr>
              <w:t>总计</w:t>
            </w:r>
          </w:p>
        </w:tc>
        <w:tc>
          <w:tcPr>
            <w:tcW w:w="2146" w:type="dxa"/>
            <w:vAlign w:val="top"/>
          </w:tcPr>
          <w:p w14:paraId="28E1DAED">
            <w:pPr>
              <w:pStyle w:val="6"/>
              <w:spacing w:line="356" w:lineRule="auto"/>
            </w:pPr>
          </w:p>
          <w:p w14:paraId="69623420">
            <w:pPr>
              <w:spacing w:before="59" w:line="220" w:lineRule="auto"/>
              <w:ind w:left="744"/>
              <w:rPr>
                <w:rFonts w:ascii="宋体" w:hAnsi="宋体" w:eastAsia="宋体" w:cs="宋体"/>
                <w:sz w:val="18"/>
                <w:szCs w:val="18"/>
              </w:rPr>
            </w:pPr>
            <w:r>
              <w:rPr>
                <w:rFonts w:ascii="宋体" w:hAnsi="宋体" w:eastAsia="宋体" w:cs="宋体"/>
                <w:spacing w:val="-5"/>
                <w:sz w:val="18"/>
                <w:szCs w:val="18"/>
              </w:rPr>
              <w:t>已分配数</w:t>
            </w:r>
          </w:p>
        </w:tc>
        <w:tc>
          <w:tcPr>
            <w:tcW w:w="2135" w:type="dxa"/>
            <w:vAlign w:val="top"/>
          </w:tcPr>
          <w:p w14:paraId="7E372B74">
            <w:pPr>
              <w:pStyle w:val="6"/>
              <w:spacing w:line="356" w:lineRule="auto"/>
            </w:pPr>
          </w:p>
          <w:p w14:paraId="52469D7C">
            <w:pPr>
              <w:spacing w:before="59" w:line="220" w:lineRule="auto"/>
              <w:ind w:left="720"/>
              <w:rPr>
                <w:rFonts w:ascii="宋体" w:hAnsi="宋体" w:eastAsia="宋体" w:cs="宋体"/>
                <w:sz w:val="18"/>
                <w:szCs w:val="18"/>
              </w:rPr>
            </w:pPr>
            <w:r>
              <w:rPr>
                <w:rFonts w:ascii="宋体" w:hAnsi="宋体" w:eastAsia="宋体" w:cs="宋体"/>
                <w:spacing w:val="-2"/>
                <w:sz w:val="18"/>
                <w:szCs w:val="18"/>
              </w:rPr>
              <w:t>未分配数</w:t>
            </w:r>
          </w:p>
        </w:tc>
      </w:tr>
      <w:tr w14:paraId="07DBF5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7880" w:type="dxa"/>
            <w:vAlign w:val="top"/>
          </w:tcPr>
          <w:p w14:paraId="0F3320E7">
            <w:pPr>
              <w:spacing w:before="153" w:line="231" w:lineRule="auto"/>
              <w:ind w:left="3498"/>
              <w:rPr>
                <w:rFonts w:ascii="宋体" w:hAnsi="宋体" w:eastAsia="宋体" w:cs="宋体"/>
                <w:sz w:val="19"/>
                <w:szCs w:val="19"/>
              </w:rPr>
            </w:pPr>
            <w:r>
              <w:rPr>
                <w:rFonts w:ascii="宋体" w:hAnsi="宋体" w:eastAsia="宋体" w:cs="宋体"/>
                <w:spacing w:val="1"/>
                <w:sz w:val="19"/>
                <w:szCs w:val="19"/>
              </w:rPr>
              <w:t>合计</w:t>
            </w:r>
          </w:p>
        </w:tc>
        <w:tc>
          <w:tcPr>
            <w:tcW w:w="2146" w:type="dxa"/>
            <w:vAlign w:val="top"/>
          </w:tcPr>
          <w:p w14:paraId="6230C39F">
            <w:pPr>
              <w:pStyle w:val="6"/>
            </w:pPr>
          </w:p>
        </w:tc>
        <w:tc>
          <w:tcPr>
            <w:tcW w:w="2146" w:type="dxa"/>
            <w:vAlign w:val="top"/>
          </w:tcPr>
          <w:p w14:paraId="47732BEC">
            <w:pPr>
              <w:pStyle w:val="6"/>
            </w:pPr>
          </w:p>
        </w:tc>
        <w:tc>
          <w:tcPr>
            <w:tcW w:w="2135" w:type="dxa"/>
            <w:vAlign w:val="top"/>
          </w:tcPr>
          <w:p w14:paraId="1071F17D">
            <w:pPr>
              <w:pStyle w:val="6"/>
            </w:pPr>
          </w:p>
        </w:tc>
      </w:tr>
      <w:tr w14:paraId="53E058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4" w:hRule="atLeast"/>
        </w:trPr>
        <w:tc>
          <w:tcPr>
            <w:tcW w:w="7880" w:type="dxa"/>
            <w:vAlign w:val="top"/>
          </w:tcPr>
          <w:p w14:paraId="470A641C">
            <w:pPr>
              <w:pStyle w:val="6"/>
            </w:pPr>
          </w:p>
        </w:tc>
        <w:tc>
          <w:tcPr>
            <w:tcW w:w="2146" w:type="dxa"/>
            <w:vAlign w:val="top"/>
          </w:tcPr>
          <w:p w14:paraId="39A000D7">
            <w:pPr>
              <w:pStyle w:val="6"/>
            </w:pPr>
          </w:p>
        </w:tc>
        <w:tc>
          <w:tcPr>
            <w:tcW w:w="2146" w:type="dxa"/>
            <w:vAlign w:val="top"/>
          </w:tcPr>
          <w:p w14:paraId="2663CAB3">
            <w:pPr>
              <w:pStyle w:val="6"/>
            </w:pPr>
          </w:p>
        </w:tc>
        <w:tc>
          <w:tcPr>
            <w:tcW w:w="2135" w:type="dxa"/>
            <w:vAlign w:val="top"/>
          </w:tcPr>
          <w:p w14:paraId="0E56DCD5">
            <w:pPr>
              <w:pStyle w:val="6"/>
            </w:pPr>
          </w:p>
        </w:tc>
      </w:tr>
      <w:tr w14:paraId="7CB08A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4" w:hRule="atLeast"/>
        </w:trPr>
        <w:tc>
          <w:tcPr>
            <w:tcW w:w="7880" w:type="dxa"/>
            <w:vAlign w:val="top"/>
          </w:tcPr>
          <w:p w14:paraId="406AFA34">
            <w:pPr>
              <w:pStyle w:val="6"/>
            </w:pPr>
          </w:p>
        </w:tc>
        <w:tc>
          <w:tcPr>
            <w:tcW w:w="2146" w:type="dxa"/>
            <w:vAlign w:val="top"/>
          </w:tcPr>
          <w:p w14:paraId="7CBA16BD">
            <w:pPr>
              <w:pStyle w:val="6"/>
            </w:pPr>
          </w:p>
        </w:tc>
        <w:tc>
          <w:tcPr>
            <w:tcW w:w="2146" w:type="dxa"/>
            <w:vAlign w:val="top"/>
          </w:tcPr>
          <w:p w14:paraId="0E83A59E">
            <w:pPr>
              <w:pStyle w:val="6"/>
            </w:pPr>
          </w:p>
        </w:tc>
        <w:tc>
          <w:tcPr>
            <w:tcW w:w="2135" w:type="dxa"/>
            <w:vAlign w:val="top"/>
          </w:tcPr>
          <w:p w14:paraId="18B12F8E">
            <w:pPr>
              <w:pStyle w:val="6"/>
            </w:pPr>
          </w:p>
        </w:tc>
      </w:tr>
      <w:tr w14:paraId="45BCAC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4" w:hRule="atLeast"/>
        </w:trPr>
        <w:tc>
          <w:tcPr>
            <w:tcW w:w="7880" w:type="dxa"/>
            <w:vAlign w:val="top"/>
          </w:tcPr>
          <w:p w14:paraId="6E0D57F9">
            <w:pPr>
              <w:pStyle w:val="6"/>
            </w:pPr>
          </w:p>
        </w:tc>
        <w:tc>
          <w:tcPr>
            <w:tcW w:w="2146" w:type="dxa"/>
            <w:vAlign w:val="top"/>
          </w:tcPr>
          <w:p w14:paraId="09A9504A">
            <w:pPr>
              <w:pStyle w:val="6"/>
            </w:pPr>
          </w:p>
        </w:tc>
        <w:tc>
          <w:tcPr>
            <w:tcW w:w="2146" w:type="dxa"/>
            <w:vAlign w:val="top"/>
          </w:tcPr>
          <w:p w14:paraId="2E08EDAA">
            <w:pPr>
              <w:pStyle w:val="6"/>
            </w:pPr>
          </w:p>
        </w:tc>
        <w:tc>
          <w:tcPr>
            <w:tcW w:w="2135" w:type="dxa"/>
            <w:vAlign w:val="top"/>
          </w:tcPr>
          <w:p w14:paraId="6C9E8907">
            <w:pPr>
              <w:pStyle w:val="6"/>
            </w:pPr>
          </w:p>
        </w:tc>
      </w:tr>
      <w:tr w14:paraId="5ACB2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5" w:hRule="atLeast"/>
        </w:trPr>
        <w:tc>
          <w:tcPr>
            <w:tcW w:w="7880" w:type="dxa"/>
            <w:vAlign w:val="top"/>
          </w:tcPr>
          <w:p w14:paraId="1053A8C9">
            <w:pPr>
              <w:pStyle w:val="6"/>
            </w:pPr>
          </w:p>
        </w:tc>
        <w:tc>
          <w:tcPr>
            <w:tcW w:w="2146" w:type="dxa"/>
            <w:vAlign w:val="top"/>
          </w:tcPr>
          <w:p w14:paraId="68CF5349">
            <w:pPr>
              <w:pStyle w:val="6"/>
            </w:pPr>
          </w:p>
        </w:tc>
        <w:tc>
          <w:tcPr>
            <w:tcW w:w="2146" w:type="dxa"/>
            <w:vAlign w:val="top"/>
          </w:tcPr>
          <w:p w14:paraId="7619DFFA">
            <w:pPr>
              <w:pStyle w:val="6"/>
            </w:pPr>
          </w:p>
        </w:tc>
        <w:tc>
          <w:tcPr>
            <w:tcW w:w="2135" w:type="dxa"/>
            <w:vAlign w:val="top"/>
          </w:tcPr>
          <w:p w14:paraId="5DFD2B76">
            <w:pPr>
              <w:pStyle w:val="6"/>
            </w:pPr>
          </w:p>
        </w:tc>
      </w:tr>
      <w:tr w14:paraId="4BE685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5" w:hRule="atLeast"/>
        </w:trPr>
        <w:tc>
          <w:tcPr>
            <w:tcW w:w="7880" w:type="dxa"/>
            <w:vAlign w:val="top"/>
          </w:tcPr>
          <w:p w14:paraId="18E9F6BC">
            <w:pPr>
              <w:pStyle w:val="6"/>
            </w:pPr>
          </w:p>
        </w:tc>
        <w:tc>
          <w:tcPr>
            <w:tcW w:w="2146" w:type="dxa"/>
            <w:vAlign w:val="top"/>
          </w:tcPr>
          <w:p w14:paraId="7D90FD1D">
            <w:pPr>
              <w:pStyle w:val="6"/>
            </w:pPr>
          </w:p>
        </w:tc>
        <w:tc>
          <w:tcPr>
            <w:tcW w:w="2146" w:type="dxa"/>
            <w:vAlign w:val="top"/>
          </w:tcPr>
          <w:p w14:paraId="1816699C">
            <w:pPr>
              <w:pStyle w:val="6"/>
            </w:pPr>
          </w:p>
        </w:tc>
        <w:tc>
          <w:tcPr>
            <w:tcW w:w="2135" w:type="dxa"/>
            <w:vAlign w:val="top"/>
          </w:tcPr>
          <w:p w14:paraId="073CFFC5">
            <w:pPr>
              <w:pStyle w:val="6"/>
            </w:pPr>
          </w:p>
        </w:tc>
      </w:tr>
      <w:tr w14:paraId="0EBD98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4" w:hRule="atLeast"/>
        </w:trPr>
        <w:tc>
          <w:tcPr>
            <w:tcW w:w="7880" w:type="dxa"/>
            <w:vAlign w:val="top"/>
          </w:tcPr>
          <w:p w14:paraId="74C68F6C">
            <w:pPr>
              <w:pStyle w:val="6"/>
            </w:pPr>
          </w:p>
        </w:tc>
        <w:tc>
          <w:tcPr>
            <w:tcW w:w="2146" w:type="dxa"/>
            <w:vAlign w:val="top"/>
          </w:tcPr>
          <w:p w14:paraId="6EF4E122">
            <w:pPr>
              <w:pStyle w:val="6"/>
            </w:pPr>
          </w:p>
        </w:tc>
        <w:tc>
          <w:tcPr>
            <w:tcW w:w="2146" w:type="dxa"/>
            <w:vAlign w:val="top"/>
          </w:tcPr>
          <w:p w14:paraId="0DE48E00">
            <w:pPr>
              <w:pStyle w:val="6"/>
            </w:pPr>
          </w:p>
        </w:tc>
        <w:tc>
          <w:tcPr>
            <w:tcW w:w="2135" w:type="dxa"/>
            <w:vAlign w:val="top"/>
          </w:tcPr>
          <w:p w14:paraId="45B9BDD7">
            <w:pPr>
              <w:pStyle w:val="6"/>
            </w:pPr>
          </w:p>
        </w:tc>
      </w:tr>
    </w:tbl>
    <w:p w14:paraId="2D223E86">
      <w:pPr>
        <w:rPr>
          <w:rFonts w:ascii="Arial"/>
          <w:sz w:val="21"/>
        </w:rPr>
      </w:pPr>
    </w:p>
    <w:sectPr>
      <w:pgSz w:w="16840" w:h="11905"/>
      <w:pgMar w:top="911" w:right="1268" w:bottom="400" w:left="1249"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E7F3B">
    <w:pPr>
      <w:spacing w:line="14" w:lineRule="auto"/>
      <w:rPr>
        <w:rFonts w:ascii="Arial"/>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5C1EC">
    <w:pPr>
      <w:spacing w:line="174" w:lineRule="auto"/>
      <w:ind w:left="4128"/>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B184E3">
    <w:pPr>
      <w:spacing w:line="174" w:lineRule="auto"/>
      <w:ind w:left="4123"/>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DC6B8">
    <w:pPr>
      <w:spacing w:line="174" w:lineRule="auto"/>
      <w:ind w:left="4131"/>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5DFDD">
    <w:pPr>
      <w:spacing w:line="174" w:lineRule="auto"/>
      <w:ind w:left="4136"/>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02F46">
    <w:pPr>
      <w:spacing w:line="174" w:lineRule="auto"/>
      <w:ind w:left="4097"/>
      <w:rPr>
        <w:rFonts w:ascii="Times New Roman" w:hAnsi="Times New Roman" w:eastAsia="Times New Roman" w:cs="Times New Roman"/>
        <w:sz w:val="18"/>
        <w:szCs w:val="18"/>
      </w:rPr>
    </w:pPr>
    <w:r>
      <w:rPr>
        <w:rFonts w:ascii="Times New Roman" w:hAnsi="Times New Roman" w:eastAsia="Times New Roman" w:cs="Times New Roman"/>
        <w:spacing w:val="-6"/>
        <w:sz w:val="18"/>
        <w:szCs w:val="18"/>
      </w:rPr>
      <w:t>10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F507C">
    <w:pPr>
      <w:spacing w:line="174" w:lineRule="auto"/>
      <w:ind w:left="4099"/>
      <w:rPr>
        <w:rFonts w:ascii="Times New Roman" w:hAnsi="Times New Roman" w:eastAsia="Times New Roman" w:cs="Times New Roman"/>
        <w:sz w:val="18"/>
        <w:szCs w:val="18"/>
      </w:rPr>
    </w:pPr>
    <w:r>
      <w:rPr>
        <w:rFonts w:ascii="Times New Roman" w:hAnsi="Times New Roman" w:eastAsia="Times New Roman" w:cs="Times New Roman"/>
        <w:spacing w:val="-7"/>
        <w:sz w:val="18"/>
        <w:szCs w:val="18"/>
      </w:rPr>
      <w:t>11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92624">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2D1D57"/>
    <w:multiLevelType w:val="singleLevel"/>
    <w:tmpl w:val="AC2D1D5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172A27"/>
    <w:rsid w:val="001570FF"/>
    <w:rsid w:val="005C088A"/>
    <w:rsid w:val="012F5F9F"/>
    <w:rsid w:val="01852063"/>
    <w:rsid w:val="01BE7323"/>
    <w:rsid w:val="03004097"/>
    <w:rsid w:val="05123C0E"/>
    <w:rsid w:val="0556624A"/>
    <w:rsid w:val="057C5A9B"/>
    <w:rsid w:val="0580501B"/>
    <w:rsid w:val="05E66669"/>
    <w:rsid w:val="07047ECE"/>
    <w:rsid w:val="08A059D4"/>
    <w:rsid w:val="094B1DE4"/>
    <w:rsid w:val="09F4422A"/>
    <w:rsid w:val="0A026946"/>
    <w:rsid w:val="0A110938"/>
    <w:rsid w:val="0B8213C1"/>
    <w:rsid w:val="0C8A49D1"/>
    <w:rsid w:val="0CB42738"/>
    <w:rsid w:val="0DA10614"/>
    <w:rsid w:val="0DA726A0"/>
    <w:rsid w:val="0E1409F6"/>
    <w:rsid w:val="0E1E49F8"/>
    <w:rsid w:val="0F3F7CF5"/>
    <w:rsid w:val="0F6A70B0"/>
    <w:rsid w:val="102E110C"/>
    <w:rsid w:val="11C10E95"/>
    <w:rsid w:val="13DC1FB6"/>
    <w:rsid w:val="13E9022F"/>
    <w:rsid w:val="145A1AE5"/>
    <w:rsid w:val="147E3783"/>
    <w:rsid w:val="1528122B"/>
    <w:rsid w:val="16677B31"/>
    <w:rsid w:val="166D339A"/>
    <w:rsid w:val="16DB34C7"/>
    <w:rsid w:val="18226406"/>
    <w:rsid w:val="19097372"/>
    <w:rsid w:val="1945248B"/>
    <w:rsid w:val="1A3F329F"/>
    <w:rsid w:val="1ACE471E"/>
    <w:rsid w:val="1C3F7586"/>
    <w:rsid w:val="1E696B3C"/>
    <w:rsid w:val="214C004F"/>
    <w:rsid w:val="21933ED0"/>
    <w:rsid w:val="240D7D94"/>
    <w:rsid w:val="26452B30"/>
    <w:rsid w:val="2685028B"/>
    <w:rsid w:val="268A7A18"/>
    <w:rsid w:val="277A3B68"/>
    <w:rsid w:val="27E51FF0"/>
    <w:rsid w:val="29934A6D"/>
    <w:rsid w:val="29B844D4"/>
    <w:rsid w:val="2A2D4EC2"/>
    <w:rsid w:val="2A742AF1"/>
    <w:rsid w:val="2A906970"/>
    <w:rsid w:val="2AA607D0"/>
    <w:rsid w:val="2B275DB5"/>
    <w:rsid w:val="2B6F5066"/>
    <w:rsid w:val="2D12214D"/>
    <w:rsid w:val="2DA95F68"/>
    <w:rsid w:val="2E1D349F"/>
    <w:rsid w:val="2E383E35"/>
    <w:rsid w:val="3243100D"/>
    <w:rsid w:val="325A081E"/>
    <w:rsid w:val="326343FE"/>
    <w:rsid w:val="328C29A2"/>
    <w:rsid w:val="32DC6FF6"/>
    <w:rsid w:val="33196670"/>
    <w:rsid w:val="34EB6701"/>
    <w:rsid w:val="35E52AF5"/>
    <w:rsid w:val="36347E29"/>
    <w:rsid w:val="36897924"/>
    <w:rsid w:val="3781684D"/>
    <w:rsid w:val="37976071"/>
    <w:rsid w:val="391B682D"/>
    <w:rsid w:val="394960CC"/>
    <w:rsid w:val="39641F82"/>
    <w:rsid w:val="398E34A3"/>
    <w:rsid w:val="39C26CA9"/>
    <w:rsid w:val="39F725E1"/>
    <w:rsid w:val="3A7A77C8"/>
    <w:rsid w:val="3A995C5C"/>
    <w:rsid w:val="3AFE01B5"/>
    <w:rsid w:val="3B1654FE"/>
    <w:rsid w:val="3B542D41"/>
    <w:rsid w:val="3B915F04"/>
    <w:rsid w:val="3C79126B"/>
    <w:rsid w:val="3D51281E"/>
    <w:rsid w:val="3E5D51F2"/>
    <w:rsid w:val="3F5D7BA0"/>
    <w:rsid w:val="3F9B143D"/>
    <w:rsid w:val="40316936"/>
    <w:rsid w:val="42562684"/>
    <w:rsid w:val="42A45AE6"/>
    <w:rsid w:val="44451756"/>
    <w:rsid w:val="44670B79"/>
    <w:rsid w:val="44CE0BF8"/>
    <w:rsid w:val="44E623E5"/>
    <w:rsid w:val="44F05012"/>
    <w:rsid w:val="45260A34"/>
    <w:rsid w:val="462D66FA"/>
    <w:rsid w:val="467F21AA"/>
    <w:rsid w:val="47110682"/>
    <w:rsid w:val="47BE4F54"/>
    <w:rsid w:val="48CD1B4A"/>
    <w:rsid w:val="48D60C67"/>
    <w:rsid w:val="4A96265D"/>
    <w:rsid w:val="4C4628B5"/>
    <w:rsid w:val="4E173610"/>
    <w:rsid w:val="4F530677"/>
    <w:rsid w:val="4F7433EE"/>
    <w:rsid w:val="4F844CD5"/>
    <w:rsid w:val="51402E7D"/>
    <w:rsid w:val="52BC6534"/>
    <w:rsid w:val="52F51698"/>
    <w:rsid w:val="53E421E6"/>
    <w:rsid w:val="548E3F00"/>
    <w:rsid w:val="54C94F38"/>
    <w:rsid w:val="55821CB6"/>
    <w:rsid w:val="56710046"/>
    <w:rsid w:val="56A52B5E"/>
    <w:rsid w:val="56D464F4"/>
    <w:rsid w:val="56DF6F78"/>
    <w:rsid w:val="57601B83"/>
    <w:rsid w:val="57711FE2"/>
    <w:rsid w:val="57AF48B9"/>
    <w:rsid w:val="57EE718F"/>
    <w:rsid w:val="580249E1"/>
    <w:rsid w:val="5923730C"/>
    <w:rsid w:val="5A663955"/>
    <w:rsid w:val="5C1A18C6"/>
    <w:rsid w:val="5FF51154"/>
    <w:rsid w:val="61B2747F"/>
    <w:rsid w:val="637A221F"/>
    <w:rsid w:val="63A64DC2"/>
    <w:rsid w:val="64405216"/>
    <w:rsid w:val="646031C3"/>
    <w:rsid w:val="65AF7D19"/>
    <w:rsid w:val="65D976D1"/>
    <w:rsid w:val="66882EA5"/>
    <w:rsid w:val="66972998"/>
    <w:rsid w:val="669C56B2"/>
    <w:rsid w:val="674943E2"/>
    <w:rsid w:val="68282249"/>
    <w:rsid w:val="69AD3787"/>
    <w:rsid w:val="69E71C90"/>
    <w:rsid w:val="6AD55F8D"/>
    <w:rsid w:val="6BA6556B"/>
    <w:rsid w:val="6CC4450B"/>
    <w:rsid w:val="6D692050"/>
    <w:rsid w:val="6DEC3D19"/>
    <w:rsid w:val="70B34FC2"/>
    <w:rsid w:val="72294188"/>
    <w:rsid w:val="72914E8F"/>
    <w:rsid w:val="72F13B80"/>
    <w:rsid w:val="73BF3BE6"/>
    <w:rsid w:val="76606C42"/>
    <w:rsid w:val="769D3E02"/>
    <w:rsid w:val="769E7B7B"/>
    <w:rsid w:val="777022BA"/>
    <w:rsid w:val="77996FEB"/>
    <w:rsid w:val="78AC47D1"/>
    <w:rsid w:val="78C95383"/>
    <w:rsid w:val="79222CE5"/>
    <w:rsid w:val="7A316DFD"/>
    <w:rsid w:val="7A9419C0"/>
    <w:rsid w:val="7B61564E"/>
    <w:rsid w:val="7BB74ACC"/>
    <w:rsid w:val="7BDD2EF3"/>
    <w:rsid w:val="7C077F70"/>
    <w:rsid w:val="7CC06A9D"/>
    <w:rsid w:val="7D412A8D"/>
    <w:rsid w:val="7D747887"/>
    <w:rsid w:val="7DF35EDA"/>
    <w:rsid w:val="7E2B71EE"/>
    <w:rsid w:val="7ED44A81"/>
    <w:rsid w:val="7F754799"/>
    <w:rsid w:val="7FF134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FangSong_GB2312" w:hAnsi="FangSong_GB2312" w:eastAsia="FangSong_GB2312" w:cs="FangSong_GB2312"/>
      <w:sz w:val="31"/>
      <w:szCs w:val="3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3" Type="http://schemas.openxmlformats.org/officeDocument/2006/relationships/fontTable" Target="fontTable.xml"/><Relationship Id="rId42" Type="http://schemas.openxmlformats.org/officeDocument/2006/relationships/numbering" Target="numbering.xml"/><Relationship Id="rId41" Type="http://schemas.openxmlformats.org/officeDocument/2006/relationships/image" Target="media/image14.emf"/><Relationship Id="rId40" Type="http://schemas.openxmlformats.org/officeDocument/2006/relationships/oleObject" Target="embeddings/oleObject14.bin"/><Relationship Id="rId4" Type="http://schemas.openxmlformats.org/officeDocument/2006/relationships/endnotes" Target="endnotes.xml"/><Relationship Id="rId39" Type="http://schemas.openxmlformats.org/officeDocument/2006/relationships/image" Target="media/image13.emf"/><Relationship Id="rId38" Type="http://schemas.openxmlformats.org/officeDocument/2006/relationships/oleObject" Target="embeddings/oleObject13.bin"/><Relationship Id="rId37" Type="http://schemas.openxmlformats.org/officeDocument/2006/relationships/image" Target="media/image12.emf"/><Relationship Id="rId36" Type="http://schemas.openxmlformats.org/officeDocument/2006/relationships/oleObject" Target="embeddings/oleObject12.bin"/><Relationship Id="rId35" Type="http://schemas.openxmlformats.org/officeDocument/2006/relationships/image" Target="media/image11.emf"/><Relationship Id="rId34" Type="http://schemas.openxmlformats.org/officeDocument/2006/relationships/oleObject" Target="embeddings/oleObject11.bin"/><Relationship Id="rId33" Type="http://schemas.openxmlformats.org/officeDocument/2006/relationships/image" Target="media/image10.emf"/><Relationship Id="rId32" Type="http://schemas.openxmlformats.org/officeDocument/2006/relationships/oleObject" Target="embeddings/oleObject10.bin"/><Relationship Id="rId31" Type="http://schemas.openxmlformats.org/officeDocument/2006/relationships/image" Target="media/image9.emf"/><Relationship Id="rId30" Type="http://schemas.openxmlformats.org/officeDocument/2006/relationships/oleObject" Target="embeddings/oleObject9.bin"/><Relationship Id="rId3" Type="http://schemas.openxmlformats.org/officeDocument/2006/relationships/footnotes" Target="footnotes.xml"/><Relationship Id="rId29" Type="http://schemas.openxmlformats.org/officeDocument/2006/relationships/image" Target="media/image8.emf"/><Relationship Id="rId28" Type="http://schemas.openxmlformats.org/officeDocument/2006/relationships/oleObject" Target="embeddings/oleObject8.bin"/><Relationship Id="rId27" Type="http://schemas.openxmlformats.org/officeDocument/2006/relationships/image" Target="media/image7.emf"/><Relationship Id="rId26" Type="http://schemas.openxmlformats.org/officeDocument/2006/relationships/oleObject" Target="embeddings/oleObject7.bin"/><Relationship Id="rId25" Type="http://schemas.openxmlformats.org/officeDocument/2006/relationships/image" Target="media/image6.emf"/><Relationship Id="rId24" Type="http://schemas.openxmlformats.org/officeDocument/2006/relationships/oleObject" Target="embeddings/oleObject6.bin"/><Relationship Id="rId23" Type="http://schemas.openxmlformats.org/officeDocument/2006/relationships/image" Target="media/image5.emf"/><Relationship Id="rId22" Type="http://schemas.openxmlformats.org/officeDocument/2006/relationships/oleObject" Target="embeddings/oleObject5.bin"/><Relationship Id="rId21" Type="http://schemas.openxmlformats.org/officeDocument/2006/relationships/image" Target="media/image4.emf"/><Relationship Id="rId20" Type="http://schemas.openxmlformats.org/officeDocument/2006/relationships/oleObject" Target="embeddings/oleObject4.bin"/><Relationship Id="rId2" Type="http://schemas.openxmlformats.org/officeDocument/2006/relationships/settings" Target="settings.xml"/><Relationship Id="rId19" Type="http://schemas.openxmlformats.org/officeDocument/2006/relationships/image" Target="media/image3.emf"/><Relationship Id="rId18" Type="http://schemas.openxmlformats.org/officeDocument/2006/relationships/oleObject" Target="embeddings/oleObject3.bin"/><Relationship Id="rId17" Type="http://schemas.openxmlformats.org/officeDocument/2006/relationships/image" Target="media/image2.emf"/><Relationship Id="rId16" Type="http://schemas.openxmlformats.org/officeDocument/2006/relationships/oleObject" Target="embeddings/oleObject2.bin"/><Relationship Id="rId15" Type="http://schemas.openxmlformats.org/officeDocument/2006/relationships/image" Target="media/image1.emf"/><Relationship Id="rId14" Type="http://schemas.openxmlformats.org/officeDocument/2006/relationships/oleObject" Target="embeddings/oleObject1.bin"/><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34</Pages>
  <Words>4294</Words>
  <Characters>4577</Characters>
  <TotalTime>37</TotalTime>
  <ScaleCrop>false</ScaleCrop>
  <LinksUpToDate>false</LinksUpToDate>
  <CharactersWithSpaces>4792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2025-01-03T15:36:00Z</dcterms:created>
  <dc:creator>Administrator</dc:creator>
  <cp:lastModifiedBy>努力读书小姐</cp:lastModifiedBy>
  <dcterms:modified xsi:type="dcterms:W3CDTF">2025-03-11T03:07:50Z</dcterms:modified>
  <dc:title>C:\Users\Administrator\AppData\Local\Temp\NTKOFTmpFiles\tempdoc615.tmp</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2025-03-06T09:20:08Z</vt:filetime>
  </property>
  <property fmtid="{D5CDD505-2E9C-101B-9397-08002B2CF9AE}" pid="4" name="KSOProductBuildVer">
    <vt:lpwstr>2052-12.1.0.20305</vt:lpwstr>
  </property>
  <property fmtid="{D5CDD505-2E9C-101B-9397-08002B2CF9AE}" pid="5" name="ICV">
    <vt:lpwstr>A48EEE7F2B42479D93D1C2A572729927_13</vt:lpwstr>
  </property>
  <property fmtid="{D5CDD505-2E9C-101B-9397-08002B2CF9AE}" pid="6" name="KSOTemplateDocerSaveRecord">
    <vt:lpwstr>eyJoZGlkIjoiZmQxMzNjMGIwZWIwNTZlZTE3ZjI0MWYzZDdhNjU5OGQiLCJ1c2VySWQiOiIyNTkzNjM4NjQifQ==</vt:lpwstr>
  </property>
</Properties>
</file>