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7740F">
      <w:pPr>
        <w:pStyle w:val="2"/>
        <w:rPr>
          <w:rFonts w:hint="eastAsia" w:ascii="仿宋_GB2312" w:eastAsia="仿宋_GB2312"/>
          <w:sz w:val="32"/>
          <w:szCs w:val="32"/>
          <w:lang w:val="en-US" w:eastAsia="zh-CN"/>
        </w:rPr>
      </w:pPr>
    </w:p>
    <w:p w14:paraId="0B6CB542">
      <w:pPr>
        <w:jc w:val="center"/>
        <w:rPr>
          <w:rFonts w:hint="eastAsia" w:ascii="宋体" w:hAnsi="宋体" w:eastAsia="宋体" w:cs="宋体"/>
          <w:b/>
          <w:bCs/>
          <w:sz w:val="44"/>
          <w:szCs w:val="44"/>
          <w:lang w:val="en-US" w:eastAsia="zh-CN"/>
        </w:rPr>
      </w:pPr>
    </w:p>
    <w:p w14:paraId="0FDE171C">
      <w:pPr>
        <w:spacing w:line="560" w:lineRule="exact"/>
        <w:jc w:val="center"/>
        <w:rPr>
          <w:bCs/>
          <w:sz w:val="32"/>
          <w:szCs w:val="32"/>
          <w:u w:val="single"/>
        </w:rPr>
      </w:pPr>
    </w:p>
    <w:p w14:paraId="798D07B5">
      <w:pPr>
        <w:spacing w:line="560" w:lineRule="exact"/>
        <w:jc w:val="center"/>
        <w:rPr>
          <w:b/>
          <w:sz w:val="44"/>
          <w:szCs w:val="44"/>
          <w:u w:val="single"/>
        </w:rPr>
      </w:pPr>
    </w:p>
    <w:p w14:paraId="731FDAC3">
      <w:pPr>
        <w:pStyle w:val="2"/>
      </w:pPr>
    </w:p>
    <w:p w14:paraId="4B336E0E">
      <w:pPr>
        <w:spacing w:line="560" w:lineRule="exact"/>
        <w:jc w:val="center"/>
        <w:rPr>
          <w:b/>
          <w:sz w:val="44"/>
          <w:szCs w:val="44"/>
          <w:u w:val="single"/>
        </w:rPr>
      </w:pPr>
    </w:p>
    <w:p w14:paraId="7226668B">
      <w:pPr>
        <w:spacing w:line="560" w:lineRule="exact"/>
        <w:jc w:val="both"/>
        <w:rPr>
          <w:rFonts w:hint="eastAsia"/>
          <w:b/>
          <w:sz w:val="44"/>
          <w:szCs w:val="44"/>
        </w:rPr>
      </w:pPr>
    </w:p>
    <w:p w14:paraId="1CC300C5">
      <w:pPr>
        <w:spacing w:line="560" w:lineRule="exact"/>
        <w:jc w:val="center"/>
        <w:rPr>
          <w:rFonts w:hint="default" w:eastAsia="宋体"/>
          <w:b/>
          <w:sz w:val="44"/>
          <w:szCs w:val="44"/>
          <w:lang w:val="en-US" w:eastAsia="zh-CN"/>
        </w:rPr>
      </w:pPr>
      <w:r>
        <w:rPr>
          <w:rFonts w:hint="eastAsia"/>
          <w:b/>
          <w:sz w:val="44"/>
          <w:szCs w:val="44"/>
          <w:lang w:val="en-US" w:eastAsia="zh-CN"/>
        </w:rPr>
        <w:t>盘锦市动物疫病预防控制中心（盘锦市动物卫生监督中中心）2025年度部门预算</w:t>
      </w:r>
    </w:p>
    <w:p w14:paraId="54886FBD">
      <w:pPr>
        <w:spacing w:line="560" w:lineRule="exact"/>
        <w:jc w:val="center"/>
        <w:rPr>
          <w:rFonts w:hint="eastAsia"/>
          <w:b/>
          <w:sz w:val="44"/>
          <w:szCs w:val="44"/>
        </w:rPr>
      </w:pPr>
    </w:p>
    <w:p w14:paraId="08C21BF8">
      <w:pPr>
        <w:spacing w:line="560" w:lineRule="exact"/>
        <w:jc w:val="center"/>
        <w:rPr>
          <w:rFonts w:hint="eastAsia"/>
          <w:b/>
          <w:sz w:val="44"/>
          <w:szCs w:val="44"/>
        </w:rPr>
      </w:pPr>
    </w:p>
    <w:p w14:paraId="790B9948">
      <w:pPr>
        <w:spacing w:line="560" w:lineRule="exact"/>
        <w:jc w:val="center"/>
        <w:rPr>
          <w:rFonts w:hint="eastAsia"/>
          <w:b/>
          <w:sz w:val="44"/>
          <w:szCs w:val="44"/>
        </w:rPr>
      </w:pPr>
    </w:p>
    <w:p w14:paraId="2B508517">
      <w:pPr>
        <w:spacing w:line="560" w:lineRule="exact"/>
        <w:jc w:val="center"/>
        <w:rPr>
          <w:rFonts w:hint="eastAsia"/>
          <w:b/>
          <w:sz w:val="44"/>
          <w:szCs w:val="44"/>
        </w:rPr>
      </w:pPr>
    </w:p>
    <w:p w14:paraId="598B2446">
      <w:pPr>
        <w:spacing w:line="560" w:lineRule="exact"/>
        <w:jc w:val="center"/>
        <w:rPr>
          <w:rFonts w:hint="eastAsia"/>
          <w:b/>
          <w:sz w:val="44"/>
          <w:szCs w:val="44"/>
        </w:rPr>
      </w:pPr>
    </w:p>
    <w:p w14:paraId="44016447">
      <w:pPr>
        <w:spacing w:line="560" w:lineRule="exact"/>
        <w:jc w:val="center"/>
        <w:rPr>
          <w:rFonts w:hint="eastAsia"/>
          <w:b/>
          <w:sz w:val="44"/>
          <w:szCs w:val="44"/>
        </w:rPr>
      </w:pPr>
    </w:p>
    <w:p w14:paraId="08EAD69F">
      <w:pPr>
        <w:spacing w:line="560" w:lineRule="exact"/>
        <w:jc w:val="center"/>
        <w:rPr>
          <w:rFonts w:hint="eastAsia"/>
          <w:b/>
          <w:sz w:val="44"/>
          <w:szCs w:val="44"/>
        </w:rPr>
      </w:pPr>
    </w:p>
    <w:p w14:paraId="50F25B86">
      <w:pPr>
        <w:spacing w:line="560" w:lineRule="exact"/>
        <w:jc w:val="center"/>
        <w:rPr>
          <w:rFonts w:hint="eastAsia"/>
          <w:b/>
          <w:sz w:val="44"/>
          <w:szCs w:val="44"/>
        </w:rPr>
      </w:pPr>
    </w:p>
    <w:p w14:paraId="185FB4B9">
      <w:pPr>
        <w:pStyle w:val="2"/>
        <w:rPr>
          <w:rFonts w:hint="eastAsia"/>
        </w:rPr>
      </w:pPr>
      <w:bookmarkStart w:id="0" w:name="_GoBack"/>
      <w:bookmarkEnd w:id="0"/>
    </w:p>
    <w:p w14:paraId="49A75B0D">
      <w:pPr>
        <w:spacing w:line="560" w:lineRule="exact"/>
        <w:jc w:val="center"/>
        <w:rPr>
          <w:rFonts w:hint="eastAsia"/>
          <w:b/>
          <w:sz w:val="44"/>
          <w:szCs w:val="44"/>
        </w:rPr>
      </w:pPr>
    </w:p>
    <w:p w14:paraId="5F186E7C">
      <w:pPr>
        <w:spacing w:line="560" w:lineRule="exact"/>
        <w:jc w:val="center"/>
        <w:rPr>
          <w:rFonts w:hint="eastAsia"/>
          <w:b/>
          <w:sz w:val="44"/>
          <w:szCs w:val="44"/>
        </w:rPr>
      </w:pPr>
    </w:p>
    <w:p w14:paraId="57A7F2D4">
      <w:pPr>
        <w:spacing w:line="560" w:lineRule="exact"/>
        <w:jc w:val="center"/>
        <w:rPr>
          <w:rFonts w:hint="eastAsia"/>
          <w:b/>
          <w:sz w:val="44"/>
          <w:szCs w:val="44"/>
        </w:rPr>
      </w:pPr>
    </w:p>
    <w:p w14:paraId="6374A7EF">
      <w:pPr>
        <w:spacing w:line="560" w:lineRule="exact"/>
        <w:jc w:val="center"/>
        <w:rPr>
          <w:rFonts w:hint="eastAsia"/>
          <w:b/>
          <w:sz w:val="44"/>
          <w:szCs w:val="44"/>
        </w:rPr>
      </w:pPr>
    </w:p>
    <w:p w14:paraId="0A450526">
      <w:pPr>
        <w:spacing w:line="560" w:lineRule="exact"/>
        <w:jc w:val="both"/>
        <w:rPr>
          <w:rFonts w:hint="eastAsia"/>
          <w:b/>
          <w:sz w:val="44"/>
          <w:szCs w:val="44"/>
        </w:rPr>
      </w:pPr>
    </w:p>
    <w:p w14:paraId="4CB2043B">
      <w:pPr>
        <w:spacing w:line="560" w:lineRule="exact"/>
        <w:jc w:val="center"/>
        <w:rPr>
          <w:b/>
          <w:sz w:val="44"/>
          <w:szCs w:val="44"/>
        </w:rPr>
      </w:pPr>
      <w:r>
        <w:rPr>
          <w:rFonts w:hint="eastAsia"/>
          <w:b/>
          <w:sz w:val="44"/>
          <w:szCs w:val="44"/>
        </w:rPr>
        <w:t>目    录</w:t>
      </w:r>
    </w:p>
    <w:p w14:paraId="74706E53">
      <w:pPr>
        <w:spacing w:line="560" w:lineRule="exact"/>
        <w:rPr>
          <w:b/>
          <w:sz w:val="44"/>
          <w:szCs w:val="44"/>
          <w:u w:val="single"/>
        </w:rPr>
      </w:pPr>
    </w:p>
    <w:p w14:paraId="15FFAA06">
      <w:pPr>
        <w:spacing w:line="560" w:lineRule="exact"/>
        <w:rPr>
          <w:b/>
          <w:sz w:val="44"/>
          <w:szCs w:val="44"/>
          <w:u w:val="single"/>
        </w:rPr>
      </w:pPr>
    </w:p>
    <w:p w14:paraId="22FF2C47">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eastAsia="zh-CN"/>
        </w:rPr>
        <w:t>单位</w:t>
      </w:r>
      <w:r>
        <w:rPr>
          <w:rFonts w:hint="eastAsia" w:ascii="黑体" w:hAnsi="黑体" w:eastAsia="黑体"/>
          <w:sz w:val="32"/>
          <w:szCs w:val="32"/>
        </w:rPr>
        <w:t>预算公开管理文件</w:t>
      </w:r>
    </w:p>
    <w:p w14:paraId="7EFDC822">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盘锦市动物疫病预防控制中心（盘锦市动物卫生监督中心）</w:t>
      </w:r>
      <w:r>
        <w:rPr>
          <w:rFonts w:hint="eastAsia" w:ascii="黑体" w:hAnsi="黑体" w:eastAsia="黑体"/>
          <w:sz w:val="32"/>
          <w:szCs w:val="32"/>
        </w:rPr>
        <w:t>概况</w:t>
      </w:r>
    </w:p>
    <w:p w14:paraId="7A18C48E">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单位</w:t>
      </w:r>
      <w:r>
        <w:rPr>
          <w:rFonts w:hint="eastAsia" w:ascii="仿宋_GB2312" w:hAnsi="黑体" w:eastAsia="仿宋_GB2312"/>
          <w:sz w:val="32"/>
          <w:szCs w:val="32"/>
        </w:rPr>
        <w:t>职责</w:t>
      </w:r>
    </w:p>
    <w:p w14:paraId="2127EA0B">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77358827">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盘锦市动物疫病预防控制中心（盘锦市动物卫生监督中心）单位</w:t>
      </w:r>
      <w:r>
        <w:rPr>
          <w:rFonts w:hint="eastAsia" w:ascii="黑体" w:hAnsi="黑体" w:eastAsia="黑体"/>
          <w:sz w:val="32"/>
          <w:szCs w:val="32"/>
        </w:rPr>
        <w:t>预算情况说明</w:t>
      </w:r>
    </w:p>
    <w:p w14:paraId="1B6A2160">
      <w:pPr>
        <w:spacing w:line="560" w:lineRule="exact"/>
        <w:rPr>
          <w:rFonts w:ascii="黑体" w:hAnsi="黑体" w:eastAsia="黑体"/>
          <w:sz w:val="32"/>
          <w:szCs w:val="32"/>
        </w:rPr>
      </w:pPr>
      <w:r>
        <w:rPr>
          <w:rFonts w:hint="eastAsia" w:ascii="黑体" w:hAnsi="黑体" w:eastAsia="黑体"/>
          <w:sz w:val="32"/>
          <w:szCs w:val="32"/>
        </w:rPr>
        <w:t>第四部分    名词解释</w:t>
      </w:r>
    </w:p>
    <w:p w14:paraId="3D78E0B6">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盘锦市动物疫病预防控制中心（盘锦市动物卫生监督中心）单位</w:t>
      </w:r>
      <w:r>
        <w:rPr>
          <w:rFonts w:hint="eastAsia" w:ascii="黑体" w:hAnsi="黑体" w:eastAsia="黑体"/>
          <w:sz w:val="32"/>
          <w:szCs w:val="32"/>
        </w:rPr>
        <w:t>预算批复表</w:t>
      </w:r>
    </w:p>
    <w:p w14:paraId="1CAE7C5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617E281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7053EA9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3BF6370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214FD73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5CE618B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A8CA5B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67B5172B">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5EB2AC6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23FC0A3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6303DBD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2686F51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67C9A55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34C16E3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781B7E7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FE0389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7527B06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198C96D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1D4B60A9">
      <w:pPr>
        <w:spacing w:line="560" w:lineRule="exact"/>
        <w:rPr>
          <w:rFonts w:ascii="黑体" w:hAnsi="黑体" w:eastAsia="黑体"/>
          <w:sz w:val="32"/>
          <w:szCs w:val="32"/>
        </w:rPr>
      </w:pPr>
      <w:r>
        <w:rPr>
          <w:rFonts w:hint="eastAsia" w:ascii="黑体" w:hAnsi="黑体" w:eastAsia="黑体"/>
          <w:sz w:val="32"/>
          <w:szCs w:val="32"/>
        </w:rPr>
        <w:t>　</w:t>
      </w:r>
    </w:p>
    <w:p w14:paraId="4795CF46">
      <w:pPr>
        <w:spacing w:line="560" w:lineRule="exact"/>
        <w:rPr>
          <w:rFonts w:ascii="黑体" w:hAnsi="黑体" w:eastAsia="黑体"/>
          <w:sz w:val="32"/>
          <w:szCs w:val="32"/>
        </w:rPr>
      </w:pPr>
    </w:p>
    <w:p w14:paraId="53A9D4F0">
      <w:pPr>
        <w:spacing w:line="560" w:lineRule="exact"/>
        <w:rPr>
          <w:rFonts w:ascii="黑体" w:hAnsi="黑体" w:eastAsia="黑体"/>
          <w:sz w:val="32"/>
          <w:szCs w:val="32"/>
        </w:rPr>
      </w:pPr>
    </w:p>
    <w:p w14:paraId="44E88179">
      <w:pPr>
        <w:spacing w:line="560" w:lineRule="exact"/>
        <w:rPr>
          <w:rFonts w:ascii="宋体" w:hAnsi="宋体"/>
          <w:b/>
          <w:sz w:val="36"/>
          <w:szCs w:val="36"/>
        </w:rPr>
      </w:pPr>
    </w:p>
    <w:p w14:paraId="050EFA64">
      <w:pPr>
        <w:spacing w:line="560" w:lineRule="exact"/>
        <w:rPr>
          <w:rFonts w:ascii="宋体" w:hAnsi="宋体"/>
          <w:b/>
          <w:sz w:val="36"/>
          <w:szCs w:val="36"/>
        </w:rPr>
      </w:pPr>
    </w:p>
    <w:p w14:paraId="1CE7473F">
      <w:pPr>
        <w:spacing w:line="560" w:lineRule="exact"/>
        <w:jc w:val="center"/>
        <w:rPr>
          <w:rFonts w:ascii="宋体" w:hAnsi="宋体"/>
          <w:b/>
          <w:sz w:val="36"/>
          <w:szCs w:val="36"/>
        </w:rPr>
      </w:pPr>
    </w:p>
    <w:p w14:paraId="27B60272">
      <w:pPr>
        <w:spacing w:line="560" w:lineRule="exact"/>
        <w:jc w:val="center"/>
        <w:rPr>
          <w:rFonts w:ascii="宋体" w:hAnsi="宋体"/>
          <w:b/>
          <w:sz w:val="36"/>
          <w:szCs w:val="36"/>
        </w:rPr>
      </w:pPr>
    </w:p>
    <w:p w14:paraId="11B1E1D8">
      <w:pPr>
        <w:spacing w:line="560" w:lineRule="exact"/>
        <w:jc w:val="center"/>
        <w:rPr>
          <w:rFonts w:ascii="宋体" w:hAnsi="宋体"/>
          <w:b/>
          <w:sz w:val="36"/>
          <w:szCs w:val="36"/>
        </w:rPr>
      </w:pPr>
    </w:p>
    <w:p w14:paraId="67178358">
      <w:pPr>
        <w:spacing w:line="560" w:lineRule="exact"/>
        <w:jc w:val="center"/>
        <w:rPr>
          <w:rFonts w:ascii="宋体" w:hAnsi="宋体"/>
          <w:b/>
          <w:sz w:val="36"/>
          <w:szCs w:val="36"/>
        </w:rPr>
      </w:pPr>
    </w:p>
    <w:p w14:paraId="6043C4E9">
      <w:pPr>
        <w:spacing w:line="560" w:lineRule="exact"/>
        <w:jc w:val="center"/>
        <w:rPr>
          <w:rFonts w:ascii="宋体" w:hAnsi="宋体"/>
          <w:b/>
          <w:sz w:val="36"/>
          <w:szCs w:val="36"/>
        </w:rPr>
      </w:pPr>
    </w:p>
    <w:p w14:paraId="4799409E">
      <w:pPr>
        <w:spacing w:line="560" w:lineRule="exact"/>
        <w:jc w:val="center"/>
        <w:rPr>
          <w:rFonts w:ascii="宋体" w:hAnsi="宋体"/>
          <w:b/>
          <w:sz w:val="36"/>
          <w:szCs w:val="36"/>
        </w:rPr>
      </w:pPr>
    </w:p>
    <w:p w14:paraId="22DD1C98">
      <w:pPr>
        <w:spacing w:line="560" w:lineRule="exact"/>
        <w:jc w:val="center"/>
        <w:rPr>
          <w:rFonts w:ascii="宋体" w:hAnsi="宋体"/>
          <w:b/>
          <w:sz w:val="36"/>
          <w:szCs w:val="36"/>
        </w:rPr>
      </w:pPr>
    </w:p>
    <w:p w14:paraId="07A7ADF0">
      <w:pPr>
        <w:spacing w:line="560" w:lineRule="exact"/>
        <w:jc w:val="center"/>
        <w:rPr>
          <w:rFonts w:ascii="宋体" w:hAnsi="宋体"/>
          <w:b/>
          <w:sz w:val="36"/>
          <w:szCs w:val="36"/>
        </w:rPr>
      </w:pPr>
    </w:p>
    <w:p w14:paraId="7E587076">
      <w:pPr>
        <w:spacing w:line="560" w:lineRule="exact"/>
        <w:jc w:val="center"/>
        <w:rPr>
          <w:rFonts w:ascii="宋体" w:hAnsi="宋体"/>
          <w:b/>
          <w:sz w:val="36"/>
          <w:szCs w:val="36"/>
        </w:rPr>
      </w:pPr>
    </w:p>
    <w:p w14:paraId="738D14B5">
      <w:pPr>
        <w:spacing w:line="560" w:lineRule="exact"/>
        <w:jc w:val="center"/>
        <w:rPr>
          <w:rFonts w:ascii="宋体" w:hAnsi="宋体"/>
          <w:b/>
          <w:sz w:val="36"/>
          <w:szCs w:val="36"/>
        </w:rPr>
      </w:pPr>
    </w:p>
    <w:p w14:paraId="18824FB1">
      <w:pPr>
        <w:spacing w:line="560" w:lineRule="exact"/>
        <w:jc w:val="both"/>
        <w:rPr>
          <w:rFonts w:ascii="宋体" w:hAnsi="宋体"/>
          <w:b/>
          <w:sz w:val="36"/>
          <w:szCs w:val="36"/>
        </w:rPr>
      </w:pPr>
    </w:p>
    <w:p w14:paraId="7CBD631D">
      <w:pPr>
        <w:spacing w:line="560" w:lineRule="exact"/>
        <w:jc w:val="center"/>
        <w:rPr>
          <w:rFonts w:hint="eastAsia" w:ascii="宋体" w:hAnsi="宋体"/>
          <w:b/>
          <w:sz w:val="36"/>
          <w:szCs w:val="36"/>
        </w:rPr>
      </w:pPr>
    </w:p>
    <w:p w14:paraId="19EB96F2">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0ED10C86">
      <w:pPr>
        <w:spacing w:line="560" w:lineRule="exact"/>
        <w:jc w:val="center"/>
        <w:rPr>
          <w:rFonts w:ascii="宋体" w:hAnsi="宋体"/>
          <w:b/>
          <w:sz w:val="36"/>
          <w:szCs w:val="36"/>
        </w:rPr>
      </w:pPr>
    </w:p>
    <w:p w14:paraId="54F6BA08">
      <w:pPr>
        <w:numPr>
          <w:ilvl w:val="0"/>
          <w:numId w:val="2"/>
        </w:numPr>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《关于切实做好2025年市县预算公开工作的通知》（辽财预〔2025〕1号）</w:t>
      </w:r>
    </w:p>
    <w:p w14:paraId="7656ECD1">
      <w:pPr>
        <w:pStyle w:val="2"/>
        <w:numPr>
          <w:ilvl w:val="0"/>
          <w:numId w:val="2"/>
        </w:numPr>
        <w:rPr>
          <w:rFonts w:ascii="宋体" w:hAnsi="宋体"/>
          <w:b/>
          <w:sz w:val="36"/>
          <w:szCs w:val="36"/>
        </w:rPr>
      </w:pPr>
      <w:r>
        <w:rPr>
          <w:rFonts w:hint="eastAsia" w:ascii="仿宋_GB2312" w:hAnsi="仿宋_GB2312" w:eastAsia="仿宋_GB2312" w:cs="仿宋_GB2312"/>
          <w:b w:val="0"/>
          <w:bCs/>
          <w:sz w:val="32"/>
          <w:szCs w:val="32"/>
          <w:lang w:val="en-US" w:eastAsia="zh-CN"/>
        </w:rPr>
        <w:t>《关于印发盘锦市财政预决算领域基层政务公开标准指引的通知》（盘财预〔2021〕253号）</w:t>
      </w:r>
    </w:p>
    <w:p w14:paraId="69CD0C9E">
      <w:pPr>
        <w:pStyle w:val="2"/>
      </w:pPr>
    </w:p>
    <w:p w14:paraId="6145AD1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Theme="minorEastAsia" w:hAnsiTheme="minorEastAsia" w:eastAsiaTheme="minorEastAsia" w:cstheme="minorEastAsia"/>
          <w:b/>
          <w:bCs/>
          <w:sz w:val="36"/>
          <w:szCs w:val="36"/>
          <w:lang w:eastAsia="zh-CN"/>
        </w:rPr>
        <w:t>盘锦市动物疫病预防控制中心（盘锦市动物卫生监督中心）</w:t>
      </w:r>
      <w:r>
        <w:rPr>
          <w:rFonts w:hint="eastAsia" w:ascii="宋体" w:hAnsi="宋体"/>
          <w:b/>
          <w:sz w:val="36"/>
          <w:szCs w:val="36"/>
        </w:rPr>
        <w:t>概况</w:t>
      </w:r>
    </w:p>
    <w:p w14:paraId="0AE5AEB4">
      <w:pPr>
        <w:spacing w:line="560" w:lineRule="exact"/>
        <w:ind w:firstLine="646" w:firstLineChars="200"/>
        <w:jc w:val="left"/>
        <w:rPr>
          <w:rFonts w:ascii="黑体" w:eastAsia="黑体"/>
          <w:sz w:val="32"/>
          <w:szCs w:val="32"/>
        </w:rPr>
      </w:pPr>
    </w:p>
    <w:p w14:paraId="7C19C335">
      <w:pPr>
        <w:spacing w:line="560" w:lineRule="exact"/>
        <w:ind w:firstLine="646" w:firstLineChars="200"/>
        <w:jc w:val="left"/>
        <w:rPr>
          <w:rFonts w:ascii="黑体" w:eastAsia="黑体"/>
          <w:sz w:val="32"/>
          <w:szCs w:val="32"/>
          <w:highlight w:val="none"/>
        </w:rPr>
      </w:pPr>
      <w:r>
        <w:rPr>
          <w:rFonts w:hint="eastAsia" w:ascii="黑体" w:eastAsia="黑体"/>
          <w:sz w:val="32"/>
          <w:szCs w:val="32"/>
          <w:highlight w:val="none"/>
        </w:rPr>
        <w:t>一、</w:t>
      </w:r>
      <w:r>
        <w:rPr>
          <w:rFonts w:hint="eastAsia" w:ascii="黑体" w:eastAsia="黑体"/>
          <w:sz w:val="32"/>
          <w:szCs w:val="32"/>
          <w:highlight w:val="none"/>
          <w:lang w:eastAsia="zh-CN"/>
        </w:rPr>
        <w:t>单位</w:t>
      </w:r>
      <w:r>
        <w:rPr>
          <w:rFonts w:hint="eastAsia" w:ascii="黑体" w:eastAsia="黑体"/>
          <w:sz w:val="32"/>
          <w:szCs w:val="32"/>
          <w:highlight w:val="none"/>
        </w:rPr>
        <w:t>职责</w:t>
      </w:r>
    </w:p>
    <w:p w14:paraId="7326C0A8">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(一)负责动物疫病预防、控制、诊断、净化、消灭及监测、检测的事务性工作，为动物检疫及其监督管理提供技术支撑;研究提出重大动物疫病(包括人畜共患病)预防控制规划、扑灭计划、应急预案建议。</w:t>
      </w:r>
    </w:p>
    <w:p w14:paraId="391344D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(二)负责重大动物疫情预警预报、流行病学调查、疫情报告和动物疫病防控技术研究工作。</w:t>
      </w:r>
    </w:p>
    <w:p w14:paraId="313EC7C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(三)负责兽医实验室技术指导工作。</w:t>
      </w:r>
    </w:p>
    <w:p w14:paraId="0FE67F20">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(四)负责动物疫病防控物资应急储备、动物疫病防治.新技术推广指导、技术培训和科普宣传工作。</w:t>
      </w:r>
    </w:p>
    <w:p w14:paraId="1A2EC7E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(五)负责动物及动物产品检疫等事务性工作;研究提</w:t>
      </w:r>
    </w:p>
    <w:p w14:paraId="02C7113E">
      <w:pPr>
        <w:spacing w:line="560" w:lineRule="exact"/>
        <w:jc w:val="left"/>
        <w:rPr>
          <w:rFonts w:hint="eastAsia" w:ascii="仿宋_GB2312" w:eastAsia="仿宋_GB2312"/>
          <w:sz w:val="32"/>
          <w:szCs w:val="32"/>
        </w:rPr>
      </w:pPr>
      <w:r>
        <w:rPr>
          <w:rFonts w:hint="eastAsia" w:ascii="仿宋_GB2312" w:eastAsia="仿宋_GB2312"/>
          <w:sz w:val="32"/>
          <w:szCs w:val="32"/>
        </w:rPr>
        <w:t>出全市动物卫生监督规划等建议。</w:t>
      </w:r>
    </w:p>
    <w:p w14:paraId="1DE2082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(六)负责畜牧业技术推广工作，为畜牧业规模化标准化生产、畜禽粪污资源化利用等工作提供技术服务。</w:t>
      </w:r>
    </w:p>
    <w:p w14:paraId="6425224C">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(七)负责为畜牧业统计监测预警提供技术服务。</w:t>
      </w:r>
    </w:p>
    <w:p w14:paraId="4F0C1818">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(八)负责种畜禽质量和生产性能检验测定工作。</w:t>
      </w:r>
    </w:p>
    <w:p w14:paraId="0DEFFB5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(九)承担市农业农村局交办的其他工作。</w:t>
      </w:r>
    </w:p>
    <w:p w14:paraId="2331ADF3">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34FBD9C9">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盘锦市动物疫病预防控制中心（盘锦市动物卫生监督中心）为盘锦市农业农村局所属事业单位，机构规格正科级。</w:t>
      </w:r>
    </w:p>
    <w:p w14:paraId="64073F22">
      <w:pPr>
        <w:spacing w:line="560" w:lineRule="exact"/>
        <w:rPr>
          <w:rFonts w:ascii="黑体" w:eastAsia="黑体"/>
          <w:sz w:val="36"/>
          <w:szCs w:val="36"/>
        </w:rPr>
      </w:pPr>
    </w:p>
    <w:p w14:paraId="22D1B462">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Theme="minorEastAsia" w:hAnsiTheme="minorEastAsia" w:eastAsiaTheme="minorEastAsia" w:cstheme="minorEastAsia"/>
          <w:b/>
          <w:bCs/>
          <w:sz w:val="36"/>
          <w:szCs w:val="36"/>
          <w:lang w:eastAsia="zh-CN"/>
        </w:rPr>
        <w:t>盘锦市动物疫病预防控制中心（盘锦市动物卫生监督中心）</w:t>
      </w:r>
      <w:r>
        <w:rPr>
          <w:rFonts w:hint="eastAsia" w:ascii="宋体" w:hAnsi="宋体"/>
          <w:b/>
          <w:sz w:val="36"/>
          <w:szCs w:val="36"/>
          <w:lang w:val="en-US" w:eastAsia="zh-CN"/>
        </w:rPr>
        <w:t>2025</w:t>
      </w:r>
      <w:r>
        <w:rPr>
          <w:rFonts w:hint="eastAsia" w:ascii="宋体" w:hAnsi="宋体"/>
          <w:b/>
          <w:sz w:val="36"/>
          <w:szCs w:val="36"/>
        </w:rPr>
        <w:t>年部门预算情况说明</w:t>
      </w:r>
    </w:p>
    <w:p w14:paraId="19726214">
      <w:pPr>
        <w:spacing w:line="560" w:lineRule="exact"/>
        <w:jc w:val="center"/>
        <w:rPr>
          <w:rFonts w:ascii="宋体" w:hAnsi="宋体"/>
          <w:b/>
          <w:sz w:val="36"/>
          <w:szCs w:val="36"/>
        </w:rPr>
      </w:pPr>
    </w:p>
    <w:p w14:paraId="5F1283E9">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74A2764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233.86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1566F1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233.86</w:t>
      </w:r>
      <w:r>
        <w:rPr>
          <w:rFonts w:hint="eastAsia" w:ascii="仿宋_GB2312" w:hAnsi="宋体" w:eastAsia="仿宋_GB2312"/>
          <w:sz w:val="32"/>
          <w:szCs w:val="32"/>
          <w:highlight w:val="none"/>
        </w:rPr>
        <w:t>万元；</w:t>
      </w:r>
    </w:p>
    <w:p w14:paraId="67CA3F2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E32883">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122DF8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82655AC">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13EC1222">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7C020CC9">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233.86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7B302F20">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196.16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77462711">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37.70</w:t>
      </w:r>
      <w:r>
        <w:rPr>
          <w:rFonts w:hint="eastAsia" w:ascii="仿宋_GB2312" w:eastAsia="仿宋_GB2312"/>
          <w:sz w:val="32"/>
          <w:szCs w:val="32"/>
          <w:highlight w:val="none"/>
        </w:rPr>
        <w:t>万元。</w:t>
      </w:r>
    </w:p>
    <w:p w14:paraId="6F83F13B">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129DA6A">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6CA0E00B">
      <w:pPr>
        <w:spacing w:line="560" w:lineRule="exact"/>
        <w:ind w:firstLine="646" w:firstLineChars="200"/>
        <w:rPr>
          <w:rFonts w:hint="eastAsia"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9.66</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人员增加</w:t>
      </w:r>
      <w:r>
        <w:rPr>
          <w:rFonts w:hint="eastAsia" w:ascii="黑体" w:hAnsi="黑体" w:eastAsia="黑体"/>
          <w:sz w:val="32"/>
          <w:szCs w:val="32"/>
          <w:highlight w:val="none"/>
        </w:rPr>
        <w:t>。</w:t>
      </w:r>
    </w:p>
    <w:p w14:paraId="628EFBA7">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4B485E0A">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年，辽宁省财政厅管理专项资金共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6CD82ABB">
      <w:pPr>
        <w:spacing w:line="560" w:lineRule="exact"/>
        <w:ind w:firstLine="645"/>
        <w:rPr>
          <w:rFonts w:ascii="黑体" w:hAnsi="宋体" w:eastAsia="黑体"/>
          <w:sz w:val="32"/>
          <w:szCs w:val="32"/>
          <w:highlight w:val="none"/>
        </w:rPr>
      </w:pPr>
      <w:r>
        <w:rPr>
          <w:rFonts w:hint="eastAsia" w:ascii="黑体" w:hAnsi="宋体" w:eastAsia="黑体"/>
          <w:sz w:val="32"/>
          <w:szCs w:val="32"/>
          <w:highlight w:val="none"/>
        </w:rPr>
        <w:t>三、机关运行经费安排情况</w:t>
      </w:r>
    </w:p>
    <w:p w14:paraId="375FE9BD">
      <w:pPr>
        <w:spacing w:line="560" w:lineRule="exact"/>
        <w:ind w:firstLine="66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2025</w:t>
      </w:r>
      <w:r>
        <w:rPr>
          <w:rFonts w:hint="eastAsia" w:ascii="仿宋_GB2312" w:hAnsi="宋体" w:eastAsia="仿宋_GB2312"/>
          <w:sz w:val="32"/>
          <w:szCs w:val="32"/>
          <w:highlight w:val="none"/>
        </w:rPr>
        <w:t>年</w:t>
      </w:r>
      <w:r>
        <w:rPr>
          <w:rFonts w:hint="eastAsia" w:ascii="仿宋_GB2312" w:hAnsi="仿宋_GB2312" w:eastAsia="仿宋_GB2312" w:cs="仿宋_GB2312"/>
          <w:b w:val="0"/>
          <w:bCs w:val="0"/>
          <w:sz w:val="32"/>
          <w:szCs w:val="32"/>
          <w:lang w:eastAsia="zh-CN"/>
        </w:rPr>
        <w:t>盘锦市动物疫病预防控制中心（盘锦市动物卫生监督中心）</w:t>
      </w:r>
      <w:r>
        <w:rPr>
          <w:rFonts w:hint="eastAsia" w:ascii="仿宋_GB2312" w:hAnsi="宋体" w:eastAsia="仿宋_GB2312"/>
          <w:sz w:val="32"/>
          <w:szCs w:val="32"/>
          <w:highlight w:val="none"/>
        </w:rPr>
        <w:t>运行经费预算为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val="en-US" w:eastAsia="zh-CN"/>
        </w:rPr>
        <w:t>。</w:t>
      </w:r>
    </w:p>
    <w:p w14:paraId="1A7FC309">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57D88E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2025年辽宁省财政厅安排政府采购预算0万元，具体为货物0万元，服务0万元，工程0万元；预留面向中小企业采购份额0万元，其中预留给小微企业0万元。</w:t>
      </w:r>
    </w:p>
    <w:p w14:paraId="395A4B2F">
      <w:pPr>
        <w:spacing w:line="560" w:lineRule="exact"/>
        <w:ind w:firstLine="660"/>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highlight w:val="none"/>
        </w:rPr>
        <w:t>“三公”</w:t>
      </w:r>
      <w:r>
        <w:rPr>
          <w:rFonts w:hint="eastAsia" w:ascii="黑体" w:hAnsi="黑体" w:eastAsia="黑体"/>
          <w:sz w:val="32"/>
          <w:szCs w:val="32"/>
        </w:rPr>
        <w:t>经费预算情况</w:t>
      </w:r>
    </w:p>
    <w:p w14:paraId="22F2E068">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_GB2312" w:eastAsia="仿宋_GB2312" w:cs="仿宋_GB2312"/>
          <w:b w:val="0"/>
          <w:bCs w:val="0"/>
          <w:sz w:val="32"/>
          <w:szCs w:val="32"/>
          <w:lang w:eastAsia="zh-CN"/>
        </w:rPr>
        <w:t>盘锦市动物疫病预防控制中心（盘锦市动物卫生监督中心）</w:t>
      </w:r>
      <w:r>
        <w:rPr>
          <w:rFonts w:hint="eastAsia" w:ascii="仿宋_GB2312" w:eastAsia="仿宋_GB2312"/>
          <w:sz w:val="32"/>
          <w:szCs w:val="32"/>
          <w:lang w:eastAsia="zh-CN"/>
        </w:rPr>
        <w:t>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0.16</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0.03</w:t>
      </w:r>
      <w:r>
        <w:rPr>
          <w:rFonts w:hint="eastAsia" w:ascii="仿宋_GB2312" w:eastAsia="仿宋_GB2312"/>
          <w:sz w:val="32"/>
          <w:szCs w:val="32"/>
        </w:rPr>
        <w:t>万元，增长</w:t>
      </w:r>
      <w:r>
        <w:rPr>
          <w:rFonts w:hint="eastAsia" w:ascii="仿宋_GB2312" w:eastAsia="仿宋_GB2312"/>
          <w:sz w:val="32"/>
          <w:szCs w:val="32"/>
          <w:lang w:val="en-US" w:eastAsia="zh-CN"/>
        </w:rPr>
        <w:t>23.08</w:t>
      </w:r>
      <w:r>
        <w:rPr>
          <w:rFonts w:hint="eastAsia" w:ascii="仿宋_GB2312" w:eastAsia="仿宋_GB2312"/>
          <w:sz w:val="32"/>
          <w:szCs w:val="32"/>
        </w:rPr>
        <w:t>%。其中：</w:t>
      </w:r>
    </w:p>
    <w:p w14:paraId="65DC37BF">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p>
    <w:p w14:paraId="4ADC80D0">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0.16</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0.03</w:t>
      </w:r>
      <w:r>
        <w:rPr>
          <w:rFonts w:hint="eastAsia" w:ascii="仿宋_GB2312" w:eastAsia="仿宋_GB2312"/>
          <w:sz w:val="32"/>
          <w:szCs w:val="32"/>
        </w:rPr>
        <w:t>万元，增长</w:t>
      </w:r>
      <w:r>
        <w:rPr>
          <w:rFonts w:hint="eastAsia" w:ascii="仿宋_GB2312" w:eastAsia="仿宋_GB2312"/>
          <w:sz w:val="32"/>
          <w:szCs w:val="32"/>
          <w:lang w:val="en-US" w:eastAsia="zh-CN"/>
        </w:rPr>
        <w:t>23.08</w:t>
      </w:r>
      <w:r>
        <w:rPr>
          <w:rFonts w:hint="eastAsia" w:ascii="仿宋_GB2312" w:eastAsia="仿宋_GB2312"/>
          <w:sz w:val="32"/>
          <w:szCs w:val="32"/>
        </w:rPr>
        <w:t>%。主要原因为</w:t>
      </w:r>
      <w:r>
        <w:rPr>
          <w:rFonts w:hint="eastAsia" w:ascii="仿宋_GB2312" w:eastAsia="仿宋_GB2312"/>
          <w:sz w:val="32"/>
          <w:szCs w:val="32"/>
          <w:highlight w:val="none"/>
          <w:lang w:eastAsia="zh-CN"/>
        </w:rPr>
        <w:t>人员增加</w:t>
      </w:r>
      <w:r>
        <w:rPr>
          <w:rFonts w:hint="eastAsia" w:ascii="仿宋_GB2312" w:eastAsia="仿宋_GB2312"/>
          <w:sz w:val="32"/>
          <w:szCs w:val="32"/>
        </w:rPr>
        <w:t>。</w:t>
      </w:r>
    </w:p>
    <w:p w14:paraId="4125BBDB">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%。主要原因是。</w:t>
      </w:r>
    </w:p>
    <w:p w14:paraId="2EB2F4ED"/>
    <w:p w14:paraId="3E23C154">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47656A1E">
        <w:tblPrEx>
          <w:tblCellMar>
            <w:top w:w="15" w:type="dxa"/>
            <w:left w:w="108" w:type="dxa"/>
            <w:bottom w:w="15" w:type="dxa"/>
            <w:right w:w="108" w:type="dxa"/>
          </w:tblCellMar>
        </w:tblPrEx>
        <w:trPr>
          <w:trHeight w:val="570" w:hRule="atLeast"/>
        </w:trPr>
        <w:tc>
          <w:tcPr>
            <w:tcW w:w="8835" w:type="dxa"/>
            <w:gridSpan w:val="4"/>
            <w:vAlign w:val="center"/>
          </w:tcPr>
          <w:p w14:paraId="2F265DA0">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2E760511">
        <w:tblPrEx>
          <w:tblCellMar>
            <w:top w:w="15" w:type="dxa"/>
            <w:left w:w="108" w:type="dxa"/>
            <w:bottom w:w="15" w:type="dxa"/>
            <w:right w:w="108" w:type="dxa"/>
          </w:tblCellMar>
        </w:tblPrEx>
        <w:trPr>
          <w:trHeight w:val="480" w:hRule="atLeast"/>
        </w:trPr>
        <w:tc>
          <w:tcPr>
            <w:tcW w:w="3423" w:type="dxa"/>
            <w:vAlign w:val="center"/>
          </w:tcPr>
          <w:p w14:paraId="03BB29FB">
            <w:pPr>
              <w:widowControl/>
              <w:spacing w:line="560" w:lineRule="exact"/>
              <w:jc w:val="left"/>
              <w:rPr>
                <w:rFonts w:ascii="宋体" w:hAnsi="宋体" w:cs="宋体"/>
                <w:color w:val="000000"/>
                <w:kern w:val="0"/>
                <w:sz w:val="24"/>
              </w:rPr>
            </w:pPr>
          </w:p>
        </w:tc>
        <w:tc>
          <w:tcPr>
            <w:tcW w:w="2026" w:type="dxa"/>
            <w:vAlign w:val="center"/>
          </w:tcPr>
          <w:p w14:paraId="135F8D1D">
            <w:pPr>
              <w:widowControl/>
              <w:spacing w:line="560" w:lineRule="exact"/>
              <w:jc w:val="left"/>
              <w:rPr>
                <w:rFonts w:ascii="宋体" w:hAnsi="宋体" w:cs="宋体"/>
                <w:color w:val="000000"/>
                <w:kern w:val="0"/>
                <w:sz w:val="24"/>
              </w:rPr>
            </w:pPr>
          </w:p>
        </w:tc>
        <w:tc>
          <w:tcPr>
            <w:tcW w:w="3386" w:type="dxa"/>
            <w:gridSpan w:val="2"/>
            <w:vAlign w:val="center"/>
          </w:tcPr>
          <w:p w14:paraId="321B8056">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7C2856D">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64C7B1E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03A0ECE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27F89EBE">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145EBFF">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526B5E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67F60A1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07F70F1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FB380D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ABA13">
            <w:pPr>
              <w:widowControl/>
              <w:spacing w:line="560" w:lineRule="exact"/>
              <w:jc w:val="left"/>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0.13</w:t>
            </w:r>
          </w:p>
        </w:tc>
        <w:tc>
          <w:tcPr>
            <w:tcW w:w="2583" w:type="dxa"/>
            <w:tcBorders>
              <w:top w:val="single" w:color="000000" w:sz="4" w:space="0"/>
              <w:left w:val="single" w:color="000000" w:sz="4" w:space="0"/>
              <w:bottom w:val="single" w:color="000000" w:sz="4" w:space="0"/>
              <w:right w:val="single" w:color="000000" w:sz="4" w:space="0"/>
            </w:tcBorders>
            <w:vAlign w:val="center"/>
          </w:tcPr>
          <w:p w14:paraId="25ADF793">
            <w:pPr>
              <w:widowControl/>
              <w:spacing w:line="560" w:lineRule="exact"/>
              <w:jc w:val="left"/>
              <w:rPr>
                <w:rFonts w:ascii="宋体" w:hAnsi="宋体" w:cs="宋体"/>
                <w:b/>
                <w:bCs/>
                <w:color w:val="000000"/>
                <w:kern w:val="0"/>
                <w:sz w:val="24"/>
              </w:rPr>
            </w:pPr>
            <w:r>
              <w:rPr>
                <w:rFonts w:hint="eastAsia" w:ascii="宋体" w:hAnsi="宋体" w:cs="宋体"/>
                <w:color w:val="000000"/>
                <w:kern w:val="0"/>
                <w:sz w:val="24"/>
                <w:lang w:val="en-US" w:eastAsia="zh-CN"/>
              </w:rPr>
              <w:t>0.16</w:t>
            </w:r>
          </w:p>
        </w:tc>
      </w:tr>
      <w:tr w14:paraId="4E8CEF7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29D923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DC9CC">
            <w:pPr>
              <w:widowControl/>
              <w:spacing w:line="560" w:lineRule="exact"/>
              <w:jc w:val="left"/>
              <w:rPr>
                <w:rFonts w:ascii="宋体" w:hAnsi="宋体" w:eastAsia="宋体" w:cs="宋体"/>
                <w:color w:val="000000"/>
                <w:kern w:val="0"/>
                <w:sz w:val="24"/>
                <w:szCs w:val="24"/>
                <w:lang w:val="en-US" w:eastAsia="zh-CN" w:bidi="ar-SA"/>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6AB88F2">
            <w:pPr>
              <w:widowControl/>
              <w:spacing w:line="560" w:lineRule="exact"/>
              <w:jc w:val="left"/>
              <w:rPr>
                <w:rFonts w:ascii="宋体" w:hAnsi="宋体" w:cs="宋体"/>
                <w:color w:val="000000"/>
                <w:kern w:val="0"/>
                <w:sz w:val="24"/>
              </w:rPr>
            </w:pPr>
          </w:p>
        </w:tc>
      </w:tr>
      <w:tr w14:paraId="572C82F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D0FA50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highlight w:val="none"/>
              </w:rPr>
              <w:t>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E35A4F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0.13</w:t>
            </w:r>
          </w:p>
        </w:tc>
        <w:tc>
          <w:tcPr>
            <w:tcW w:w="2583" w:type="dxa"/>
            <w:tcBorders>
              <w:top w:val="single" w:color="000000" w:sz="4" w:space="0"/>
              <w:left w:val="single" w:color="000000" w:sz="4" w:space="0"/>
              <w:bottom w:val="single" w:color="000000" w:sz="4" w:space="0"/>
              <w:right w:val="single" w:color="000000" w:sz="4" w:space="0"/>
            </w:tcBorders>
            <w:vAlign w:val="center"/>
          </w:tcPr>
          <w:p w14:paraId="003A8D5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0.16</w:t>
            </w:r>
          </w:p>
        </w:tc>
      </w:tr>
      <w:tr w14:paraId="5C63CBF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AB5B4F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459ADE8">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392E7C6">
            <w:pPr>
              <w:widowControl/>
              <w:spacing w:line="560" w:lineRule="exact"/>
              <w:jc w:val="left"/>
              <w:rPr>
                <w:rFonts w:ascii="宋体" w:hAnsi="宋体" w:cs="宋体"/>
                <w:color w:val="000000"/>
                <w:kern w:val="0"/>
                <w:sz w:val="24"/>
              </w:rPr>
            </w:pPr>
          </w:p>
        </w:tc>
      </w:tr>
      <w:tr w14:paraId="47E8E9E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F7B52C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1267E70">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4EF8664">
            <w:pPr>
              <w:widowControl/>
              <w:spacing w:line="560" w:lineRule="exact"/>
              <w:jc w:val="left"/>
              <w:rPr>
                <w:rFonts w:ascii="宋体" w:hAnsi="宋体" w:cs="宋体"/>
                <w:color w:val="000000"/>
                <w:kern w:val="0"/>
                <w:sz w:val="24"/>
              </w:rPr>
            </w:pPr>
          </w:p>
        </w:tc>
      </w:tr>
      <w:tr w14:paraId="1F2D5C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01AD99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66FA8A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A8B0172">
            <w:pPr>
              <w:widowControl/>
              <w:spacing w:line="560" w:lineRule="exact"/>
              <w:jc w:val="left"/>
              <w:rPr>
                <w:rFonts w:ascii="宋体" w:hAnsi="宋体" w:cs="宋体"/>
                <w:color w:val="000000"/>
                <w:kern w:val="0"/>
                <w:sz w:val="24"/>
              </w:rPr>
            </w:pPr>
          </w:p>
        </w:tc>
      </w:tr>
    </w:tbl>
    <w:p w14:paraId="041AECCC">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7109D9D2">
      <w:pPr>
        <w:spacing w:line="560" w:lineRule="exact"/>
        <w:ind w:firstLine="646" w:firstLineChars="200"/>
        <w:rPr>
          <w:rFonts w:ascii="仿宋_GB2312" w:hAnsi="宋体" w:eastAsia="仿宋_GB2312"/>
          <w:sz w:val="32"/>
          <w:szCs w:val="32"/>
        </w:rPr>
      </w:pPr>
      <w:r>
        <w:rPr>
          <w:rFonts w:hint="eastAsia" w:ascii="仿宋_GB2312" w:hAnsi="仿宋_GB2312" w:eastAsia="仿宋_GB2312" w:cs="仿宋_GB2312"/>
          <w:b w:val="0"/>
          <w:bCs w:val="0"/>
          <w:sz w:val="32"/>
          <w:szCs w:val="32"/>
          <w:lang w:eastAsia="zh-CN"/>
        </w:rPr>
        <w:t>盘锦市动物疫病预防控制中心（盘锦市动物卫生监督中心）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03F5094">
      <w:pPr>
        <w:spacing w:line="560" w:lineRule="exact"/>
        <w:ind w:firstLine="646" w:firstLineChars="200"/>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highlight w:val="none"/>
        </w:rPr>
        <w:t>预算</w:t>
      </w:r>
      <w:r>
        <w:rPr>
          <w:rFonts w:hint="eastAsia" w:ascii="黑体" w:hAnsi="黑体" w:eastAsia="黑体"/>
          <w:sz w:val="32"/>
          <w:szCs w:val="32"/>
        </w:rPr>
        <w:t>绩效目标情况</w:t>
      </w:r>
    </w:p>
    <w:p w14:paraId="47B6C203">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仿宋_GB2312" w:eastAsia="仿宋_GB2312" w:cs="仿宋_GB2312"/>
          <w:b w:val="0"/>
          <w:bCs w:val="0"/>
          <w:sz w:val="32"/>
          <w:szCs w:val="32"/>
          <w:lang w:eastAsia="zh-CN"/>
        </w:rPr>
        <w:t>盘锦市动物疫病预防控制中心（盘锦市动物卫生监督中心）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37.70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6EC9F126">
      <w:pPr>
        <w:pStyle w:val="2"/>
        <w:rPr>
          <w:rFonts w:hint="eastAsia" w:eastAsia="仿宋_GB2312"/>
          <w:lang w:eastAsia="zh-CN"/>
        </w:rPr>
      </w:pPr>
    </w:p>
    <w:p w14:paraId="1BCA3396">
      <w:pPr>
        <w:spacing w:line="560" w:lineRule="exact"/>
        <w:jc w:val="center"/>
        <w:rPr>
          <w:rFonts w:ascii="宋体" w:hAnsi="宋体"/>
          <w:b/>
          <w:sz w:val="36"/>
          <w:szCs w:val="36"/>
          <w:highlight w:val="none"/>
        </w:rPr>
      </w:pPr>
      <w:r>
        <w:rPr>
          <w:rFonts w:hint="eastAsia" w:ascii="宋体" w:hAnsi="宋体"/>
          <w:b/>
          <w:sz w:val="36"/>
          <w:szCs w:val="36"/>
          <w:highlight w:val="none"/>
        </w:rPr>
        <w:t>第四部分 名词解释</w:t>
      </w:r>
    </w:p>
    <w:p w14:paraId="6B8732BF">
      <w:pPr>
        <w:spacing w:line="560" w:lineRule="exact"/>
        <w:jc w:val="center"/>
        <w:rPr>
          <w:rFonts w:ascii="仿宋_GB2312" w:eastAsia="仿宋_GB2312"/>
          <w:sz w:val="32"/>
          <w:szCs w:val="32"/>
        </w:rPr>
      </w:pPr>
    </w:p>
    <w:p w14:paraId="71563903">
      <w:pPr>
        <w:numPr>
          <w:ilvl w:val="0"/>
          <w:numId w:val="3"/>
        </w:numPr>
        <w:spacing w:line="560" w:lineRule="exact"/>
        <w:ind w:firstLine="646" w:firstLineChars="200"/>
        <w:jc w:val="left"/>
        <w:rPr>
          <w:rFonts w:hint="eastAsia" w:ascii="仿宋_GB2312" w:hAnsi="仿宋_GB2312" w:eastAsia="仿宋_GB2312" w:cs="仿宋_GB2312"/>
          <w:color w:val="auto"/>
          <w:sz w:val="32"/>
          <w:szCs w:val="32"/>
          <w:highlight w:val="none"/>
        </w:rPr>
      </w:pPr>
      <w:r>
        <w:rPr>
          <w:rFonts w:hint="eastAsia" w:ascii="仿宋_GB2312" w:eastAsia="仿宋_GB2312"/>
          <w:b/>
          <w:color w:val="auto"/>
          <w:sz w:val="32"/>
          <w:szCs w:val="32"/>
          <w:highlight w:val="none"/>
        </w:rPr>
        <w:t>一般公共预算：</w:t>
      </w:r>
      <w:r>
        <w:rPr>
          <w:rFonts w:hint="eastAsia" w:ascii="仿宋_GB2312" w:hAnsi="仿宋_GB2312" w:eastAsia="仿宋_GB2312" w:cs="仿宋_GB2312"/>
          <w:color w:val="auto"/>
          <w:sz w:val="32"/>
          <w:szCs w:val="32"/>
          <w:highlight w:val="none"/>
        </w:rPr>
        <w:t>是对以税收为主体的财政收入，安排用于保障和改善民生、推动经济社会发展、维护国家安全、维持国家机构正常运转等方面的收支预算。</w:t>
      </w:r>
    </w:p>
    <w:p w14:paraId="7A9131F3">
      <w:pPr>
        <w:numPr>
          <w:ilvl w:val="0"/>
          <w:numId w:val="3"/>
        </w:numPr>
        <w:spacing w:line="560" w:lineRule="exact"/>
        <w:ind w:firstLine="646" w:firstLineChars="200"/>
        <w:jc w:val="left"/>
        <w:rPr>
          <w:rFonts w:ascii="仿宋_GB2312" w:eastAsia="仿宋_GB2312"/>
          <w:color w:val="auto"/>
          <w:sz w:val="32"/>
          <w:szCs w:val="32"/>
          <w:highlight w:val="none"/>
        </w:rPr>
      </w:pPr>
      <w:r>
        <w:rPr>
          <w:rFonts w:hint="eastAsia" w:ascii="仿宋_GB2312" w:eastAsia="仿宋_GB2312"/>
          <w:b/>
          <w:color w:val="auto"/>
          <w:sz w:val="32"/>
          <w:szCs w:val="32"/>
          <w:highlight w:val="none"/>
        </w:rPr>
        <w:t>基本支出：</w:t>
      </w:r>
      <w:r>
        <w:rPr>
          <w:rFonts w:hint="eastAsia" w:ascii="仿宋_GB2312" w:eastAsia="仿宋_GB2312"/>
          <w:color w:val="auto"/>
          <w:sz w:val="32"/>
          <w:szCs w:val="32"/>
          <w:highlight w:val="none"/>
        </w:rPr>
        <w:t>是为保障机构正常运转、完成日常工作任务而发生的支出，包括人员经费和公用经费。</w:t>
      </w:r>
    </w:p>
    <w:p w14:paraId="2B5B8978">
      <w:pPr>
        <w:numPr>
          <w:ilvl w:val="0"/>
          <w:numId w:val="3"/>
        </w:numPr>
        <w:spacing w:line="560" w:lineRule="exact"/>
        <w:ind w:firstLine="646" w:firstLineChars="200"/>
        <w:jc w:val="left"/>
        <w:rPr>
          <w:rFonts w:ascii="仿宋_GB2312" w:eastAsia="仿宋_GB2312"/>
          <w:b/>
          <w:color w:val="auto"/>
          <w:sz w:val="32"/>
          <w:szCs w:val="32"/>
          <w:highlight w:val="none"/>
        </w:rPr>
      </w:pPr>
      <w:r>
        <w:rPr>
          <w:rFonts w:hint="eastAsia" w:ascii="仿宋_GB2312" w:eastAsia="仿宋_GB2312"/>
          <w:b/>
          <w:color w:val="auto"/>
          <w:sz w:val="32"/>
          <w:szCs w:val="32"/>
          <w:highlight w:val="none"/>
        </w:rPr>
        <w:t>项目支出：</w:t>
      </w:r>
      <w:r>
        <w:rPr>
          <w:rFonts w:hint="eastAsia" w:ascii="仿宋_GB2312" w:eastAsia="仿宋_GB2312"/>
          <w:color w:val="auto"/>
          <w:sz w:val="32"/>
          <w:szCs w:val="32"/>
          <w:highlight w:val="none"/>
        </w:rPr>
        <w:t>指为完成特定工作任务和事业发展目标所发生的支出。</w:t>
      </w:r>
    </w:p>
    <w:p w14:paraId="3FD6404E">
      <w:pPr>
        <w:numPr>
          <w:ilvl w:val="0"/>
          <w:numId w:val="3"/>
        </w:numPr>
        <w:spacing w:line="560" w:lineRule="exact"/>
        <w:ind w:firstLine="646" w:firstLineChars="200"/>
        <w:jc w:val="left"/>
        <w:rPr>
          <w:rFonts w:ascii="仿宋_GB2312" w:eastAsia="仿宋_GB2312"/>
          <w:color w:val="auto"/>
          <w:sz w:val="32"/>
          <w:szCs w:val="32"/>
          <w:highlight w:val="none"/>
        </w:rPr>
      </w:pPr>
      <w:r>
        <w:rPr>
          <w:rFonts w:hint="eastAsia" w:ascii="仿宋_GB2312" w:eastAsia="仿宋_GB2312"/>
          <w:b/>
          <w:color w:val="auto"/>
          <w:sz w:val="32"/>
          <w:szCs w:val="32"/>
          <w:highlight w:val="none"/>
        </w:rPr>
        <w:t>机关运行经费：</w:t>
      </w:r>
      <w:r>
        <w:rPr>
          <w:rFonts w:hint="eastAsia" w:ascii="仿宋_GB2312" w:eastAsia="仿宋_GB2312"/>
          <w:color w:val="auto"/>
          <w:sz w:val="32"/>
          <w:szCs w:val="32"/>
          <w:highlight w:val="none"/>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507ADD82">
      <w:pPr>
        <w:numPr>
          <w:ilvl w:val="0"/>
          <w:numId w:val="3"/>
        </w:numPr>
        <w:spacing w:line="560" w:lineRule="exact"/>
        <w:ind w:firstLine="646" w:firstLineChars="200"/>
        <w:jc w:val="left"/>
        <w:rPr>
          <w:rFonts w:ascii="仿宋_GB2312" w:eastAsia="仿宋_GB2312"/>
          <w:color w:val="auto"/>
          <w:sz w:val="32"/>
          <w:szCs w:val="32"/>
          <w:highlight w:val="none"/>
        </w:rPr>
      </w:pPr>
      <w:r>
        <w:rPr>
          <w:rFonts w:hint="eastAsia" w:ascii="仿宋_GB2312" w:eastAsia="仿宋_GB2312"/>
          <w:b/>
          <w:color w:val="auto"/>
          <w:sz w:val="32"/>
          <w:szCs w:val="32"/>
          <w:highlight w:val="none"/>
        </w:rPr>
        <w:t>上年结转：</w:t>
      </w:r>
      <w:r>
        <w:rPr>
          <w:rFonts w:hint="eastAsia" w:ascii="仿宋_GB2312" w:eastAsia="仿宋_GB2312"/>
          <w:color w:val="auto"/>
          <w:sz w:val="32"/>
          <w:szCs w:val="32"/>
          <w:highlight w:val="none"/>
        </w:rPr>
        <w:t>指以前年度尚未使用完毕，结转到本年仍按原规定用途继续使用的资金。</w:t>
      </w:r>
    </w:p>
    <w:p w14:paraId="081609B6">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仿宋_GB2312" w:eastAsia="仿宋_GB2312"/>
          <w:b/>
          <w:color w:val="auto"/>
          <w:sz w:val="32"/>
          <w:szCs w:val="32"/>
          <w:highlight w:val="none"/>
        </w:rPr>
        <w:t>“三公”经费：</w:t>
      </w:r>
      <w:r>
        <w:rPr>
          <w:rFonts w:hint="eastAsia" w:ascii="仿宋_GB2312" w:eastAsia="仿宋_GB2312"/>
          <w:color w:val="auto"/>
          <w:sz w:val="32"/>
          <w:szCs w:val="32"/>
          <w:highlight w:val="none"/>
        </w:rPr>
        <w:t>指用</w:t>
      </w:r>
      <w:r>
        <w:rPr>
          <w:rFonts w:hint="eastAsia" w:ascii="仿宋_GB2312" w:eastAsia="仿宋_GB2312"/>
          <w:color w:val="auto"/>
          <w:sz w:val="32"/>
          <w:szCs w:val="32"/>
          <w:highlight w:val="none"/>
          <w:lang w:eastAsia="zh-CN"/>
        </w:rPr>
        <w:t>财政拨款</w:t>
      </w:r>
      <w:r>
        <w:rPr>
          <w:rFonts w:hint="eastAsia" w:ascii="仿宋_GB2312" w:eastAsia="仿宋_GB2312"/>
          <w:color w:val="auto"/>
          <w:sz w:val="32"/>
          <w:szCs w:val="32"/>
          <w:highlight w:val="none"/>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7B583420">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eastAsia="zh-CN"/>
        </w:rPr>
        <w:t>工资福利支出：反映</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单位开支的在职职工和编制外长期聘用人员的各类劳动报酬，以及为上述人员缴纳的各项社会保险费等。</w:t>
      </w:r>
    </w:p>
    <w:p w14:paraId="68A0EF2F">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基本工资：</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反映按规定发放的基本工资，包括：</w:t>
      </w:r>
      <w:r>
        <w:rPr>
          <w:rFonts w:hint="default" w:ascii="仿宋_GB2312" w:hAnsi="仿宋_GB2312" w:eastAsia="仿宋_GB2312" w:cs="仿宋_GB2312"/>
          <w:i w:val="0"/>
          <w:iCs w:val="0"/>
          <w:caps w:val="0"/>
          <w:color w:val="auto"/>
          <w:spacing w:val="0"/>
          <w:sz w:val="32"/>
          <w:szCs w:val="32"/>
          <w:highlight w:val="none"/>
          <w:shd w:val="clear" w:color="auto" w:fill="FFFFFF"/>
          <w:lang w:eastAsia="zh-CN"/>
        </w:rPr>
        <w:t>公务员的职务工资、级别工资；机关工人的岗位工资、技术等级工资；事业单位工作人员的岗位工资、薪级工资；各类学校毕业生试用期（见习期）工资、新参加工作工人学徒期、熟练期工资；军队（含武警）军官、文职干部的职务（专业技术等级）工资、军衔（级别）工资和军龄工资；军队士官的军衔等级工资和军龄工资等。</w:t>
      </w:r>
    </w:p>
    <w:p w14:paraId="162CEC47">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津贴补贴：</w:t>
      </w:r>
      <w:r>
        <w:rPr>
          <w:rFonts w:hint="default" w:ascii="仿宋_GB2312" w:hAnsi="仿宋_GB2312" w:eastAsia="仿宋_GB2312" w:cs="仿宋_GB2312"/>
          <w:i w:val="0"/>
          <w:iCs w:val="0"/>
          <w:caps w:val="0"/>
          <w:color w:val="auto"/>
          <w:spacing w:val="0"/>
          <w:sz w:val="32"/>
          <w:szCs w:val="32"/>
          <w:highlight w:val="none"/>
          <w:shd w:val="clear" w:color="auto" w:fill="FFFFFF"/>
          <w:lang w:eastAsia="zh-CN"/>
        </w:rPr>
        <w:t>反映按规定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14:paraId="749E7A23">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奖金：</w:t>
      </w:r>
      <w:r>
        <w:rPr>
          <w:rFonts w:hint="default" w:ascii="仿宋_GB2312" w:hAnsi="仿宋_GB2312" w:eastAsia="仿宋_GB2312" w:cs="仿宋_GB2312"/>
          <w:i w:val="0"/>
          <w:iCs w:val="0"/>
          <w:caps w:val="0"/>
          <w:color w:val="auto"/>
          <w:spacing w:val="0"/>
          <w:sz w:val="32"/>
          <w:szCs w:val="32"/>
          <w:highlight w:val="none"/>
          <w:shd w:val="clear" w:color="auto" w:fill="FFFFFF"/>
          <w:lang w:eastAsia="zh-CN"/>
        </w:rPr>
        <w:t>反映按规定发放的奖金，包括：机关工作人员年终一次性奖金、绩效奖金（基础绩效奖、年度绩效奖）等。</w:t>
      </w:r>
    </w:p>
    <w:p w14:paraId="58614CBB">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绩效工资：</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反映事业单位工作人员的绩效工资。</w:t>
      </w:r>
    </w:p>
    <w:p w14:paraId="01F2EC94">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社会保障缴费：</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为职工缴纳的基本养老保险缴费、职业年金缴费、职工基本医疗保险（含生育保险）缴费、公务员医疗补助缴费，以及失业、工伤和其他社会保障缴费。基本养老保险缴费、职业年金缴费、职工医疗保险（含生育保险）缴费、公务员医疗补助缴费和其他社会保障缴费的说明见部门预算支出经济分类科目说明。</w:t>
      </w:r>
    </w:p>
    <w:p w14:paraId="37C79A3C">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住房公积金：</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反映机关和参公事业单位按规定为职工缴纳的住房公积金。</w:t>
      </w:r>
    </w:p>
    <w:p w14:paraId="276F6BB3">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其他工资福利支出：</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反映机关和参公事业单位伙食补助费、医疗费和其他工资福利支出。说明见部门预算支出经济分类科目说明。</w:t>
      </w:r>
    </w:p>
    <w:p w14:paraId="351BDB31">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商品和服务支出：</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反映机关和参公事业单位购买商品和服务的各类支出，不包括用于购置固定资产、战略性和应急性物资储备等资本性支出。</w:t>
      </w:r>
    </w:p>
    <w:p w14:paraId="094BB789">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办公经费：</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的办公费、印刷费、手续费、水费、电费、邮电费、取暖费、物业管理费、差旅费、租赁费、工会经费、福利费、其他交通费用、税金及附加费用。说明见部门预算支出经济分类科目说明。</w:t>
      </w:r>
    </w:p>
    <w:p w14:paraId="450F6456">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会议费：</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反映机关和参公事业单位会议费支出，包括：会议期间按规定开支的住宿费、伙食费、会议场地租金、交通费、文件印刷费、医药费等。</w:t>
      </w:r>
    </w:p>
    <w:p w14:paraId="4CDD0DBF">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培训费：</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反映机关和参公事业单位除因公出国（境）培训费以外的培训费，包括：在培训期间发生的师资费、住宿费、伙食费、培训场地费</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培训资料费、交通费等各类培训费用。</w:t>
      </w:r>
    </w:p>
    <w:p w14:paraId="5323794D">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专用材料购置费：</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反映机关和参公事业单位不</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纳入固</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定资产核算范围的专用材料费、被装购置费、专用燃料费。说明见部门预算支出经济分类科目说明。</w:t>
      </w:r>
    </w:p>
    <w:p w14:paraId="05A15C0E">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委托业务费：</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反映机关和参公事业单位的咨询费、劳务费、委托业务费。说明见部门预算支出经济分类科目说明。</w:t>
      </w:r>
    </w:p>
    <w:p w14:paraId="44698D2C">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公务接待费：</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反映机关和参公事业单位按规定开支的各类公务接待（含外宾接待）费用。</w:t>
      </w:r>
    </w:p>
    <w:p w14:paraId="47B42228">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公务用车运行维护费：</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反映机关和参公事业单位按规定保留的公务用车燃料费、维修费、过桥过路费、保险费、安全奖励费用等支出。</w:t>
      </w:r>
    </w:p>
    <w:p w14:paraId="6212CBFB">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维修（护）费：</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反映机关和参公事业单位日常开支的固定资产（不包括车船等交通工具）修理和维护费用，网络信息系统运行与维护费用，以及按规定提取的修购基金。</w:t>
      </w:r>
    </w:p>
    <w:p w14:paraId="7289855D">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其他商品和服务支出：</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反映上述科目未包括的日常公用支出。如：诉讼费、国内组织的会员费、来访费、广告宣传费以及离休人员特需费、离退休人员公用经费等。</w:t>
      </w:r>
    </w:p>
    <w:p w14:paraId="3F78DE7D">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对个人和家庭的补助：</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反映政府用于对个人和家庭的补助支出。</w:t>
      </w:r>
    </w:p>
    <w:p w14:paraId="6EA1DCD0">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其他支出：</w:t>
      </w:r>
      <w:r>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t>反映除上述科目以外的其他支出。</w:t>
      </w:r>
    </w:p>
    <w:p w14:paraId="588AB91F">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一般公共服务支出：反映政府</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提供一般公共服务的支出。</w:t>
      </w:r>
    </w:p>
    <w:p w14:paraId="4D33F789">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社会保障和就业支出：反映</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政府在社会保障与就业方面的支出。</w:t>
      </w:r>
    </w:p>
    <w:p w14:paraId="495D2675">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卫生健康支出：</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反映政府卫生健康方面的支出。                                                             </w:t>
      </w:r>
    </w:p>
    <w:p w14:paraId="72180E92">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农林水支出：</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反映政府农林水事务支出。</w:t>
      </w:r>
    </w:p>
    <w:p w14:paraId="05523C41">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住房保障支出：</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集中反映政府用于住房方面的支出。</w:t>
      </w:r>
    </w:p>
    <w:p w14:paraId="729EA504">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社会保障和就业支出（类）行政事业单位养老支出（款）：</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反映用于行政事业单位养老方面的支出。</w:t>
      </w:r>
    </w:p>
    <w:p w14:paraId="785F128D">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农林水支出（类）巩固脱贫攻坚成果衔接乡村振兴（款）：</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反映用于农村（包括国有农场、国有林场）巩固拓展脱贫攻坚成果同乡村振兴有效衔接等方面的支出。</w:t>
      </w:r>
    </w:p>
    <w:p w14:paraId="623DBCC5">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农林水支出（类）农业农村（款）：</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反映种植业、畜牧业、渔业、种业、兽医、农技、农垦、农场、农村产业、农村社会事业等方面的支出。</w:t>
      </w:r>
    </w:p>
    <w:p w14:paraId="2B174B4B">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一般公共服务支出（类）纪检监察事务（款）：</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反映纪检、监察方面的支出。</w:t>
      </w:r>
    </w:p>
    <w:p w14:paraId="5EFE1EEF">
      <w:pPr>
        <w:numPr>
          <w:ilvl w:val="0"/>
          <w:numId w:val="3"/>
        </w:numPr>
        <w:spacing w:line="560" w:lineRule="exact"/>
        <w:ind w:firstLine="646" w:firstLineChars="200"/>
        <w:jc w:val="left"/>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社会保障和就业支出（类）残疾人事业（款）：</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反映政府在残疾人事业方面的支出。</w:t>
      </w:r>
    </w:p>
    <w:p w14:paraId="6A710941">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社会保障和就业支出（类）其他社会保障和就业支出（款）：</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反映除上述项目以外其他用于社会保障和就业方面的支出。</w:t>
      </w:r>
    </w:p>
    <w:p w14:paraId="17F780A6">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color="auto" w:fill="FFFFFF"/>
        </w:rPr>
        <w:t>社会保障和就业（类）行政事业单位离退休（款）归口管理的行政单位离退休（项）：</w:t>
      </w:r>
      <w:r>
        <w:rPr>
          <w:rFonts w:hint="eastAsia" w:ascii="仿宋_GB2312" w:hAnsi="仿宋_GB2312" w:eastAsia="仿宋_GB2312" w:cs="仿宋_GB2312"/>
          <w:i w:val="0"/>
          <w:iCs w:val="0"/>
          <w:caps w:val="0"/>
          <w:color w:val="auto"/>
          <w:spacing w:val="0"/>
          <w:sz w:val="32"/>
          <w:szCs w:val="32"/>
          <w:highlight w:val="none"/>
          <w:shd w:val="clear" w:color="auto" w:fill="FFFFFF"/>
        </w:rPr>
        <w:t>反映实行归口管理的行政单位（包括实行公务员管理的事业单位）开支的离退休经费。</w:t>
      </w:r>
    </w:p>
    <w:p w14:paraId="6F7754F7">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color="auto" w:fill="FFFFFF"/>
        </w:rPr>
        <w:t>社会保障和就业（类）行政事业单位离退休（款）事业单位离退休（项）：</w:t>
      </w:r>
      <w:r>
        <w:rPr>
          <w:rFonts w:hint="eastAsia" w:ascii="仿宋_GB2312" w:hAnsi="仿宋_GB2312" w:eastAsia="仿宋_GB2312" w:cs="仿宋_GB2312"/>
          <w:i w:val="0"/>
          <w:iCs w:val="0"/>
          <w:caps w:val="0"/>
          <w:color w:val="auto"/>
          <w:spacing w:val="0"/>
          <w:sz w:val="32"/>
          <w:szCs w:val="32"/>
          <w:highlight w:val="none"/>
          <w:shd w:val="clear" w:color="auto" w:fill="FFFFFF"/>
        </w:rPr>
        <w:t>反映实行归口管理的事业单位开支的离退休经费。</w:t>
      </w:r>
    </w:p>
    <w:p w14:paraId="0204B115">
      <w:pPr>
        <w:numPr>
          <w:ilvl w:val="0"/>
          <w:numId w:val="3"/>
        </w:numPr>
        <w:spacing w:line="560" w:lineRule="exact"/>
        <w:ind w:firstLine="646" w:firstLineChars="200"/>
        <w:jc w:val="left"/>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color="auto" w:fill="FFFFFF"/>
        </w:rPr>
        <w:t>卫生健康类（类）行政事业单位医疗（款）行政单位医疗（项）：</w:t>
      </w:r>
      <w:r>
        <w:rPr>
          <w:rFonts w:hint="eastAsia" w:ascii="仿宋_GB2312" w:hAnsi="仿宋_GB2312" w:eastAsia="仿宋_GB2312" w:cs="仿宋_GB2312"/>
          <w:i w:val="0"/>
          <w:iCs w:val="0"/>
          <w:caps w:val="0"/>
          <w:color w:val="auto"/>
          <w:spacing w:val="0"/>
          <w:sz w:val="32"/>
          <w:szCs w:val="32"/>
          <w:highlight w:val="none"/>
          <w:shd w:val="clear" w:color="auto" w:fill="FFFFFF"/>
        </w:rPr>
        <w:t>反映财政部门安排的行政单位（包括实行公务员管理的事业单位，下同）基本医疗保险缴费经费，未参加医疗保险的行政单位的公费医疗经费，按国家规定享受离休人员、红军老战士待遇人员的医疗经费。</w:t>
      </w:r>
    </w:p>
    <w:p w14:paraId="76BECC6C">
      <w:pPr>
        <w:numPr>
          <w:ilvl w:val="0"/>
          <w:numId w:val="3"/>
        </w:numPr>
        <w:spacing w:line="560" w:lineRule="exact"/>
        <w:ind w:firstLine="646"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color="auto" w:fill="FFFFFF"/>
        </w:rPr>
        <w:t>卫生健康类（类）行政事业单位医疗（款）事业单位医疗（项）：</w:t>
      </w:r>
      <w:r>
        <w:rPr>
          <w:rFonts w:hint="eastAsia" w:ascii="仿宋_GB2312" w:hAnsi="仿宋_GB2312" w:eastAsia="仿宋_GB2312" w:cs="仿宋_GB2312"/>
          <w:i w:val="0"/>
          <w:iCs w:val="0"/>
          <w:caps w:val="0"/>
          <w:color w:val="auto"/>
          <w:spacing w:val="0"/>
          <w:sz w:val="32"/>
          <w:szCs w:val="32"/>
          <w:highlight w:val="none"/>
          <w:shd w:val="clear" w:color="auto" w:fill="FFFFFF"/>
        </w:rPr>
        <w:t>反映财政部门安排的事业单位基本医疗保险缴费经费，未参加医疗保险的事业单位的公费医疗经费，按国家规定享受离休人员待遇人员的医疗经费。</w:t>
      </w:r>
    </w:p>
    <w:p w14:paraId="60E94B9B">
      <w:pPr>
        <w:numPr>
          <w:ilvl w:val="0"/>
          <w:numId w:val="3"/>
        </w:numPr>
        <w:spacing w:line="560" w:lineRule="exact"/>
        <w:ind w:firstLine="646" w:firstLineChars="200"/>
        <w:jc w:val="left"/>
        <w:rPr>
          <w:rFonts w:hint="eastAsia" w:ascii="仿宋_GB2312" w:hAnsi="宋体" w:eastAsia="仿宋_GB2312" w:cs="仿宋_GB2312"/>
          <w:color w:val="auto"/>
          <w:kern w:val="0"/>
          <w:sz w:val="32"/>
          <w:szCs w:val="32"/>
          <w:highlight w:val="none"/>
          <w:lang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rPr>
        <w:t>住房保障（类）住房改革（款）住房公积金（项）：</w:t>
      </w:r>
      <w:r>
        <w:rPr>
          <w:rFonts w:hint="eastAsia" w:ascii="仿宋_GB2312" w:hAnsi="仿宋_GB2312" w:eastAsia="仿宋_GB2312" w:cs="仿宋_GB2312"/>
          <w:i w:val="0"/>
          <w:iCs w:val="0"/>
          <w:caps w:val="0"/>
          <w:color w:val="auto"/>
          <w:spacing w:val="0"/>
          <w:sz w:val="32"/>
          <w:szCs w:val="32"/>
          <w:highlight w:val="none"/>
          <w:shd w:val="clear" w:color="auto" w:fill="FFFFFF"/>
        </w:rPr>
        <w:t>反映行政事业单位按人力资源和社会保障部、财政部规定的基本工资和津贴补贴以及规定比例为职工缴纳的住房公积金。</w:t>
      </w:r>
    </w:p>
    <w:p w14:paraId="34444300">
      <w:pPr>
        <w:numPr>
          <w:ilvl w:val="0"/>
          <w:numId w:val="3"/>
        </w:numPr>
        <w:spacing w:line="560" w:lineRule="exact"/>
        <w:ind w:firstLine="646" w:firstLineChars="200"/>
        <w:jc w:val="left"/>
        <w:rPr>
          <w:rFonts w:hint="eastAsia" w:ascii="仿宋_GB2312" w:hAnsi="宋体" w:eastAsia="仿宋_GB2312" w:cs="仿宋_GB2312"/>
          <w:color w:val="auto"/>
          <w:kern w:val="0"/>
          <w:sz w:val="32"/>
          <w:szCs w:val="32"/>
          <w:highlight w:val="none"/>
          <w:lang w:eastAsia="zh-CN"/>
        </w:rPr>
      </w:pPr>
      <w:r>
        <w:rPr>
          <w:rFonts w:hint="eastAsia" w:ascii="仿宋_GB2312" w:hAnsi="宋体" w:eastAsia="仿宋_GB2312" w:cs="仿宋_GB2312"/>
          <w:b/>
          <w:bCs/>
          <w:color w:val="auto"/>
          <w:kern w:val="0"/>
          <w:sz w:val="32"/>
          <w:szCs w:val="32"/>
          <w:highlight w:val="none"/>
        </w:rPr>
        <w:t>农林水支出（类）农业</w:t>
      </w:r>
      <w:r>
        <w:rPr>
          <w:rFonts w:hint="eastAsia" w:ascii="仿宋_GB2312" w:hAnsi="宋体" w:eastAsia="仿宋_GB2312" w:cs="仿宋_GB2312"/>
          <w:b/>
          <w:bCs/>
          <w:color w:val="auto"/>
          <w:kern w:val="0"/>
          <w:sz w:val="32"/>
          <w:szCs w:val="32"/>
          <w:highlight w:val="none"/>
          <w:lang w:eastAsia="zh-CN"/>
        </w:rPr>
        <w:t>农村</w:t>
      </w:r>
      <w:r>
        <w:rPr>
          <w:rFonts w:hint="eastAsia" w:ascii="仿宋_GB2312" w:hAnsi="宋体" w:eastAsia="仿宋_GB2312" w:cs="仿宋_GB2312"/>
          <w:b/>
          <w:bCs/>
          <w:color w:val="auto"/>
          <w:kern w:val="0"/>
          <w:sz w:val="32"/>
          <w:szCs w:val="32"/>
          <w:highlight w:val="none"/>
        </w:rPr>
        <w:t>（款）行政运行（项）：</w:t>
      </w:r>
      <w:r>
        <w:rPr>
          <w:rFonts w:hint="eastAsia" w:ascii="仿宋_GB2312" w:hAnsi="宋体" w:eastAsia="仿宋_GB2312" w:cs="仿宋_GB2312"/>
          <w:color w:val="auto"/>
          <w:kern w:val="0"/>
          <w:sz w:val="32"/>
          <w:szCs w:val="32"/>
          <w:highlight w:val="none"/>
        </w:rPr>
        <w:t>反映行政单位（包括试行公务员管理的事业单位）的基本支出。</w:t>
      </w:r>
    </w:p>
    <w:p w14:paraId="5A3436F5">
      <w:pPr>
        <w:numPr>
          <w:ilvl w:val="0"/>
          <w:numId w:val="3"/>
        </w:numPr>
        <w:spacing w:line="560" w:lineRule="exact"/>
        <w:ind w:firstLine="646" w:firstLineChars="200"/>
        <w:jc w:val="left"/>
        <w:rPr>
          <w:rFonts w:hint="eastAsia" w:ascii="仿宋_GB2312" w:hAnsi="宋体" w:eastAsia="仿宋_GB2312" w:cs="仿宋_GB2312"/>
          <w:color w:val="auto"/>
          <w:kern w:val="0"/>
          <w:sz w:val="32"/>
          <w:szCs w:val="32"/>
          <w:highlight w:val="none"/>
          <w:lang w:eastAsia="zh-CN"/>
        </w:rPr>
      </w:pPr>
      <w:r>
        <w:rPr>
          <w:rFonts w:hint="eastAsia" w:ascii="仿宋_GB2312" w:hAnsi="宋体" w:eastAsia="仿宋_GB2312" w:cs="仿宋_GB2312"/>
          <w:b/>
          <w:bCs/>
          <w:color w:val="auto"/>
          <w:kern w:val="0"/>
          <w:sz w:val="32"/>
          <w:szCs w:val="32"/>
          <w:highlight w:val="none"/>
        </w:rPr>
        <w:t>农林水支出（类）农业</w:t>
      </w:r>
      <w:r>
        <w:rPr>
          <w:rFonts w:hint="eastAsia" w:ascii="仿宋_GB2312" w:hAnsi="宋体" w:eastAsia="仿宋_GB2312" w:cs="仿宋_GB2312"/>
          <w:b/>
          <w:bCs/>
          <w:color w:val="auto"/>
          <w:kern w:val="0"/>
          <w:sz w:val="32"/>
          <w:szCs w:val="32"/>
          <w:highlight w:val="none"/>
          <w:lang w:eastAsia="zh-CN"/>
        </w:rPr>
        <w:t>农村</w:t>
      </w:r>
      <w:r>
        <w:rPr>
          <w:rFonts w:hint="eastAsia" w:ascii="仿宋_GB2312" w:hAnsi="宋体" w:eastAsia="仿宋_GB2312" w:cs="仿宋_GB2312"/>
          <w:b/>
          <w:bCs/>
          <w:color w:val="auto"/>
          <w:kern w:val="0"/>
          <w:sz w:val="32"/>
          <w:szCs w:val="32"/>
          <w:highlight w:val="none"/>
        </w:rPr>
        <w:t>（款）事业运行（项）：</w:t>
      </w:r>
      <w:r>
        <w:rPr>
          <w:rFonts w:hint="eastAsia" w:ascii="仿宋_GB2312" w:hAnsi="宋体" w:eastAsia="仿宋_GB2312" w:cs="仿宋_GB2312"/>
          <w:color w:val="auto"/>
          <w:kern w:val="0"/>
          <w:sz w:val="32"/>
          <w:szCs w:val="32"/>
          <w:highlight w:val="none"/>
        </w:rPr>
        <w:t>反映用于农业事业单位基本支出，事业单位设施、系统运行与资产维护等方面的支出。</w:t>
      </w:r>
    </w:p>
    <w:p w14:paraId="79A193DE">
      <w:pPr>
        <w:numPr>
          <w:ilvl w:val="0"/>
          <w:numId w:val="3"/>
        </w:numPr>
        <w:spacing w:line="560" w:lineRule="exact"/>
        <w:ind w:firstLine="646" w:firstLineChars="200"/>
        <w:jc w:val="left"/>
        <w:rPr>
          <w:rFonts w:hint="eastAsia" w:ascii="仿宋_GB2312" w:hAnsi="宋体" w:eastAsia="仿宋_GB2312" w:cs="仿宋_GB2312"/>
          <w:color w:val="auto"/>
          <w:kern w:val="0"/>
          <w:sz w:val="32"/>
          <w:szCs w:val="32"/>
          <w:highlight w:val="none"/>
          <w:lang w:eastAsia="zh-CN"/>
        </w:rPr>
      </w:pPr>
      <w:r>
        <w:rPr>
          <w:rFonts w:hint="eastAsia" w:ascii="仿宋_GB2312" w:hAnsi="宋体" w:eastAsia="仿宋_GB2312" w:cs="仿宋_GB2312"/>
          <w:b/>
          <w:bCs/>
          <w:color w:val="auto"/>
          <w:kern w:val="0"/>
          <w:sz w:val="32"/>
          <w:szCs w:val="32"/>
          <w:highlight w:val="none"/>
        </w:rPr>
        <w:t>农林水支出（类）农业</w:t>
      </w:r>
      <w:r>
        <w:rPr>
          <w:rFonts w:hint="eastAsia" w:ascii="仿宋_GB2312" w:hAnsi="宋体" w:eastAsia="仿宋_GB2312" w:cs="仿宋_GB2312"/>
          <w:b/>
          <w:bCs/>
          <w:color w:val="auto"/>
          <w:kern w:val="0"/>
          <w:sz w:val="32"/>
          <w:szCs w:val="32"/>
          <w:highlight w:val="none"/>
          <w:lang w:eastAsia="zh-CN"/>
        </w:rPr>
        <w:t>农村</w:t>
      </w:r>
      <w:r>
        <w:rPr>
          <w:rFonts w:hint="eastAsia" w:ascii="仿宋_GB2312" w:hAnsi="宋体" w:eastAsia="仿宋_GB2312" w:cs="仿宋_GB2312"/>
          <w:b/>
          <w:bCs/>
          <w:color w:val="auto"/>
          <w:kern w:val="0"/>
          <w:sz w:val="32"/>
          <w:szCs w:val="32"/>
          <w:highlight w:val="none"/>
        </w:rPr>
        <w:t>（款）科技转化与推广服务（项）：</w:t>
      </w:r>
      <w:r>
        <w:rPr>
          <w:rFonts w:hint="eastAsia" w:ascii="仿宋_GB2312" w:hAnsi="宋体" w:eastAsia="仿宋_GB2312" w:cs="仿宋_GB2312"/>
          <w:color w:val="auto"/>
          <w:kern w:val="0"/>
          <w:sz w:val="32"/>
          <w:szCs w:val="32"/>
          <w:highlight w:val="none"/>
        </w:rPr>
        <w:t>反映用于农业科技成果转化，农业新品种、新机具、新技术引进、试验、示范、推广及服务，农村人居环境整治等方面的技术试验示范支出。</w:t>
      </w:r>
    </w:p>
    <w:p w14:paraId="04338C8D">
      <w:pPr>
        <w:numPr>
          <w:ilvl w:val="0"/>
          <w:numId w:val="3"/>
        </w:numPr>
        <w:spacing w:line="560" w:lineRule="exact"/>
        <w:ind w:firstLine="646" w:firstLineChars="200"/>
        <w:jc w:val="left"/>
        <w:rPr>
          <w:rFonts w:hint="eastAsia" w:ascii="仿宋_GB2312" w:hAnsi="宋体" w:eastAsia="仿宋_GB2312" w:cs="仿宋_GB2312"/>
          <w:color w:val="auto"/>
          <w:kern w:val="0"/>
          <w:sz w:val="32"/>
          <w:szCs w:val="32"/>
          <w:highlight w:val="none"/>
          <w:lang w:eastAsia="zh-CN"/>
        </w:rPr>
      </w:pPr>
      <w:r>
        <w:rPr>
          <w:rFonts w:hint="eastAsia" w:ascii="仿宋_GB2312" w:hAnsi="宋体" w:eastAsia="仿宋_GB2312" w:cs="仿宋_GB2312"/>
          <w:b/>
          <w:bCs/>
          <w:color w:val="auto"/>
          <w:kern w:val="0"/>
          <w:sz w:val="32"/>
          <w:szCs w:val="32"/>
          <w:highlight w:val="none"/>
        </w:rPr>
        <w:t>农林水支出（类）农业</w:t>
      </w:r>
      <w:r>
        <w:rPr>
          <w:rFonts w:hint="eastAsia" w:ascii="仿宋_GB2312" w:hAnsi="宋体" w:eastAsia="仿宋_GB2312" w:cs="仿宋_GB2312"/>
          <w:b/>
          <w:bCs/>
          <w:color w:val="auto"/>
          <w:kern w:val="0"/>
          <w:sz w:val="32"/>
          <w:szCs w:val="32"/>
          <w:highlight w:val="none"/>
          <w:lang w:eastAsia="zh-CN"/>
        </w:rPr>
        <w:t>农村</w:t>
      </w:r>
      <w:r>
        <w:rPr>
          <w:rFonts w:hint="eastAsia" w:ascii="仿宋_GB2312" w:hAnsi="宋体" w:eastAsia="仿宋_GB2312" w:cs="仿宋_GB2312"/>
          <w:b/>
          <w:bCs/>
          <w:color w:val="auto"/>
          <w:kern w:val="0"/>
          <w:sz w:val="32"/>
          <w:szCs w:val="32"/>
          <w:highlight w:val="none"/>
        </w:rPr>
        <w:t>（款）病虫害</w:t>
      </w:r>
      <w:r>
        <w:rPr>
          <w:rFonts w:hint="eastAsia" w:ascii="仿宋_GB2312" w:hAnsi="宋体" w:eastAsia="仿宋_GB2312" w:cs="仿宋_GB2312"/>
          <w:b/>
          <w:bCs/>
          <w:color w:val="auto"/>
          <w:kern w:val="0"/>
          <w:sz w:val="32"/>
          <w:szCs w:val="32"/>
          <w:highlight w:val="none"/>
          <w:lang w:eastAsia="zh-CN"/>
        </w:rPr>
        <w:t>控制</w:t>
      </w:r>
      <w:r>
        <w:rPr>
          <w:rFonts w:hint="eastAsia" w:ascii="仿宋_GB2312" w:hAnsi="宋体" w:eastAsia="仿宋_GB2312" w:cs="仿宋_GB2312"/>
          <w:b/>
          <w:bCs/>
          <w:color w:val="auto"/>
          <w:kern w:val="0"/>
          <w:sz w:val="32"/>
          <w:szCs w:val="32"/>
          <w:highlight w:val="none"/>
        </w:rPr>
        <w:t>（项）：</w:t>
      </w:r>
      <w:r>
        <w:rPr>
          <w:rFonts w:hint="eastAsia" w:ascii="仿宋_GB2312" w:hAnsi="宋体" w:eastAsia="仿宋_GB2312" w:cs="仿宋_GB2312"/>
          <w:color w:val="auto"/>
          <w:kern w:val="0"/>
          <w:sz w:val="32"/>
          <w:szCs w:val="32"/>
          <w:highlight w:val="none"/>
        </w:rPr>
        <w:t>反映用于病虫鼠害及疫情监测、预报、预防、控制、检疫、防疫所需的仪器、设施、药物、疫苗、种苗</w:t>
      </w:r>
      <w:r>
        <w:rPr>
          <w:rFonts w:hint="eastAsia" w:ascii="仿宋_GB2312" w:hAnsi="宋体" w:eastAsia="仿宋_GB2312" w:cs="仿宋_GB2312"/>
          <w:color w:val="auto"/>
          <w:kern w:val="0"/>
          <w:sz w:val="32"/>
          <w:szCs w:val="32"/>
          <w:highlight w:val="none"/>
          <w:lang w:eastAsia="zh-CN"/>
        </w:rPr>
        <w:t>、</w:t>
      </w:r>
      <w:r>
        <w:rPr>
          <w:rFonts w:hint="eastAsia" w:ascii="仿宋_GB2312" w:hAnsi="宋体" w:eastAsia="仿宋_GB2312" w:cs="仿宋_GB2312"/>
          <w:color w:val="auto"/>
          <w:kern w:val="0"/>
          <w:sz w:val="32"/>
          <w:szCs w:val="32"/>
          <w:highlight w:val="none"/>
        </w:rPr>
        <w:t>疫畜（禽、鱼、植物）防治、扑杀补偿及劳务补助、菌（毒）种保藏及动植物及其产品检疫、检测等方面的支出。</w:t>
      </w:r>
    </w:p>
    <w:p w14:paraId="261920DE">
      <w:pPr>
        <w:numPr>
          <w:ilvl w:val="0"/>
          <w:numId w:val="3"/>
        </w:numPr>
        <w:spacing w:line="560" w:lineRule="exact"/>
        <w:ind w:firstLine="646" w:firstLineChars="200"/>
        <w:jc w:val="left"/>
        <w:rPr>
          <w:rFonts w:hint="eastAsia" w:ascii="仿宋_GB2312" w:hAnsi="宋体" w:eastAsia="仿宋_GB2312" w:cs="仿宋_GB2312"/>
          <w:color w:val="auto"/>
          <w:kern w:val="0"/>
          <w:sz w:val="32"/>
          <w:szCs w:val="32"/>
          <w:highlight w:val="none"/>
          <w:lang w:eastAsia="zh-CN"/>
        </w:rPr>
      </w:pPr>
      <w:r>
        <w:rPr>
          <w:rFonts w:hint="eastAsia" w:ascii="仿宋_GB2312" w:hAnsi="宋体" w:eastAsia="仿宋_GB2312" w:cs="仿宋_GB2312"/>
          <w:b/>
          <w:bCs/>
          <w:color w:val="auto"/>
          <w:kern w:val="0"/>
          <w:sz w:val="32"/>
          <w:szCs w:val="32"/>
          <w:highlight w:val="none"/>
        </w:rPr>
        <w:t>农林水支出（类）农业</w:t>
      </w:r>
      <w:r>
        <w:rPr>
          <w:rFonts w:hint="eastAsia" w:ascii="仿宋_GB2312" w:hAnsi="宋体" w:eastAsia="仿宋_GB2312" w:cs="仿宋_GB2312"/>
          <w:b/>
          <w:bCs/>
          <w:color w:val="auto"/>
          <w:kern w:val="0"/>
          <w:sz w:val="32"/>
          <w:szCs w:val="32"/>
          <w:highlight w:val="none"/>
          <w:lang w:eastAsia="zh-CN"/>
        </w:rPr>
        <w:t>农村</w:t>
      </w:r>
      <w:r>
        <w:rPr>
          <w:rFonts w:hint="eastAsia" w:ascii="仿宋_GB2312" w:hAnsi="宋体" w:eastAsia="仿宋_GB2312" w:cs="仿宋_GB2312"/>
          <w:b/>
          <w:bCs/>
          <w:color w:val="auto"/>
          <w:kern w:val="0"/>
          <w:sz w:val="32"/>
          <w:szCs w:val="32"/>
          <w:highlight w:val="none"/>
        </w:rPr>
        <w:t>（款）行业业务管理（项）：</w:t>
      </w:r>
      <w:r>
        <w:rPr>
          <w:rFonts w:hint="eastAsia" w:ascii="仿宋_GB2312" w:hAnsi="宋体" w:eastAsia="仿宋_GB2312" w:cs="仿宋_GB2312"/>
          <w:color w:val="auto"/>
          <w:kern w:val="0"/>
          <w:sz w:val="32"/>
          <w:szCs w:val="32"/>
          <w:highlight w:val="none"/>
        </w:rPr>
        <w:t>反映用于农业农村政策研究、规划编制、评审评估、绩效评价、监督检查等基本业务管理工作的支出。</w:t>
      </w:r>
    </w:p>
    <w:p w14:paraId="381D16F2">
      <w:pPr>
        <w:numPr>
          <w:ilvl w:val="0"/>
          <w:numId w:val="3"/>
        </w:numPr>
        <w:spacing w:line="560" w:lineRule="exact"/>
        <w:ind w:firstLine="646" w:firstLineChars="200"/>
        <w:jc w:val="left"/>
        <w:rPr>
          <w:rFonts w:hint="eastAsia" w:ascii="仿宋" w:hAnsi="仿宋" w:eastAsia="仿宋"/>
          <w:color w:val="auto"/>
          <w:sz w:val="32"/>
          <w:szCs w:val="32"/>
          <w:highlight w:val="none"/>
        </w:rPr>
      </w:pPr>
      <w:r>
        <w:rPr>
          <w:rFonts w:hint="eastAsia" w:ascii="仿宋_GB2312" w:hAnsi="宋体" w:eastAsia="仿宋_GB2312" w:cs="仿宋_GB2312"/>
          <w:b/>
          <w:bCs/>
          <w:color w:val="auto"/>
          <w:kern w:val="0"/>
          <w:sz w:val="32"/>
          <w:szCs w:val="32"/>
          <w:highlight w:val="none"/>
        </w:rPr>
        <w:t>农林水支出（类）巩固脱贫衔接乡村振兴（款）其他巩固脱贫衔接乡村振兴支出（项）：</w:t>
      </w:r>
      <w:r>
        <w:rPr>
          <w:rFonts w:hint="eastAsia" w:ascii="仿宋_GB2312" w:hAnsi="宋体" w:eastAsia="仿宋_GB2312" w:cs="仿宋_GB2312"/>
          <w:color w:val="auto"/>
          <w:kern w:val="0"/>
          <w:sz w:val="32"/>
          <w:szCs w:val="32"/>
          <w:highlight w:val="none"/>
        </w:rPr>
        <w:tab/>
      </w:r>
      <w:r>
        <w:rPr>
          <w:rFonts w:hint="eastAsia" w:ascii="仿宋_GB2312" w:hAnsi="宋体" w:eastAsia="仿宋_GB2312" w:cs="仿宋_GB2312"/>
          <w:color w:val="auto"/>
          <w:kern w:val="0"/>
          <w:sz w:val="32"/>
          <w:szCs w:val="32"/>
          <w:highlight w:val="none"/>
        </w:rPr>
        <w:t>反映其他用于巩固拓展脱贫攻坚成果同乡村振兴有效衔接方面的支出</w:t>
      </w:r>
    </w:p>
    <w:p w14:paraId="6EBED998">
      <w:pPr>
        <w:numPr>
          <w:ilvl w:val="0"/>
          <w:numId w:val="3"/>
        </w:numPr>
        <w:spacing w:line="560" w:lineRule="exact"/>
        <w:ind w:firstLine="646" w:firstLineChars="200"/>
        <w:jc w:val="left"/>
        <w:rPr>
          <w:rFonts w:hint="eastAsia" w:ascii="仿宋" w:hAnsi="仿宋" w:eastAsia="仿宋"/>
          <w:color w:val="auto"/>
          <w:sz w:val="32"/>
          <w:szCs w:val="32"/>
          <w:highlight w:val="none"/>
        </w:rPr>
      </w:pPr>
      <w:r>
        <w:rPr>
          <w:rFonts w:hint="eastAsia" w:ascii="仿宋_GB2312" w:hAnsi="宋体" w:eastAsia="仿宋_GB2312" w:cs="仿宋_GB2312"/>
          <w:b/>
          <w:bCs/>
          <w:color w:val="auto"/>
          <w:kern w:val="0"/>
          <w:sz w:val="32"/>
          <w:szCs w:val="32"/>
          <w:highlight w:val="none"/>
        </w:rPr>
        <w:t>社会保障和就业支出（类）</w:t>
      </w:r>
      <w:r>
        <w:rPr>
          <w:rFonts w:hint="eastAsia" w:ascii="仿宋_GB2312" w:hAnsi="宋体" w:eastAsia="仿宋_GB2312" w:cs="仿宋_GB2312"/>
          <w:b/>
          <w:bCs/>
          <w:color w:val="auto"/>
          <w:kern w:val="0"/>
          <w:sz w:val="32"/>
          <w:szCs w:val="32"/>
          <w:highlight w:val="none"/>
          <w:lang w:eastAsia="zh-CN"/>
        </w:rPr>
        <w:t>残疾人事业</w:t>
      </w:r>
      <w:r>
        <w:rPr>
          <w:rFonts w:hint="eastAsia" w:ascii="仿宋_GB2312" w:hAnsi="宋体" w:eastAsia="仿宋_GB2312" w:cs="仿宋_GB2312"/>
          <w:b/>
          <w:bCs/>
          <w:color w:val="auto"/>
          <w:kern w:val="0"/>
          <w:sz w:val="32"/>
          <w:szCs w:val="32"/>
          <w:highlight w:val="none"/>
        </w:rPr>
        <w:t>（款）其他</w:t>
      </w:r>
      <w:r>
        <w:rPr>
          <w:rFonts w:hint="eastAsia" w:ascii="仿宋_GB2312" w:hAnsi="宋体" w:eastAsia="仿宋_GB2312" w:cs="仿宋_GB2312"/>
          <w:b/>
          <w:bCs/>
          <w:color w:val="auto"/>
          <w:kern w:val="0"/>
          <w:sz w:val="32"/>
          <w:szCs w:val="32"/>
          <w:highlight w:val="none"/>
          <w:lang w:eastAsia="zh-CN"/>
        </w:rPr>
        <w:t>残疾人事业</w:t>
      </w:r>
      <w:r>
        <w:rPr>
          <w:rFonts w:hint="eastAsia" w:ascii="仿宋_GB2312" w:hAnsi="宋体" w:eastAsia="仿宋_GB2312" w:cs="仿宋_GB2312"/>
          <w:b/>
          <w:bCs/>
          <w:color w:val="auto"/>
          <w:kern w:val="0"/>
          <w:sz w:val="32"/>
          <w:szCs w:val="32"/>
          <w:highlight w:val="none"/>
        </w:rPr>
        <w:t>支出（项）：</w:t>
      </w:r>
      <w:r>
        <w:rPr>
          <w:rFonts w:hint="eastAsia" w:ascii="仿宋_GB2312" w:hAnsi="宋体" w:eastAsia="仿宋_GB2312" w:cs="仿宋_GB2312"/>
          <w:color w:val="auto"/>
          <w:kern w:val="0"/>
          <w:sz w:val="32"/>
          <w:szCs w:val="32"/>
          <w:highlight w:val="none"/>
        </w:rPr>
        <w:t>反映</w:t>
      </w:r>
      <w:r>
        <w:rPr>
          <w:rFonts w:hint="eastAsia" w:ascii="仿宋_GB2312" w:hAnsi="宋体" w:eastAsia="仿宋_GB2312" w:cs="仿宋_GB2312"/>
          <w:color w:val="auto"/>
          <w:kern w:val="0"/>
          <w:sz w:val="32"/>
          <w:szCs w:val="32"/>
          <w:highlight w:val="none"/>
          <w:lang w:eastAsia="zh-CN"/>
        </w:rPr>
        <w:t>除上述项目以外其他用于残疾人事业方面的支出。</w:t>
      </w:r>
    </w:p>
    <w:p w14:paraId="058729EB">
      <w:pPr>
        <w:spacing w:line="560" w:lineRule="exact"/>
        <w:jc w:val="both"/>
        <w:rPr>
          <w:rFonts w:hint="eastAsia" w:ascii="宋体" w:hAnsi="宋体"/>
          <w:b/>
          <w:sz w:val="36"/>
          <w:szCs w:val="36"/>
          <w:highlight w:val="none"/>
        </w:rPr>
      </w:pPr>
    </w:p>
    <w:p w14:paraId="584DC743">
      <w:pPr>
        <w:pStyle w:val="2"/>
        <w:rPr>
          <w:rFonts w:hint="eastAsia" w:ascii="宋体" w:hAnsi="宋体"/>
          <w:b/>
          <w:sz w:val="36"/>
          <w:szCs w:val="36"/>
          <w:highlight w:val="none"/>
        </w:rPr>
      </w:pPr>
    </w:p>
    <w:p w14:paraId="0E1F62E3">
      <w:pPr>
        <w:spacing w:line="560" w:lineRule="exact"/>
        <w:ind w:firstLine="1938" w:firstLineChars="600"/>
        <w:jc w:val="both"/>
        <w:rPr>
          <w:rFonts w:ascii="仿宋_GB2312" w:eastAsia="仿宋_GB2312"/>
          <w:b/>
          <w:sz w:val="32"/>
          <w:szCs w:val="32"/>
          <w:highlight w:val="none"/>
        </w:rPr>
      </w:pPr>
    </w:p>
    <w:p w14:paraId="162821B7">
      <w:pPr>
        <w:rPr>
          <w:rFonts w:hint="eastAsia"/>
          <w:highlight w:val="none"/>
        </w:rPr>
        <w:sectPr>
          <w:footerReference r:id="rId3" w:type="default"/>
          <w:pgSz w:w="11906" w:h="16838"/>
          <w:pgMar w:top="1440" w:right="1797" w:bottom="1440" w:left="1797" w:header="851" w:footer="992" w:gutter="0"/>
          <w:cols w:space="0" w:num="1"/>
          <w:titlePg/>
          <w:docGrid w:type="linesAndChars" w:linePitch="312" w:charSpace="640"/>
        </w:sectPr>
      </w:pPr>
    </w:p>
    <w:p w14:paraId="4FD902F4">
      <w:pPr>
        <w:tabs>
          <w:tab w:val="left" w:pos="2343"/>
        </w:tabs>
        <w:spacing w:line="560" w:lineRule="exact"/>
        <w:jc w:val="center"/>
        <w:rPr>
          <w:rFonts w:hint="eastAsia" w:ascii="宋体" w:hAnsi="宋体"/>
          <w:b/>
          <w:sz w:val="36"/>
          <w:szCs w:val="36"/>
        </w:rPr>
      </w:pPr>
    </w:p>
    <w:p w14:paraId="749714DB">
      <w:pPr>
        <w:tabs>
          <w:tab w:val="left" w:pos="2343"/>
        </w:tabs>
        <w:spacing w:line="560" w:lineRule="exact"/>
        <w:jc w:val="center"/>
        <w:rPr>
          <w:rFonts w:hint="eastAsia" w:ascii="宋体" w:hAnsi="宋体"/>
          <w:b/>
          <w:sz w:val="36"/>
          <w:szCs w:val="36"/>
        </w:rPr>
      </w:pPr>
    </w:p>
    <w:p w14:paraId="46B6CEC4">
      <w:pPr>
        <w:tabs>
          <w:tab w:val="left" w:pos="2343"/>
        </w:tabs>
        <w:spacing w:line="560" w:lineRule="exact"/>
        <w:jc w:val="center"/>
        <w:rPr>
          <w:rFonts w:hint="eastAsia" w:ascii="宋体" w:hAnsi="宋体"/>
          <w:b/>
          <w:sz w:val="36"/>
          <w:szCs w:val="36"/>
        </w:rPr>
      </w:pPr>
    </w:p>
    <w:p w14:paraId="42A5F3AA">
      <w:pPr>
        <w:tabs>
          <w:tab w:val="left" w:pos="2343"/>
        </w:tabs>
        <w:spacing w:line="560" w:lineRule="exact"/>
        <w:jc w:val="both"/>
        <w:rPr>
          <w:rFonts w:hint="eastAsia" w:ascii="宋体" w:hAnsi="宋体"/>
          <w:b/>
          <w:sz w:val="36"/>
          <w:szCs w:val="36"/>
        </w:rPr>
      </w:pPr>
    </w:p>
    <w:p w14:paraId="020EB3E2">
      <w:pPr>
        <w:tabs>
          <w:tab w:val="left" w:pos="2343"/>
        </w:tabs>
        <w:spacing w:line="560" w:lineRule="exact"/>
        <w:jc w:val="center"/>
        <w:rPr>
          <w:rFonts w:hint="eastAsia" w:ascii="宋体" w:hAnsi="宋体"/>
          <w:b/>
          <w:sz w:val="36"/>
          <w:szCs w:val="36"/>
        </w:rPr>
      </w:pPr>
    </w:p>
    <w:p w14:paraId="6A77F7C7">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盘锦市动物疫病预防控制中心（盘锦市动物卫生监督中心）</w:t>
      </w:r>
      <w:r>
        <w:rPr>
          <w:rFonts w:hint="eastAsia" w:ascii="宋体" w:hAnsi="宋体"/>
          <w:b/>
          <w:sz w:val="36"/>
          <w:szCs w:val="36"/>
        </w:rPr>
        <w:t>预算</w:t>
      </w:r>
      <w:r>
        <w:rPr>
          <w:rFonts w:hint="eastAsia" w:ascii="宋体" w:hAnsi="宋体"/>
          <w:b/>
          <w:sz w:val="36"/>
          <w:szCs w:val="36"/>
          <w:lang w:val="en-US" w:eastAsia="zh-CN"/>
        </w:rPr>
        <w:t>公开</w:t>
      </w:r>
      <w:r>
        <w:rPr>
          <w:rFonts w:hint="eastAsia" w:ascii="宋体" w:hAnsi="宋体"/>
          <w:b/>
          <w:sz w:val="36"/>
          <w:szCs w:val="36"/>
        </w:rPr>
        <w:t>表</w:t>
      </w:r>
    </w:p>
    <w:p w14:paraId="20C626B2">
      <w:pPr>
        <w:spacing w:line="560" w:lineRule="exact"/>
        <w:ind w:firstLine="5168" w:firstLineChars="1600"/>
        <w:jc w:val="both"/>
        <w:rPr>
          <w:rFonts w:ascii="仿宋_GB2312" w:eastAsia="仿宋_GB2312"/>
          <w:b/>
          <w:sz w:val="32"/>
          <w:szCs w:val="32"/>
        </w:rPr>
      </w:pPr>
      <w:r>
        <w:rPr>
          <w:rFonts w:hint="eastAsia" w:ascii="仿宋_GB2312" w:hAnsi="仿宋_GB2312" w:eastAsia="仿宋_GB2312" w:cs="仿宋_GB2312"/>
          <w:b w:val="0"/>
          <w:bCs/>
          <w:sz w:val="32"/>
          <w:szCs w:val="32"/>
        </w:rPr>
        <w:t>（该部分内容详见附件）</w:t>
      </w: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269A5">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47109A0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C1D0A"/>
    <w:multiLevelType w:val="singleLevel"/>
    <w:tmpl w:val="FFEC1D0A"/>
    <w:lvl w:ilvl="0" w:tentative="0">
      <w:start w:val="1"/>
      <w:numFmt w:val="decimal"/>
      <w:lvlText w:val="%1."/>
      <w:lvlJc w:val="left"/>
      <w:pPr>
        <w:tabs>
          <w:tab w:val="left" w:pos="312"/>
        </w:tabs>
      </w:pPr>
      <w:rPr>
        <w:rFonts w:hint="default" w:ascii="仿宋_GB2312" w:hAnsi="仿宋_GB2312" w:eastAsia="仿宋_GB2312" w:cs="仿宋_GB2312"/>
        <w:b w:val="0"/>
        <w:bCs w:val="0"/>
        <w:sz w:val="30"/>
        <w:szCs w:val="30"/>
      </w:rPr>
    </w:lvl>
  </w:abstractNum>
  <w:abstractNum w:abstractNumId="1">
    <w:nsid w:val="4F5DA526"/>
    <w:multiLevelType w:val="singleLevel"/>
    <w:tmpl w:val="4F5DA526"/>
    <w:lvl w:ilvl="0" w:tentative="0">
      <w:start w:val="1"/>
      <w:numFmt w:val="decimal"/>
      <w:lvlText w:val="%1."/>
      <w:lvlJc w:val="left"/>
      <w:pPr>
        <w:tabs>
          <w:tab w:val="left" w:pos="312"/>
        </w:tabs>
        <w:ind w:left="-7"/>
      </w:p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YjAyNTBhZmZlNmEzMDU2NDBmNDdhNGUxNmRmYzQ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E723E1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7F5C79"/>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5ED99B5"/>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6FE9EC6"/>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3FC6B4B"/>
    <w:rsid w:val="741831B5"/>
    <w:rsid w:val="75C80649"/>
    <w:rsid w:val="762F7860"/>
    <w:rsid w:val="76BC72A5"/>
    <w:rsid w:val="76D6577B"/>
    <w:rsid w:val="77CB17F7"/>
    <w:rsid w:val="77EF22B1"/>
    <w:rsid w:val="79BF61C2"/>
    <w:rsid w:val="79FC7325"/>
    <w:rsid w:val="7A6B5CE7"/>
    <w:rsid w:val="7AE7FB34"/>
    <w:rsid w:val="7AFF2F06"/>
    <w:rsid w:val="7B767570"/>
    <w:rsid w:val="7B778066"/>
    <w:rsid w:val="7BAF23D3"/>
    <w:rsid w:val="7BDA3581"/>
    <w:rsid w:val="7C7C68B8"/>
    <w:rsid w:val="7CADD60F"/>
    <w:rsid w:val="7CBFEC02"/>
    <w:rsid w:val="7CEB9D80"/>
    <w:rsid w:val="7D521B6D"/>
    <w:rsid w:val="7D572E14"/>
    <w:rsid w:val="7D8F0965"/>
    <w:rsid w:val="7DD87B8D"/>
    <w:rsid w:val="7DEFEC06"/>
    <w:rsid w:val="7DF5611B"/>
    <w:rsid w:val="7DF948B8"/>
    <w:rsid w:val="7EF53BC8"/>
    <w:rsid w:val="7EFB987F"/>
    <w:rsid w:val="7F105FF7"/>
    <w:rsid w:val="7F1D43BF"/>
    <w:rsid w:val="7F7B3E5D"/>
    <w:rsid w:val="7F7F2E39"/>
    <w:rsid w:val="7F7F4C15"/>
    <w:rsid w:val="7F8E71CE"/>
    <w:rsid w:val="7FB31639"/>
    <w:rsid w:val="7FB72670"/>
    <w:rsid w:val="7FCF0FB1"/>
    <w:rsid w:val="7FD76BDF"/>
    <w:rsid w:val="7FDF009B"/>
    <w:rsid w:val="7FE78396"/>
    <w:rsid w:val="7FEF85E0"/>
    <w:rsid w:val="7FFB0A25"/>
    <w:rsid w:val="7FFF9ECC"/>
    <w:rsid w:val="8F5F2450"/>
    <w:rsid w:val="9B2AD334"/>
    <w:rsid w:val="A7FEB36C"/>
    <w:rsid w:val="AAB77870"/>
    <w:rsid w:val="ABB79F31"/>
    <w:rsid w:val="ABDB09F4"/>
    <w:rsid w:val="ADF7198A"/>
    <w:rsid w:val="AEDF96FA"/>
    <w:rsid w:val="B6F9097E"/>
    <w:rsid w:val="B731BB8A"/>
    <w:rsid w:val="B77FA827"/>
    <w:rsid w:val="B7BC8609"/>
    <w:rsid w:val="B7E7FED3"/>
    <w:rsid w:val="B7EECBBE"/>
    <w:rsid w:val="B9DE2A08"/>
    <w:rsid w:val="BADBFC01"/>
    <w:rsid w:val="BDF94A48"/>
    <w:rsid w:val="BDFF2131"/>
    <w:rsid w:val="BE9BB8A5"/>
    <w:rsid w:val="BEFF9D61"/>
    <w:rsid w:val="BF7F6555"/>
    <w:rsid w:val="BFD95782"/>
    <w:rsid w:val="BFDFE6F7"/>
    <w:rsid w:val="C1FB2E92"/>
    <w:rsid w:val="C9FDED64"/>
    <w:rsid w:val="CD9F141D"/>
    <w:rsid w:val="D33F08CB"/>
    <w:rsid w:val="D76F08D0"/>
    <w:rsid w:val="D7F9BBB8"/>
    <w:rsid w:val="D7FB5501"/>
    <w:rsid w:val="DB76FCEA"/>
    <w:rsid w:val="DDB8AE9C"/>
    <w:rsid w:val="DDC7F1C7"/>
    <w:rsid w:val="DE5CD0B4"/>
    <w:rsid w:val="DEB574C0"/>
    <w:rsid w:val="DF5EF206"/>
    <w:rsid w:val="DFEE1A41"/>
    <w:rsid w:val="E4D6B171"/>
    <w:rsid w:val="E5A73AF0"/>
    <w:rsid w:val="E7F71888"/>
    <w:rsid w:val="E7FD4197"/>
    <w:rsid w:val="E9CD36B5"/>
    <w:rsid w:val="EABD96D6"/>
    <w:rsid w:val="EBEF0299"/>
    <w:rsid w:val="EE238030"/>
    <w:rsid w:val="EED58912"/>
    <w:rsid w:val="EF3DC6D9"/>
    <w:rsid w:val="EFCDB375"/>
    <w:rsid w:val="EFE70C54"/>
    <w:rsid w:val="EFF95983"/>
    <w:rsid w:val="EFFB8619"/>
    <w:rsid w:val="EFFF6BF9"/>
    <w:rsid w:val="F0FF611E"/>
    <w:rsid w:val="F2F9C0B8"/>
    <w:rsid w:val="F3E58846"/>
    <w:rsid w:val="F4E6B735"/>
    <w:rsid w:val="F53F602B"/>
    <w:rsid w:val="F7DDA3C1"/>
    <w:rsid w:val="F7E9F212"/>
    <w:rsid w:val="F7FD2045"/>
    <w:rsid w:val="F7FFC9F3"/>
    <w:rsid w:val="FA9B081B"/>
    <w:rsid w:val="FA9FE762"/>
    <w:rsid w:val="FBD9C8D6"/>
    <w:rsid w:val="FBDF0488"/>
    <w:rsid w:val="FBFCBE87"/>
    <w:rsid w:val="FBFCC1D3"/>
    <w:rsid w:val="FC7F128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471</Words>
  <Characters>2688</Characters>
  <Lines>22</Lines>
  <Paragraphs>6</Paragraphs>
  <TotalTime>12</TotalTime>
  <ScaleCrop>false</ScaleCrop>
  <LinksUpToDate>false</LinksUpToDate>
  <CharactersWithSpaces>3153</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2017-02-28T01:02:00Z</dcterms:created>
  <dc:creator>预算处(税政处、编审中心)-王威</dc:creator>
  <cp:lastModifiedBy>lidan</cp:lastModifiedBy>
  <cp:lastPrinted>2022-02-19T20:01:00Z</cp:lastPrinted>
  <dcterms:modified xsi:type="dcterms:W3CDTF">2025-02-18T15:37:39Z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E366A097212246A58531F9B100D234A0_12</vt:lpwstr>
  </property>
</Properties>
</file>