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AA78">
      <w:pPr>
        <w:rPr>
          <w:rFonts w:ascii="仿宋_GB2312" w:eastAsia="仿宋_GB2312"/>
          <w:sz w:val="32"/>
          <w:szCs w:val="32"/>
        </w:rPr>
      </w:pPr>
    </w:p>
    <w:p w14:paraId="33E3C528">
      <w:pPr>
        <w:spacing w:line="560" w:lineRule="exact"/>
        <w:jc w:val="center"/>
        <w:rPr>
          <w:bCs/>
          <w:sz w:val="32"/>
          <w:szCs w:val="32"/>
          <w:u w:val="single"/>
        </w:rPr>
      </w:pPr>
    </w:p>
    <w:p w14:paraId="1FAE8962">
      <w:pPr>
        <w:pStyle w:val="2"/>
      </w:pPr>
    </w:p>
    <w:p w14:paraId="1A04ACA6">
      <w:pPr>
        <w:spacing w:line="560" w:lineRule="exact"/>
        <w:jc w:val="center"/>
        <w:rPr>
          <w:b/>
          <w:sz w:val="44"/>
          <w:szCs w:val="44"/>
          <w:u w:val="single"/>
        </w:rPr>
      </w:pPr>
    </w:p>
    <w:p w14:paraId="23F3AE62">
      <w:pPr>
        <w:pStyle w:val="2"/>
      </w:pPr>
    </w:p>
    <w:p w14:paraId="5FCCDBB7">
      <w:pPr>
        <w:spacing w:line="560" w:lineRule="exact"/>
        <w:jc w:val="center"/>
        <w:rPr>
          <w:b/>
          <w:sz w:val="44"/>
          <w:szCs w:val="44"/>
          <w:u w:val="single"/>
        </w:rPr>
      </w:pPr>
    </w:p>
    <w:p w14:paraId="22D12FA2">
      <w:pPr>
        <w:spacing w:line="560" w:lineRule="exact"/>
        <w:rPr>
          <w:b/>
          <w:sz w:val="44"/>
          <w:szCs w:val="44"/>
        </w:rPr>
      </w:pPr>
    </w:p>
    <w:p w14:paraId="7ECDD98B">
      <w:pPr>
        <w:spacing w:line="560" w:lineRule="exact"/>
        <w:jc w:val="center"/>
        <w:rPr>
          <w:b/>
          <w:sz w:val="44"/>
          <w:szCs w:val="44"/>
        </w:rPr>
      </w:pPr>
      <w:r>
        <w:rPr>
          <w:rFonts w:hint="eastAsia"/>
          <w:b/>
          <w:sz w:val="44"/>
          <w:szCs w:val="44"/>
        </w:rPr>
        <w:t>盘锦市医疗保障事务服务中心</w:t>
      </w:r>
    </w:p>
    <w:p w14:paraId="309D56BE">
      <w:pPr>
        <w:spacing w:line="560" w:lineRule="exact"/>
        <w:jc w:val="center"/>
        <w:rPr>
          <w:b/>
          <w:sz w:val="44"/>
          <w:szCs w:val="44"/>
        </w:rPr>
      </w:pPr>
      <w:r>
        <w:rPr>
          <w:rFonts w:hint="eastAsia"/>
          <w:b/>
          <w:sz w:val="44"/>
          <w:szCs w:val="44"/>
        </w:rPr>
        <w:t>2025年度单位预算</w:t>
      </w:r>
    </w:p>
    <w:p w14:paraId="1198D040">
      <w:pPr>
        <w:spacing w:line="560" w:lineRule="exact"/>
        <w:jc w:val="center"/>
        <w:rPr>
          <w:b/>
          <w:sz w:val="44"/>
          <w:szCs w:val="44"/>
        </w:rPr>
      </w:pPr>
    </w:p>
    <w:p w14:paraId="38FC890A">
      <w:pPr>
        <w:spacing w:line="560" w:lineRule="exact"/>
        <w:jc w:val="center"/>
        <w:rPr>
          <w:b/>
          <w:sz w:val="44"/>
          <w:szCs w:val="44"/>
        </w:rPr>
      </w:pPr>
    </w:p>
    <w:p w14:paraId="021F84FB">
      <w:pPr>
        <w:spacing w:line="560" w:lineRule="exact"/>
        <w:jc w:val="center"/>
        <w:rPr>
          <w:b/>
          <w:sz w:val="44"/>
          <w:szCs w:val="44"/>
        </w:rPr>
      </w:pPr>
    </w:p>
    <w:p w14:paraId="5EFBF709">
      <w:pPr>
        <w:spacing w:line="560" w:lineRule="exact"/>
        <w:jc w:val="center"/>
        <w:rPr>
          <w:b/>
          <w:sz w:val="44"/>
          <w:szCs w:val="44"/>
        </w:rPr>
      </w:pPr>
    </w:p>
    <w:p w14:paraId="46647906">
      <w:pPr>
        <w:spacing w:line="560" w:lineRule="exact"/>
        <w:jc w:val="center"/>
        <w:rPr>
          <w:b/>
          <w:sz w:val="44"/>
          <w:szCs w:val="44"/>
        </w:rPr>
      </w:pPr>
    </w:p>
    <w:p w14:paraId="4C20F3F0">
      <w:pPr>
        <w:spacing w:line="560" w:lineRule="exact"/>
        <w:jc w:val="center"/>
        <w:rPr>
          <w:b/>
          <w:sz w:val="44"/>
          <w:szCs w:val="44"/>
        </w:rPr>
      </w:pPr>
    </w:p>
    <w:p w14:paraId="5954B6BB">
      <w:pPr>
        <w:spacing w:line="560" w:lineRule="exact"/>
        <w:jc w:val="center"/>
        <w:rPr>
          <w:b/>
          <w:sz w:val="44"/>
          <w:szCs w:val="44"/>
        </w:rPr>
      </w:pPr>
    </w:p>
    <w:p w14:paraId="7701EBA1">
      <w:pPr>
        <w:spacing w:line="560" w:lineRule="exact"/>
        <w:jc w:val="center"/>
        <w:rPr>
          <w:b/>
          <w:sz w:val="44"/>
          <w:szCs w:val="44"/>
        </w:rPr>
      </w:pPr>
    </w:p>
    <w:p w14:paraId="3DDC9CE7">
      <w:pPr>
        <w:spacing w:line="560" w:lineRule="exact"/>
        <w:jc w:val="center"/>
        <w:rPr>
          <w:b/>
          <w:sz w:val="44"/>
          <w:szCs w:val="44"/>
        </w:rPr>
      </w:pPr>
    </w:p>
    <w:p w14:paraId="4833A13E">
      <w:pPr>
        <w:spacing w:line="560" w:lineRule="exact"/>
        <w:jc w:val="center"/>
        <w:rPr>
          <w:b/>
          <w:sz w:val="44"/>
          <w:szCs w:val="44"/>
        </w:rPr>
      </w:pPr>
    </w:p>
    <w:p w14:paraId="2BBEDA26">
      <w:pPr>
        <w:spacing w:line="560" w:lineRule="exact"/>
        <w:jc w:val="center"/>
        <w:rPr>
          <w:b/>
          <w:sz w:val="44"/>
          <w:szCs w:val="44"/>
        </w:rPr>
      </w:pPr>
    </w:p>
    <w:p w14:paraId="16F79069">
      <w:pPr>
        <w:spacing w:line="560" w:lineRule="exact"/>
        <w:jc w:val="center"/>
        <w:rPr>
          <w:b/>
          <w:sz w:val="44"/>
          <w:szCs w:val="44"/>
        </w:rPr>
      </w:pPr>
    </w:p>
    <w:p w14:paraId="18EA7146">
      <w:pPr>
        <w:spacing w:line="560" w:lineRule="exact"/>
        <w:jc w:val="center"/>
        <w:rPr>
          <w:b/>
          <w:sz w:val="44"/>
          <w:szCs w:val="44"/>
        </w:rPr>
      </w:pPr>
    </w:p>
    <w:p w14:paraId="1991BD6F">
      <w:pPr>
        <w:spacing w:line="560" w:lineRule="exact"/>
        <w:jc w:val="center"/>
        <w:rPr>
          <w:b/>
          <w:sz w:val="44"/>
          <w:szCs w:val="44"/>
        </w:rPr>
      </w:pPr>
    </w:p>
    <w:p w14:paraId="3D187CFA">
      <w:pPr>
        <w:spacing w:line="560" w:lineRule="exact"/>
        <w:jc w:val="center"/>
        <w:rPr>
          <w:b/>
          <w:sz w:val="44"/>
          <w:szCs w:val="44"/>
        </w:rPr>
      </w:pPr>
    </w:p>
    <w:p w14:paraId="0F15BD82">
      <w:pPr>
        <w:spacing w:line="560" w:lineRule="exact"/>
        <w:jc w:val="center"/>
        <w:rPr>
          <w:b/>
          <w:sz w:val="44"/>
          <w:szCs w:val="44"/>
        </w:rPr>
      </w:pPr>
      <w:r>
        <w:rPr>
          <w:rFonts w:hint="eastAsia"/>
          <w:b/>
          <w:sz w:val="44"/>
          <w:szCs w:val="44"/>
        </w:rPr>
        <w:t>目    录</w:t>
      </w:r>
    </w:p>
    <w:p w14:paraId="5A4E1800">
      <w:pPr>
        <w:spacing w:line="560" w:lineRule="exact"/>
        <w:rPr>
          <w:b/>
          <w:sz w:val="44"/>
          <w:szCs w:val="44"/>
          <w:u w:val="single"/>
        </w:rPr>
      </w:pPr>
    </w:p>
    <w:p w14:paraId="4D7AEA5F">
      <w:pPr>
        <w:spacing w:line="560" w:lineRule="exact"/>
        <w:rPr>
          <w:b/>
          <w:sz w:val="44"/>
          <w:szCs w:val="44"/>
          <w:u w:val="single"/>
        </w:rPr>
      </w:pPr>
    </w:p>
    <w:p w14:paraId="3E006795">
      <w:pPr>
        <w:spacing w:line="560" w:lineRule="exact"/>
        <w:rPr>
          <w:rFonts w:ascii="黑体" w:hAnsi="黑体" w:eastAsia="黑体"/>
          <w:sz w:val="32"/>
          <w:szCs w:val="32"/>
        </w:rPr>
      </w:pPr>
      <w:r>
        <w:rPr>
          <w:rFonts w:hint="eastAsia" w:ascii="黑体" w:hAnsi="黑体" w:eastAsia="黑体"/>
          <w:sz w:val="32"/>
          <w:szCs w:val="32"/>
        </w:rPr>
        <w:t>第一部分　　单位预算公开管理文件</w:t>
      </w:r>
    </w:p>
    <w:p w14:paraId="063B5392">
      <w:pPr>
        <w:spacing w:line="560" w:lineRule="exact"/>
        <w:rPr>
          <w:rFonts w:ascii="黑体" w:hAnsi="黑体" w:eastAsia="黑体"/>
          <w:sz w:val="32"/>
          <w:szCs w:val="32"/>
        </w:rPr>
      </w:pPr>
      <w:r>
        <w:rPr>
          <w:rFonts w:hint="eastAsia" w:ascii="黑体" w:hAnsi="黑体" w:eastAsia="黑体"/>
          <w:sz w:val="32"/>
          <w:szCs w:val="32"/>
        </w:rPr>
        <w:t>第二部分    盘锦市医疗保障事务服务中心概况</w:t>
      </w:r>
    </w:p>
    <w:p w14:paraId="0C27132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一、单位职责</w:t>
      </w:r>
    </w:p>
    <w:p w14:paraId="2D3D9AC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848DF59">
      <w:pPr>
        <w:spacing w:line="560" w:lineRule="exact"/>
        <w:rPr>
          <w:rFonts w:ascii="黑体" w:hAnsi="黑体" w:eastAsia="黑体"/>
          <w:sz w:val="32"/>
          <w:szCs w:val="32"/>
        </w:rPr>
      </w:pPr>
      <w:r>
        <w:rPr>
          <w:rFonts w:hint="eastAsia" w:ascii="黑体" w:hAnsi="黑体" w:eastAsia="黑体"/>
          <w:sz w:val="32"/>
          <w:szCs w:val="32"/>
        </w:rPr>
        <w:t>第三部分    盘锦市医疗保障事务服务中心2025年单位预算情况说明</w:t>
      </w:r>
    </w:p>
    <w:p w14:paraId="5DE8F014">
      <w:pPr>
        <w:spacing w:line="560" w:lineRule="exact"/>
        <w:rPr>
          <w:rFonts w:ascii="黑体" w:hAnsi="黑体" w:eastAsia="黑体"/>
          <w:sz w:val="32"/>
          <w:szCs w:val="32"/>
        </w:rPr>
      </w:pPr>
      <w:r>
        <w:rPr>
          <w:rFonts w:hint="eastAsia" w:ascii="黑体" w:hAnsi="黑体" w:eastAsia="黑体"/>
          <w:sz w:val="32"/>
          <w:szCs w:val="32"/>
        </w:rPr>
        <w:t>第四部分    名词解释</w:t>
      </w:r>
    </w:p>
    <w:p w14:paraId="5F90693F">
      <w:pPr>
        <w:spacing w:line="560" w:lineRule="exact"/>
        <w:rPr>
          <w:rFonts w:ascii="黑体" w:hAnsi="黑体" w:eastAsia="黑体"/>
          <w:sz w:val="32"/>
          <w:szCs w:val="32"/>
        </w:rPr>
      </w:pPr>
      <w:r>
        <w:rPr>
          <w:rFonts w:hint="eastAsia" w:ascii="黑体" w:hAnsi="黑体" w:eastAsia="黑体"/>
          <w:sz w:val="32"/>
          <w:szCs w:val="32"/>
        </w:rPr>
        <w:t>第五部分    2025年盘锦市医疗保障事务服务中心单位预算公开表</w:t>
      </w:r>
    </w:p>
    <w:p w14:paraId="57CCC8D6">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14B71E82">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7A48D799">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46B6E5E3">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739CBC96">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5919077C">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537451D">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7F13AAC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85A30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0843C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3EEB9B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D9F082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支出经济分类预算表（单位预算）</w:t>
      </w:r>
    </w:p>
    <w:p w14:paraId="385A0B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12CEC2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32AB1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6736C4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2EF2B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单位预算项目（政策）绩效目标表</w:t>
      </w:r>
    </w:p>
    <w:p w14:paraId="66DB23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单位管理专项资金预算表</w:t>
      </w:r>
    </w:p>
    <w:p w14:paraId="45905492">
      <w:pPr>
        <w:spacing w:line="560" w:lineRule="exact"/>
        <w:rPr>
          <w:rFonts w:ascii="黑体" w:hAnsi="黑体" w:eastAsia="黑体"/>
          <w:sz w:val="32"/>
          <w:szCs w:val="32"/>
        </w:rPr>
      </w:pPr>
      <w:r>
        <w:rPr>
          <w:rFonts w:hint="eastAsia" w:ascii="黑体" w:hAnsi="黑体" w:eastAsia="黑体"/>
          <w:sz w:val="32"/>
          <w:szCs w:val="32"/>
        </w:rPr>
        <w:t>　</w:t>
      </w:r>
    </w:p>
    <w:p w14:paraId="026E5518">
      <w:pPr>
        <w:widowControl/>
        <w:jc w:val="left"/>
        <w:rPr>
          <w:rFonts w:ascii="宋体" w:hAnsi="宋体"/>
          <w:b/>
          <w:sz w:val="36"/>
          <w:szCs w:val="36"/>
        </w:rPr>
      </w:pPr>
      <w:r>
        <w:rPr>
          <w:rFonts w:ascii="宋体" w:hAnsi="宋体"/>
          <w:b/>
          <w:sz w:val="36"/>
          <w:szCs w:val="36"/>
        </w:rPr>
        <w:br w:type="page"/>
      </w:r>
    </w:p>
    <w:p w14:paraId="58CEDD26">
      <w:pPr>
        <w:spacing w:line="560" w:lineRule="exact"/>
        <w:jc w:val="center"/>
        <w:rPr>
          <w:rFonts w:ascii="宋体" w:hAnsi="宋体"/>
          <w:b/>
          <w:sz w:val="36"/>
          <w:szCs w:val="36"/>
        </w:rPr>
      </w:pPr>
      <w:r>
        <w:rPr>
          <w:rFonts w:hint="eastAsia" w:ascii="宋体" w:hAnsi="宋体"/>
          <w:b/>
          <w:sz w:val="36"/>
          <w:szCs w:val="36"/>
        </w:rPr>
        <w:t>第一部分　　单位预算公开管理文件</w:t>
      </w:r>
    </w:p>
    <w:p w14:paraId="30895EDA">
      <w:pPr>
        <w:spacing w:line="560" w:lineRule="exact"/>
        <w:ind w:firstLine="646"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1.《关于切实做好2025年市县预算公开工作的通知》（辽财预〔2025〕1号）</w:t>
      </w:r>
    </w:p>
    <w:p w14:paraId="4F2433D9">
      <w:pPr>
        <w:ind w:firstLine="64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2.《关于印发盘锦市财政预决算领域基层政务公开标准指引的通知》(盘财预〔2021〕253号)</w:t>
      </w:r>
    </w:p>
    <w:p w14:paraId="0A2E0C61">
      <w:pPr>
        <w:spacing w:line="560" w:lineRule="exact"/>
        <w:rPr>
          <w:rFonts w:ascii="宋体" w:hAnsi="宋体"/>
          <w:b/>
          <w:sz w:val="36"/>
          <w:szCs w:val="36"/>
        </w:rPr>
      </w:pPr>
    </w:p>
    <w:p w14:paraId="647871FB">
      <w:pPr>
        <w:pStyle w:val="2"/>
        <w:rPr>
          <w:rFonts w:ascii="宋体" w:hAnsi="宋体"/>
          <w:b/>
          <w:sz w:val="36"/>
          <w:szCs w:val="36"/>
        </w:rPr>
      </w:pPr>
    </w:p>
    <w:p w14:paraId="39BCC04A"/>
    <w:p w14:paraId="578916A3">
      <w:pPr>
        <w:spacing w:line="560" w:lineRule="exact"/>
        <w:jc w:val="center"/>
        <w:rPr>
          <w:rFonts w:ascii="宋体" w:hAnsi="宋体"/>
          <w:b/>
          <w:sz w:val="36"/>
          <w:szCs w:val="36"/>
        </w:rPr>
      </w:pPr>
      <w:r>
        <w:rPr>
          <w:rFonts w:hint="eastAsia" w:ascii="宋体" w:hAnsi="宋体"/>
          <w:b/>
          <w:sz w:val="36"/>
          <w:szCs w:val="36"/>
        </w:rPr>
        <w:t>第二部分 盘锦市医疗保障事务服务中心概况</w:t>
      </w:r>
    </w:p>
    <w:p w14:paraId="2CEF5DF1">
      <w:pPr>
        <w:spacing w:line="560" w:lineRule="exact"/>
        <w:ind w:firstLine="646" w:firstLineChars="200"/>
        <w:jc w:val="left"/>
        <w:rPr>
          <w:rFonts w:ascii="黑体" w:eastAsia="黑体"/>
          <w:sz w:val="32"/>
          <w:szCs w:val="32"/>
        </w:rPr>
      </w:pPr>
    </w:p>
    <w:p w14:paraId="3F894A15">
      <w:pPr>
        <w:spacing w:line="560" w:lineRule="exact"/>
        <w:ind w:firstLine="646" w:firstLineChars="200"/>
        <w:jc w:val="left"/>
        <w:rPr>
          <w:rFonts w:ascii="黑体" w:eastAsia="黑体"/>
          <w:sz w:val="32"/>
          <w:szCs w:val="32"/>
        </w:rPr>
      </w:pPr>
      <w:r>
        <w:rPr>
          <w:rFonts w:hint="eastAsia" w:ascii="黑体" w:eastAsia="黑体"/>
          <w:sz w:val="32"/>
          <w:szCs w:val="32"/>
        </w:rPr>
        <w:t>一、单位职责</w:t>
      </w:r>
    </w:p>
    <w:p w14:paraId="01F5A9F5">
      <w:pPr>
        <w:pStyle w:val="10"/>
        <w:spacing w:line="560" w:lineRule="exact"/>
        <w:ind w:firstLine="646"/>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（1）贯彻执行国家、省、市有关城镇职工基本医疗保险和高额医疗保险、城乡居民基本医疗保险和大病保险、医疗救助、医药价格收费及招标采购法律法规及有关政策规定。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（2）承担城镇职工基本医疗保险、城乡居民基本医疗保险和大病保险、公务员医疗补助、城乡特困居民医疗救助基金管理的相关事务性工作。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（3）为医疗保障相关政策标准拟定实施提供技术支持和服务保障；为药品、医用耗材价格制定、招标采购和医疗服务项目、医疗服务设施收费标准的拟定提供技术支持和服务保障。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（4）承担医疗保障及药品、医用耗材、医疗服务项目、医疗服务设施相关统计数据的收集、整理、分析、精算等工作。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（5）为医疗保障经办系统开展参保登记、个人权益记录、待遇支付、费用结算及基金运行、风险防控等工作提供技术支持和服务保障。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（6）承担异地就医直接结算及医疗保障关系转移接续经办服务工作。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（7）承担医疗保险、公务员补助、城镇职工高额医疗保险、城乡居民大病保险及大病救助的经办服务及相关事务性工作。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（8）承担医疗保障信息系统建设、运行维护工作；承担全市医疗保障卡制发管理工作。</w:t>
      </w:r>
    </w:p>
    <w:p w14:paraId="1A12F557">
      <w:pPr>
        <w:pStyle w:val="10"/>
        <w:spacing w:line="560" w:lineRule="exact"/>
        <w:ind w:firstLine="646"/>
        <w:rPr>
          <w:sz w:val="32"/>
          <w:szCs w:val="32"/>
        </w:rPr>
      </w:pPr>
      <w:r>
        <w:rPr>
          <w:rFonts w:hint="eastAsia" w:ascii="仿宋_GB2312" w:hAnsi="宋体" w:eastAsia="仿宋_GB2312" w:cs="仿宋_GB2312"/>
          <w:kern w:val="0"/>
          <w:sz w:val="32"/>
          <w:szCs w:val="32"/>
        </w:rPr>
        <w:t>（9）负责长护险失能评估结果的复核、确认、复审等工作;负责对第三方经办、养护机构服务过程和质量的监督考核等事务性工作;负责长期护理保险政策宣传和答疑工作;负责长期护理保险相关举报、投诉的受理和参与调查处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（10）承担市医疗保障局交办的其他工作。</w:t>
      </w:r>
    </w:p>
    <w:p w14:paraId="3D65B3C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0DA33BB">
      <w:pPr>
        <w:spacing w:line="560" w:lineRule="exact"/>
        <w:ind w:firstLine="646" w:firstLineChars="200"/>
        <w:jc w:val="left"/>
        <w:rPr>
          <w:rFonts w:ascii="仿宋_GB2312" w:eastAsia="仿宋_GB2312"/>
          <w:bCs/>
          <w:sz w:val="32"/>
          <w:szCs w:val="32"/>
        </w:rPr>
      </w:pPr>
      <w:r>
        <w:rPr>
          <w:rFonts w:hint="eastAsia" w:ascii="仿宋_GB2312" w:eastAsia="仿宋_GB2312"/>
          <w:b/>
          <w:sz w:val="32"/>
          <w:szCs w:val="32"/>
        </w:rPr>
        <w:t>纳入盘锦市医疗保障事务服务中心2025年单位预算编制范围的二级预算单位包括：</w:t>
      </w:r>
      <w:r>
        <w:rPr>
          <w:rFonts w:hint="eastAsia" w:ascii="仿宋_GB2312" w:eastAsia="仿宋_GB2312"/>
          <w:bCs/>
          <w:sz w:val="32"/>
          <w:szCs w:val="32"/>
        </w:rPr>
        <w:t>盘锦市医疗保障事务服务中心为二级单位无下属单位。</w:t>
      </w:r>
    </w:p>
    <w:p w14:paraId="32E469BA">
      <w:pPr>
        <w:ind w:firstLine="646" w:firstLineChars="200"/>
        <w:rPr>
          <w:rFonts w:ascii="仿宋" w:hAnsi="仿宋" w:eastAsia="仿宋" w:cs="仿宋"/>
          <w:sz w:val="32"/>
          <w:szCs w:val="32"/>
        </w:rPr>
      </w:pPr>
      <w:r>
        <w:rPr>
          <w:rFonts w:hint="eastAsia" w:ascii="仿宋" w:hAnsi="仿宋" w:eastAsia="仿宋" w:cs="仿宋"/>
          <w:sz w:val="32"/>
          <w:szCs w:val="32"/>
        </w:rPr>
        <w:t>根据上述职责，盘锦市医疗保障事务服务中心设10个内设机构：</w:t>
      </w:r>
    </w:p>
    <w:p w14:paraId="074FE931">
      <w:pPr>
        <w:ind w:firstLine="646" w:firstLineChars="200"/>
        <w:rPr>
          <w:rFonts w:ascii="仿宋" w:hAnsi="仿宋" w:eastAsia="仿宋" w:cs="仿宋"/>
          <w:sz w:val="32"/>
          <w:szCs w:val="32"/>
        </w:rPr>
      </w:pPr>
      <w:r>
        <w:rPr>
          <w:rFonts w:hint="eastAsia" w:ascii="仿宋" w:hAnsi="仿宋" w:eastAsia="仿宋" w:cs="仿宋"/>
          <w:sz w:val="32"/>
          <w:szCs w:val="32"/>
        </w:rPr>
        <w:t>1.办公室</w:t>
      </w:r>
    </w:p>
    <w:p w14:paraId="19B7C337">
      <w:pPr>
        <w:ind w:firstLine="646" w:firstLineChars="200"/>
        <w:rPr>
          <w:rFonts w:ascii="仿宋" w:hAnsi="仿宋" w:eastAsia="仿宋" w:cs="仿宋"/>
          <w:sz w:val="32"/>
          <w:szCs w:val="32"/>
        </w:rPr>
      </w:pPr>
      <w:r>
        <w:rPr>
          <w:rFonts w:hint="eastAsia" w:ascii="仿宋" w:hAnsi="仿宋" w:eastAsia="仿宋" w:cs="仿宋"/>
          <w:sz w:val="32"/>
          <w:szCs w:val="32"/>
        </w:rPr>
        <w:t>负责党群和纪检工作；负责文电、信息、资产、档案、保密、信访、文字综合等工作；负责机构编制、人事管理、退休干部服务等工作。</w:t>
      </w:r>
    </w:p>
    <w:p w14:paraId="5B7F34EA">
      <w:pPr>
        <w:ind w:firstLine="646" w:firstLineChars="200"/>
        <w:rPr>
          <w:rFonts w:ascii="仿宋" w:hAnsi="仿宋" w:eastAsia="仿宋" w:cs="仿宋"/>
          <w:sz w:val="32"/>
          <w:szCs w:val="32"/>
        </w:rPr>
      </w:pPr>
      <w:r>
        <w:rPr>
          <w:rFonts w:hint="eastAsia" w:ascii="仿宋" w:hAnsi="仿宋" w:eastAsia="仿宋" w:cs="仿宋"/>
          <w:sz w:val="32"/>
          <w:szCs w:val="32"/>
        </w:rPr>
        <w:t>2.基金财务科</w:t>
      </w:r>
    </w:p>
    <w:p w14:paraId="731E28D4">
      <w:pPr>
        <w:ind w:firstLine="646" w:firstLineChars="200"/>
        <w:rPr>
          <w:rFonts w:ascii="仿宋" w:hAnsi="仿宋" w:eastAsia="仿宋" w:cs="仿宋"/>
          <w:sz w:val="32"/>
          <w:szCs w:val="32"/>
        </w:rPr>
      </w:pPr>
      <w:r>
        <w:rPr>
          <w:rFonts w:hint="eastAsia" w:ascii="仿宋" w:hAnsi="仿宋" w:eastAsia="仿宋" w:cs="仿宋"/>
          <w:sz w:val="32"/>
          <w:szCs w:val="32"/>
        </w:rPr>
        <w:t>负责为医疗保障基金运行提供技术支持和服务保障；承担医疗保障基金管理的事务性工作；负责中心财务管理等工作。</w:t>
      </w:r>
    </w:p>
    <w:p w14:paraId="7E987679">
      <w:pPr>
        <w:ind w:firstLine="646" w:firstLineChars="200"/>
        <w:rPr>
          <w:rFonts w:ascii="仿宋" w:hAnsi="仿宋" w:eastAsia="仿宋" w:cs="仿宋"/>
          <w:sz w:val="32"/>
          <w:szCs w:val="32"/>
        </w:rPr>
      </w:pPr>
      <w:r>
        <w:rPr>
          <w:rFonts w:hint="eastAsia" w:ascii="仿宋" w:hAnsi="仿宋" w:eastAsia="仿宋" w:cs="仿宋"/>
          <w:sz w:val="32"/>
          <w:szCs w:val="32"/>
        </w:rPr>
        <w:t>3.公共业务服务科</w:t>
      </w:r>
    </w:p>
    <w:p w14:paraId="73653EDD">
      <w:pPr>
        <w:ind w:firstLine="646" w:firstLineChars="200"/>
        <w:rPr>
          <w:rFonts w:ascii="仿宋" w:hAnsi="仿宋" w:eastAsia="仿宋" w:cs="仿宋"/>
          <w:sz w:val="32"/>
          <w:szCs w:val="32"/>
        </w:rPr>
      </w:pPr>
      <w:r>
        <w:rPr>
          <w:rFonts w:hint="eastAsia" w:ascii="仿宋" w:hAnsi="仿宋" w:eastAsia="仿宋" w:cs="仿宋"/>
          <w:sz w:val="32"/>
          <w:szCs w:val="32"/>
        </w:rPr>
        <w:t>承担医疗保障相关险种参保登记、个人权益记录、缴费核定、转移接续、个人账户转移和继承及异地医疗个人账户返还等服务工作；承担医疗保险参保扩面工作。</w:t>
      </w:r>
    </w:p>
    <w:p w14:paraId="3E44656F">
      <w:pPr>
        <w:ind w:firstLine="646"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就医服务科</w:t>
      </w:r>
    </w:p>
    <w:p w14:paraId="112386F3">
      <w:pPr>
        <w:ind w:firstLine="646" w:firstLineChars="200"/>
        <w:rPr>
          <w:rFonts w:ascii="仿宋" w:hAnsi="仿宋" w:eastAsia="仿宋" w:cs="仿宋"/>
          <w:sz w:val="32"/>
          <w:szCs w:val="32"/>
        </w:rPr>
      </w:pPr>
      <w:r>
        <w:rPr>
          <w:rFonts w:hint="eastAsia" w:ascii="仿宋" w:hAnsi="仿宋" w:eastAsia="仿宋" w:cs="仿宋"/>
          <w:sz w:val="32"/>
          <w:szCs w:val="32"/>
        </w:rPr>
        <w:t>负责异地转诊转院和非定点急诊急救登记及核实相关服务工作；负责退休人员异地居住和在职人员长期驻外的登记工作；负责门诊大病和高值药品审批的登记工作；负责第三方责任核实、基本医疗保险基金先行支付相关情况的调查核实与追偿工作。</w:t>
      </w:r>
    </w:p>
    <w:p w14:paraId="196F8521">
      <w:pPr>
        <w:ind w:firstLine="646"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定点医药机构服务科</w:t>
      </w:r>
    </w:p>
    <w:p w14:paraId="051828FB">
      <w:pPr>
        <w:ind w:firstLine="646" w:firstLineChars="200"/>
        <w:rPr>
          <w:rFonts w:ascii="仿宋" w:hAnsi="仿宋" w:eastAsia="仿宋" w:cs="仿宋"/>
          <w:sz w:val="32"/>
          <w:szCs w:val="32"/>
        </w:rPr>
      </w:pPr>
      <w:r>
        <w:rPr>
          <w:rFonts w:hint="eastAsia" w:ascii="仿宋" w:hAnsi="仿宋" w:eastAsia="仿宋" w:cs="仿宋"/>
          <w:sz w:val="32"/>
          <w:szCs w:val="32"/>
        </w:rPr>
        <w:t>承担定点医药机构资格审查、评估的事务性工作；参与定点医药机构服务协议签订、执行情况检查及违反协议和举报处理工作；负责医疗机构医保医师资格备案登记工作；负责定点医药机构医保管理人员的业务培训工作。</w:t>
      </w:r>
    </w:p>
    <w:p w14:paraId="0BAE3B57">
      <w:pPr>
        <w:ind w:firstLine="646"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.费用审核科</w:t>
      </w:r>
    </w:p>
    <w:p w14:paraId="63C7E22E">
      <w:pPr>
        <w:ind w:firstLine="646" w:firstLineChars="200"/>
        <w:rPr>
          <w:rFonts w:ascii="仿宋" w:hAnsi="仿宋" w:eastAsia="仿宋" w:cs="仿宋"/>
          <w:sz w:val="32"/>
          <w:szCs w:val="32"/>
        </w:rPr>
      </w:pPr>
      <w:r>
        <w:rPr>
          <w:rFonts w:hint="eastAsia" w:ascii="仿宋" w:hAnsi="仿宋" w:eastAsia="仿宋" w:cs="仿宋"/>
          <w:sz w:val="32"/>
          <w:szCs w:val="32"/>
        </w:rPr>
        <w:t>负责医疗保障相关医疗费用的审核工作；负责结算病种高编、高靠的审核工作；负责医疗机构付费方式改革的培训指导工作；负责医保智能监控软件筛查疑点的核实并提出处理建议。</w:t>
      </w:r>
    </w:p>
    <w:p w14:paraId="0B0D1AE9">
      <w:pPr>
        <w:ind w:firstLine="646"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．待遇结算科</w:t>
      </w:r>
    </w:p>
    <w:p w14:paraId="1C843CB6">
      <w:pPr>
        <w:ind w:firstLine="646" w:firstLineChars="200"/>
        <w:rPr>
          <w:rFonts w:ascii="仿宋" w:hAnsi="仿宋" w:eastAsia="仿宋" w:cs="仿宋"/>
          <w:sz w:val="32"/>
          <w:szCs w:val="32"/>
        </w:rPr>
      </w:pPr>
      <w:r>
        <w:rPr>
          <w:rFonts w:hint="eastAsia" w:ascii="仿宋" w:hAnsi="仿宋" w:eastAsia="仿宋" w:cs="仿宋"/>
          <w:sz w:val="32"/>
          <w:szCs w:val="32"/>
        </w:rPr>
        <w:t>负责定点医药机构就医、异地就医、非定点急诊抢救就医医疗保障相关费用的对帐和结算工作；负责生育保险资格的认定和生育津贴发放工作；参与拟订定点医疗机构总额控制指标。</w:t>
      </w:r>
    </w:p>
    <w:p w14:paraId="1B14295A">
      <w:pPr>
        <w:ind w:firstLine="646" w:firstLineChars="200"/>
        <w:rPr>
          <w:rFonts w:ascii="仿宋" w:hAnsi="仿宋" w:eastAsia="仿宋" w:cs="仿宋"/>
          <w:sz w:val="32"/>
          <w:szCs w:val="32"/>
        </w:rPr>
      </w:pPr>
      <w:r>
        <w:rPr>
          <w:rFonts w:hint="eastAsia" w:ascii="仿宋" w:hAnsi="仿宋" w:eastAsia="仿宋" w:cs="仿宋"/>
          <w:sz w:val="32"/>
          <w:szCs w:val="32"/>
        </w:rPr>
        <w:t>8.门诊特病服务与医疗救助科</w:t>
      </w:r>
    </w:p>
    <w:p w14:paraId="7BE41B2C">
      <w:pPr>
        <w:ind w:firstLine="646" w:firstLineChars="200"/>
        <w:rPr>
          <w:rFonts w:ascii="仿宋" w:hAnsi="仿宋" w:eastAsia="仿宋" w:cs="仿宋"/>
          <w:sz w:val="32"/>
          <w:szCs w:val="32"/>
        </w:rPr>
      </w:pPr>
      <w:r>
        <w:rPr>
          <w:rFonts w:hint="eastAsia" w:ascii="仿宋" w:hAnsi="仿宋" w:eastAsia="仿宋" w:cs="仿宋"/>
          <w:sz w:val="32"/>
          <w:szCs w:val="32"/>
        </w:rPr>
        <w:t>负责全市城镇职工、城乡居民基本医疗保险参保人员门诊特定病种的登记、鉴定工作；负责城乡特困居民医疗救助待遇审核和结算工作；会同医疗机构对慢性疾病参保人员进行定期复检。</w:t>
      </w:r>
    </w:p>
    <w:p w14:paraId="0865011D">
      <w:pPr>
        <w:ind w:firstLine="646"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.稽核与信息科</w:t>
      </w:r>
    </w:p>
    <w:p w14:paraId="6EAE614A">
      <w:pPr>
        <w:ind w:firstLine="646" w:firstLineChars="200"/>
        <w:rPr>
          <w:rFonts w:hint="eastAsia" w:ascii="仿宋" w:hAnsi="仿宋" w:eastAsia="仿宋" w:cs="仿宋"/>
          <w:sz w:val="32"/>
          <w:szCs w:val="32"/>
        </w:rPr>
      </w:pPr>
      <w:r>
        <w:rPr>
          <w:rFonts w:hint="eastAsia" w:ascii="仿宋" w:hAnsi="仿宋" w:eastAsia="仿宋" w:cs="仿宋"/>
          <w:sz w:val="32"/>
          <w:szCs w:val="32"/>
        </w:rPr>
        <w:t>负责城镇职工基本医疗保险、城乡居民基本医疗保险经办业务的内控稽核工作；负责城镇职工医疗、生育保险缴费工资基数及参保缴费情况稽核工作；负责全市医疗保障信息网络系统建设、运行、维护和相关数据的统计、分析、上报工作；负责中心业务操作流程标准化建设工作；承担定点医药机构网络系统建设指导验收的相关事务性工作；负责为药品和医用耗材价格的制定、医疗服务项目和设施收费标准的制定及招标采购提供技术支持和服务保障；负责全市医疗保障卡制发管理相关工作。</w:t>
      </w:r>
    </w:p>
    <w:p w14:paraId="62CAB6EC">
      <w:pPr>
        <w:ind w:firstLine="646" w:firstLineChars="200"/>
        <w:rPr>
          <w:rFonts w:hint="eastAsia" w:ascii="仿宋" w:hAnsi="仿宋" w:eastAsia="仿宋" w:cs="仿宋"/>
          <w:sz w:val="32"/>
          <w:szCs w:val="32"/>
        </w:rPr>
      </w:pPr>
      <w:r>
        <w:rPr>
          <w:rFonts w:hint="eastAsia" w:ascii="仿宋" w:hAnsi="仿宋" w:eastAsia="仿宋" w:cs="仿宋"/>
          <w:sz w:val="32"/>
          <w:szCs w:val="32"/>
        </w:rPr>
        <w:t>10.长期护理保险服务科</w:t>
      </w:r>
    </w:p>
    <w:p w14:paraId="6EC2C3EB">
      <w:pPr>
        <w:ind w:firstLine="646" w:firstLineChars="200"/>
        <w:rPr>
          <w:rFonts w:ascii="黑体" w:eastAsia="黑体"/>
          <w:sz w:val="36"/>
          <w:szCs w:val="36"/>
        </w:rPr>
      </w:pPr>
      <w:r>
        <w:rPr>
          <w:rFonts w:hint="eastAsia" w:ascii="仿宋" w:hAnsi="仿宋" w:eastAsia="仿宋" w:cs="仿宋"/>
          <w:sz w:val="32"/>
          <w:szCs w:val="32"/>
        </w:rPr>
        <w:t>负责失能评估结果的复核确认、复审等工作;负责对第三方经办、养护机构服务过程和质量的监督考核等事务性工作;负责长期护理保险政策宣传和答疑工作;负责长期护理保险相关举报、投诉的受理和参与调查处理等工作。</w:t>
      </w:r>
      <w:r>
        <w:rPr>
          <w:rFonts w:ascii="仿宋" w:hAnsi="仿宋" w:eastAsia="仿宋" w:cs="仿宋"/>
          <w:sz w:val="32"/>
          <w:szCs w:val="32"/>
        </w:rPr>
        <w:br w:type="page"/>
      </w:r>
      <w:bookmarkStart w:id="0" w:name="_GoBack"/>
      <w:bookmarkEnd w:id="0"/>
    </w:p>
    <w:p w14:paraId="0EBA4AF1">
      <w:pPr>
        <w:spacing w:line="560" w:lineRule="exact"/>
        <w:ind w:firstLine="726" w:firstLineChars="200"/>
        <w:jc w:val="left"/>
        <w:rPr>
          <w:rFonts w:ascii="宋体" w:hAnsi="宋体"/>
          <w:b/>
          <w:sz w:val="36"/>
          <w:szCs w:val="36"/>
        </w:rPr>
      </w:pPr>
      <w:r>
        <w:rPr>
          <w:rFonts w:hint="eastAsia" w:ascii="宋体" w:hAnsi="宋体"/>
          <w:b/>
          <w:sz w:val="36"/>
          <w:szCs w:val="36"/>
        </w:rPr>
        <w:t>第三部分 盘锦市医疗保障事务服务中心2025年单位预算情况说明</w:t>
      </w:r>
    </w:p>
    <w:p w14:paraId="3C446C51">
      <w:pPr>
        <w:spacing w:line="560" w:lineRule="exact"/>
        <w:jc w:val="left"/>
        <w:rPr>
          <w:rFonts w:ascii="宋体" w:hAnsi="宋体"/>
          <w:b/>
          <w:sz w:val="36"/>
          <w:szCs w:val="36"/>
        </w:rPr>
      </w:pPr>
    </w:p>
    <w:p w14:paraId="3881A920">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ABD8CF9">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（一）收入预算924.56万元，</w:t>
      </w:r>
      <w:r>
        <w:rPr>
          <w:rFonts w:hint="eastAsia" w:ascii="仿宋_GB2312" w:hAnsi="宋体" w:eastAsia="仿宋_GB2312"/>
          <w:sz w:val="32"/>
          <w:szCs w:val="32"/>
        </w:rPr>
        <w:t>其中：</w:t>
      </w:r>
    </w:p>
    <w:p w14:paraId="67186CCB">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1.一般公共预算拨款收入924.56万元；</w:t>
      </w:r>
    </w:p>
    <w:p w14:paraId="07ABDD0C">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0A62CB29">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1903082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53E1FD5">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50B49739">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21DD2146">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（二）支出预算924.56万元，</w:t>
      </w:r>
      <w:r>
        <w:rPr>
          <w:rFonts w:hint="eastAsia" w:ascii="仿宋_GB2312" w:hAnsi="宋体" w:eastAsia="仿宋_GB2312"/>
          <w:sz w:val="32"/>
          <w:szCs w:val="32"/>
        </w:rPr>
        <w:t>其中：</w:t>
      </w:r>
    </w:p>
    <w:p w14:paraId="6290C79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821.56万元</w:t>
      </w:r>
      <w:r>
        <w:rPr>
          <w:rFonts w:hint="eastAsia" w:ascii="仿宋_GB2312" w:eastAsia="仿宋_GB2312"/>
          <w:sz w:val="32"/>
          <w:szCs w:val="32"/>
        </w:rPr>
        <w:t>；</w:t>
      </w:r>
    </w:p>
    <w:p w14:paraId="305BD6F5">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103</w:t>
      </w:r>
      <w:r>
        <w:rPr>
          <w:rFonts w:hint="eastAsia" w:ascii="仿宋_GB2312" w:eastAsia="仿宋_GB2312"/>
          <w:sz w:val="32"/>
          <w:szCs w:val="32"/>
        </w:rPr>
        <w:t>万元。</w:t>
      </w:r>
    </w:p>
    <w:p w14:paraId="2EACA62B">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5BB3158D">
      <w:pPr>
        <w:spacing w:line="560" w:lineRule="exact"/>
        <w:rPr>
          <w:rFonts w:ascii="仿宋_GB2312" w:eastAsia="仿宋_GB2312" w:cs="仿宋_GB2312"/>
          <w:sz w:val="32"/>
          <w:szCs w:val="32"/>
        </w:rPr>
      </w:pPr>
      <w:r>
        <w:rPr>
          <w:rFonts w:hint="eastAsia" w:ascii="仿宋_GB2312" w:hAnsi="宋体" w:eastAsia="仿宋_GB2312"/>
          <w:sz w:val="32"/>
          <w:szCs w:val="32"/>
        </w:rPr>
        <w:t>28</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3</w:t>
      </w:r>
      <w:r>
        <w:rPr>
          <w:rFonts w:hint="eastAsia" w:ascii="仿宋_GB2312" w:eastAsia="仿宋_GB2312" w:cs="仿宋_GB2312"/>
          <w:sz w:val="32"/>
          <w:szCs w:val="32"/>
        </w:rPr>
        <w:t>个，涉及资金</w:t>
      </w:r>
      <w:r>
        <w:rPr>
          <w:rFonts w:hint="eastAsia" w:ascii="仿宋_GB2312" w:hAnsi="宋体" w:eastAsia="仿宋_GB2312"/>
          <w:sz w:val="32"/>
          <w:szCs w:val="32"/>
        </w:rPr>
        <w:t>103</w:t>
      </w:r>
      <w:r>
        <w:rPr>
          <w:rFonts w:hint="eastAsia" w:ascii="仿宋_GB2312" w:eastAsia="仿宋_GB2312" w:cs="仿宋_GB2312"/>
          <w:sz w:val="32"/>
          <w:szCs w:val="32"/>
        </w:rPr>
        <w:t xml:space="preserve">万元。 </w:t>
      </w:r>
    </w:p>
    <w:p w14:paraId="12A77C95">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2025年预算收支比上年增加8.16万元，增减变化的主要原因为基本支出增加。</w:t>
      </w:r>
    </w:p>
    <w:p w14:paraId="1465356F">
      <w:pPr>
        <w:spacing w:line="560" w:lineRule="exact"/>
        <w:ind w:firstLine="646" w:firstLineChars="200"/>
        <w:rPr>
          <w:rFonts w:ascii="黑体" w:hAnsi="黑体" w:eastAsia="黑体"/>
          <w:sz w:val="32"/>
          <w:szCs w:val="32"/>
        </w:rPr>
      </w:pPr>
      <w:r>
        <w:rPr>
          <w:rFonts w:hint="eastAsia" w:ascii="黑体" w:hAnsi="黑体" w:eastAsia="黑体"/>
          <w:sz w:val="32"/>
          <w:szCs w:val="32"/>
        </w:rPr>
        <w:t>二、单位管理专项资金情况</w:t>
      </w:r>
    </w:p>
    <w:p w14:paraId="3C7EA4F8">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2025年，盘锦市医疗保障事务服务中心管理专项资金共0个，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583BAAB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42DB3C0">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2025年盘锦市医疗保障事务服务中心机关运行经费预算为0万元。</w:t>
      </w:r>
    </w:p>
    <w:p w14:paraId="328DB9F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A611D30">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2025年盘锦市医疗保障事务服务中心安排政府采购预算28万元，具体为货物0万元，服务28万元，工程0万元；预留面向中小企业采购份额0万元，其中预留给小微企业0万元。</w:t>
      </w:r>
    </w:p>
    <w:p w14:paraId="69B769E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9F549EF">
      <w:pPr>
        <w:spacing w:line="560" w:lineRule="exact"/>
        <w:ind w:firstLine="660"/>
        <w:rPr>
          <w:rFonts w:ascii="仿宋_GB2312" w:eastAsia="仿宋_GB2312"/>
          <w:sz w:val="32"/>
          <w:szCs w:val="32"/>
        </w:rPr>
      </w:pPr>
      <w:r>
        <w:rPr>
          <w:rFonts w:hint="eastAsia" w:ascii="仿宋_GB2312" w:eastAsia="仿宋_GB2312"/>
          <w:sz w:val="32"/>
          <w:szCs w:val="32"/>
        </w:rPr>
        <w:t>2025年，盘锦市医疗保障事务服务中心财政拨款预算安排的“三公”经费预算为4万元，与上年持平。其中：</w:t>
      </w:r>
    </w:p>
    <w:p w14:paraId="2DB828A1">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1.因公出国（境）费0万元，比上年减少（增加）0万元，下降（增长）0%。</w:t>
      </w:r>
    </w:p>
    <w:p w14:paraId="633801EE">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19CE8EF1">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3.公务用车购置及运行费4万元（其中：公务用车购置费0万元，比上年减少（增加）0万元，下降（增长）0%；公务用车运行费4万元，与上年持平。</w:t>
      </w:r>
    </w:p>
    <w:p w14:paraId="190628A5">
      <w:pPr>
        <w:pStyle w:val="2"/>
      </w:pPr>
    </w:p>
    <w:p w14:paraId="6971CCE4"/>
    <w:p w14:paraId="47D900A6">
      <w:pPr>
        <w:pStyle w:val="2"/>
      </w:pPr>
    </w:p>
    <w:p w14:paraId="53C8C563">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465EE0F">
        <w:tblPrEx>
          <w:tblCellMar>
            <w:top w:w="15" w:type="dxa"/>
            <w:left w:w="108" w:type="dxa"/>
            <w:bottom w:w="15" w:type="dxa"/>
            <w:right w:w="108" w:type="dxa"/>
          </w:tblCellMar>
        </w:tblPrEx>
        <w:trPr>
          <w:trHeight w:val="570" w:hRule="atLeast"/>
        </w:trPr>
        <w:tc>
          <w:tcPr>
            <w:tcW w:w="8835" w:type="dxa"/>
            <w:gridSpan w:val="4"/>
            <w:vAlign w:val="center"/>
          </w:tcPr>
          <w:p w14:paraId="3B9E9E6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03F4560D">
        <w:tblPrEx>
          <w:tblCellMar>
            <w:top w:w="15" w:type="dxa"/>
            <w:left w:w="108" w:type="dxa"/>
            <w:bottom w:w="15" w:type="dxa"/>
            <w:right w:w="108" w:type="dxa"/>
          </w:tblCellMar>
        </w:tblPrEx>
        <w:trPr>
          <w:trHeight w:val="480" w:hRule="atLeast"/>
        </w:trPr>
        <w:tc>
          <w:tcPr>
            <w:tcW w:w="3423" w:type="dxa"/>
            <w:vAlign w:val="center"/>
          </w:tcPr>
          <w:p w14:paraId="6F319E02">
            <w:pPr>
              <w:widowControl/>
              <w:spacing w:line="560" w:lineRule="exact"/>
              <w:jc w:val="left"/>
              <w:rPr>
                <w:rFonts w:ascii="宋体" w:hAnsi="宋体" w:cs="宋体"/>
                <w:color w:val="000000"/>
                <w:kern w:val="0"/>
                <w:sz w:val="24"/>
              </w:rPr>
            </w:pPr>
          </w:p>
        </w:tc>
        <w:tc>
          <w:tcPr>
            <w:tcW w:w="2026" w:type="dxa"/>
            <w:vAlign w:val="center"/>
          </w:tcPr>
          <w:p w14:paraId="630C6474">
            <w:pPr>
              <w:widowControl/>
              <w:spacing w:line="560" w:lineRule="exact"/>
              <w:jc w:val="left"/>
              <w:rPr>
                <w:rFonts w:ascii="宋体" w:hAnsi="宋体" w:cs="宋体"/>
                <w:color w:val="000000"/>
                <w:kern w:val="0"/>
                <w:sz w:val="24"/>
              </w:rPr>
            </w:pPr>
          </w:p>
        </w:tc>
        <w:tc>
          <w:tcPr>
            <w:tcW w:w="3386" w:type="dxa"/>
            <w:gridSpan w:val="2"/>
            <w:vAlign w:val="center"/>
          </w:tcPr>
          <w:p w14:paraId="4DE88A1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1F34F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CCC57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B27EE7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A019D7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EECE0C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967E96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6BC86D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75EF9CB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27997B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47AE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06A0BFE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4</w:t>
            </w:r>
          </w:p>
        </w:tc>
      </w:tr>
      <w:tr w14:paraId="605DE27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93148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95FAF4">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EE244C7">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1BB77B6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D6A72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C3D7BF">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12B08DA">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4AFB3C9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24D6D6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082461">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256A107F">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w:t>
            </w:r>
          </w:p>
        </w:tc>
      </w:tr>
      <w:tr w14:paraId="0BBA049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BE3D8F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8B587E">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037C6BE">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1664EDD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AC397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2A8EA8">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3C847042">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w:t>
            </w:r>
          </w:p>
        </w:tc>
      </w:tr>
    </w:tbl>
    <w:p w14:paraId="1E60247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0AF1D57">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盘锦市医疗保障事务服务中心2025年年初预算购置车辆0台，金额0万元，单位价值50万元以上的通用设备0台，单位价值100万元以上的专用设备0台。</w:t>
      </w:r>
    </w:p>
    <w:p w14:paraId="06EDDC43">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2F147C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锦市医疗保障事务服务中心2025年应编制单位整体绩效目标共1个，实际编制单位整体绩效目标共1个，编制单位整体绩效目标覆盖率（实际编制绩效目标的数量/应编制绩效目标的数量）为100%。2025年应编制绩效目标的特定目标类和其他运转类项目共3个，实际编制绩效目标的特定目标类和其他运转类项目共3个，涉及资金103万元，编制特定目标类和其他运转类绩效目标的项目覆盖率（实际编制绩效目标的数量/应编制绩效目标的数量）为100%。</w:t>
      </w:r>
    </w:p>
    <w:p w14:paraId="21BA7333">
      <w:pPr>
        <w:spacing w:line="560" w:lineRule="exact"/>
        <w:jc w:val="center"/>
        <w:rPr>
          <w:rFonts w:ascii="宋体" w:hAnsi="宋体"/>
          <w:b/>
          <w:sz w:val="36"/>
          <w:szCs w:val="36"/>
        </w:rPr>
      </w:pPr>
      <w:r>
        <w:rPr>
          <w:rFonts w:hint="eastAsia" w:ascii="宋体" w:hAnsi="宋体"/>
          <w:b/>
          <w:sz w:val="36"/>
          <w:szCs w:val="36"/>
        </w:rPr>
        <w:t>第四部分 名词解释</w:t>
      </w:r>
    </w:p>
    <w:p w14:paraId="0B593CC5">
      <w:pPr>
        <w:spacing w:line="560" w:lineRule="exact"/>
        <w:jc w:val="center"/>
        <w:rPr>
          <w:rFonts w:ascii="仿宋_GB2312" w:eastAsia="仿宋_GB2312"/>
          <w:sz w:val="32"/>
          <w:szCs w:val="32"/>
        </w:rPr>
      </w:pPr>
    </w:p>
    <w:p w14:paraId="30163193">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FFB3E2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C3CDC5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C14870E">
      <w:pPr>
        <w:spacing w:line="560" w:lineRule="exact"/>
        <w:ind w:firstLine="646" w:firstLineChars="200"/>
        <w:jc w:val="left"/>
        <w:rPr>
          <w:rFonts w:ascii="仿宋_GB2312" w:eastAsia="仿宋_GB2312"/>
          <w:sz w:val="32"/>
          <w:szCs w:val="32"/>
        </w:rPr>
      </w:pPr>
      <w:r>
        <w:rPr>
          <w:rFonts w:hint="eastAsia" w:ascii="仿宋_GB2312" w:hAnsi="仿宋_GB2312" w:eastAsia="仿宋_GB2312" w:cs="仿宋_GB2312"/>
          <w:b/>
          <w:bCs/>
          <w:sz w:val="32"/>
          <w:szCs w:val="32"/>
        </w:rPr>
        <w:t>4.事业运行经费：</w:t>
      </w:r>
      <w:r>
        <w:rPr>
          <w:rFonts w:hint="eastAsia" w:ascii="仿宋_GB2312" w:hAnsi="仿宋_GB2312" w:eastAsia="仿宋_GB2312" w:cs="仿宋_GB2312"/>
          <w:bCs/>
          <w:sz w:val="32"/>
          <w:szCs w:val="32"/>
        </w:rPr>
        <w:t>是指各单位的公用经费，包括办公及印刷费、邮电费、差旅费、会议费、福利费、日常维护费、专用材料及一般设备购置费、办公用房水电费、办公用房取暖费、办公用房物业管理费、办公用车运行维护费以及其他费用。</w:t>
      </w:r>
    </w:p>
    <w:p w14:paraId="75D65F8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　5.行政事业性收费收入</w:t>
      </w:r>
      <w:r>
        <w:rPr>
          <w:rFonts w:hint="eastAsia" w:ascii="仿宋_GB2312" w:hAnsi="仿宋_GB2312" w:eastAsia="仿宋_GB2312" w:cs="仿宋_GB2312"/>
          <w:bCs/>
          <w:sz w:val="32"/>
          <w:szCs w:val="32"/>
        </w:rPr>
        <w:t>：指依据法律、行政法规、国务院有关规定、国务院财政单位会同价格主管单位共同发布的规章或者规定，省、自治区、直辖市人民政府财政单位会同价格主管单位共同发布的规定所收取的各项收费收入。</w:t>
      </w:r>
    </w:p>
    <w:p w14:paraId="64C7122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6.政府性基金收入</w:t>
      </w:r>
      <w:r>
        <w:rPr>
          <w:rFonts w:hint="eastAsia" w:ascii="仿宋_GB2312" w:hAnsi="仿宋_GB2312" w:eastAsia="仿宋_GB2312" w:cs="仿宋_GB2312"/>
          <w:bCs/>
          <w:sz w:val="32"/>
          <w:szCs w:val="32"/>
        </w:rPr>
        <w:t>：反映各级政府及其所属单位根据法律、行政法规规定并经国务院或财政部批准，向公民、法人和其他组织征收的政府性基金，以及参照政府性基金管理或纳入基金预算、具有特定用途的财政资金。</w:t>
      </w:r>
    </w:p>
    <w:p w14:paraId="1231B8F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7.其他收入：</w:t>
      </w:r>
      <w:r>
        <w:rPr>
          <w:rFonts w:hint="eastAsia" w:ascii="仿宋_GB2312" w:hAnsi="仿宋_GB2312" w:eastAsia="仿宋_GB2312" w:cs="仿宋_GB2312"/>
          <w:bCs/>
          <w:sz w:val="32"/>
          <w:szCs w:val="32"/>
        </w:rPr>
        <w:t>指除上述“财政拨款收入”、“行政事业性收费收入”、“政府性基金收入”以外的收入。</w:t>
      </w:r>
    </w:p>
    <w:p w14:paraId="64422B6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8.“三公”经费</w:t>
      </w:r>
      <w:r>
        <w:rPr>
          <w:rFonts w:hint="eastAsia" w:ascii="仿宋_GB2312" w:hAnsi="仿宋_GB2312" w:eastAsia="仿宋_GB2312" w:cs="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5D56B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9.社会保障和就业（类）行政事业单位离退休（款）归口管理的行政单位离退休（项）：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4D40B76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10.社会保障和就业（类）行政事业单位离退休（款）事业单位离退休（项）：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12ADA73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11.卫生健康类（类）行政事业单位医疗（款）行政单位医疗（项）：</w:t>
      </w:r>
      <w:r>
        <w:rPr>
          <w:rFonts w:hint="eastAsia" w:ascii="仿宋_GB2312" w:hAnsi="仿宋_GB2312" w:eastAsia="仿宋_GB2312" w:cs="仿宋_GB2312"/>
          <w:bCs/>
          <w:sz w:val="32"/>
          <w:szCs w:val="32"/>
        </w:rPr>
        <w:t>反映财政单位安排的行政单位（包括实行公务员管理的事业单位，下同）基本医疗保险缴费经费，未参加医疗保险的行政单位的公费医疗经费，按国家规定享受离休人员、红军老战士待遇人员的医疗经费。</w:t>
      </w:r>
    </w:p>
    <w:p w14:paraId="3F279E4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sz w:val="32"/>
          <w:szCs w:val="32"/>
        </w:rPr>
        <w:t>12.卫生健康类（类）行政事业单位医疗（款）事业单位医疗（项）：</w:t>
      </w:r>
      <w:r>
        <w:rPr>
          <w:rFonts w:hint="eastAsia" w:ascii="仿宋_GB2312" w:hAnsi="仿宋_GB2312" w:eastAsia="仿宋_GB2312" w:cs="仿宋_GB2312"/>
          <w:bCs/>
          <w:sz w:val="32"/>
          <w:szCs w:val="32"/>
        </w:rPr>
        <w:t>反映财政单位安排的事业单位基本医疗保险缴费经费，未参加医疗保险的事业单位的公费医疗经费，按国家规定享受离休人员待遇人员的医疗经费。</w:t>
      </w:r>
    </w:p>
    <w:p w14:paraId="7A9B905A">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13.住房保障（类）住房改革（款）住房公积金（项）：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7AA1CF2A">
      <w:pPr>
        <w:widowControl/>
        <w:jc w:val="left"/>
        <w:rPr>
          <w:rFonts w:ascii="宋体" w:hAnsi="宋体"/>
          <w:b/>
          <w:sz w:val="36"/>
          <w:szCs w:val="36"/>
        </w:rPr>
      </w:pPr>
      <w:r>
        <w:rPr>
          <w:rFonts w:ascii="宋体" w:hAnsi="宋体"/>
          <w:b/>
          <w:sz w:val="36"/>
          <w:szCs w:val="36"/>
        </w:rPr>
        <w:br w:type="page"/>
      </w:r>
    </w:p>
    <w:p w14:paraId="57E7357E">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E6B0E93">
      <w:pPr>
        <w:tabs>
          <w:tab w:val="left" w:pos="2343"/>
        </w:tabs>
        <w:spacing w:line="560" w:lineRule="exact"/>
        <w:rPr>
          <w:rFonts w:ascii="宋体" w:hAnsi="宋体"/>
          <w:b/>
          <w:sz w:val="36"/>
          <w:szCs w:val="36"/>
        </w:rPr>
      </w:pPr>
    </w:p>
    <w:p w14:paraId="4C0E842A">
      <w:pPr>
        <w:tabs>
          <w:tab w:val="left" w:pos="2343"/>
        </w:tabs>
        <w:spacing w:line="560" w:lineRule="exact"/>
        <w:jc w:val="center"/>
        <w:rPr>
          <w:rFonts w:ascii="宋体" w:hAnsi="宋体"/>
          <w:b/>
          <w:sz w:val="36"/>
          <w:szCs w:val="36"/>
        </w:rPr>
      </w:pPr>
    </w:p>
    <w:p w14:paraId="7E2D17C0">
      <w:pPr>
        <w:tabs>
          <w:tab w:val="left" w:pos="2343"/>
        </w:tabs>
        <w:spacing w:line="560" w:lineRule="exact"/>
        <w:jc w:val="center"/>
        <w:rPr>
          <w:rFonts w:ascii="宋体" w:hAnsi="宋体"/>
          <w:b/>
          <w:sz w:val="36"/>
          <w:szCs w:val="36"/>
        </w:rPr>
      </w:pPr>
    </w:p>
    <w:p w14:paraId="50836C43">
      <w:pPr>
        <w:tabs>
          <w:tab w:val="left" w:pos="2343"/>
        </w:tabs>
        <w:spacing w:line="560" w:lineRule="exact"/>
        <w:jc w:val="center"/>
        <w:rPr>
          <w:rFonts w:ascii="宋体" w:hAnsi="宋体"/>
          <w:b/>
          <w:sz w:val="36"/>
          <w:szCs w:val="36"/>
        </w:rPr>
      </w:pPr>
    </w:p>
    <w:p w14:paraId="076E3570">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 2025年盘锦市医疗保障事务服务中心单位预算公开表</w:t>
      </w:r>
    </w:p>
    <w:p w14:paraId="404D65C4">
      <w:pPr>
        <w:spacing w:line="600" w:lineRule="exact"/>
        <w:ind w:firstLine="3230" w:firstLineChars="1000"/>
        <w:rPr>
          <w:rFonts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（该部分内容详见附件）</w:t>
      </w:r>
    </w:p>
    <w:p w14:paraId="23C2B6E2">
      <w:pPr>
        <w:spacing w:line="600" w:lineRule="exact"/>
        <w:rPr>
          <w:rFonts w:ascii="仿宋_GB2312" w:eastAsia="仿宋_GB2312"/>
          <w:b/>
          <w:sz w:val="32"/>
          <w:szCs w:val="32"/>
        </w:rPr>
      </w:pPr>
    </w:p>
    <w:p w14:paraId="06AE3004">
      <w:pPr>
        <w:spacing w:line="560" w:lineRule="exact"/>
        <w:ind w:firstLine="646" w:firstLineChars="200"/>
        <w:jc w:val="left"/>
        <w:rPr>
          <w:rFonts w:ascii="仿宋_GB2312" w:eastAsia="仿宋_GB2312"/>
          <w:b/>
          <w:sz w:val="32"/>
          <w:szCs w:val="32"/>
        </w:rPr>
      </w:pPr>
    </w:p>
    <w:p w14:paraId="5718CDD0">
      <w:pPr>
        <w:pStyle w:val="2"/>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065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479631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B21"/>
    <w:rsid w:val="00002C5F"/>
    <w:rsid w:val="000048A5"/>
    <w:rsid w:val="00007E46"/>
    <w:rsid w:val="000133BF"/>
    <w:rsid w:val="00022421"/>
    <w:rsid w:val="00024EC7"/>
    <w:rsid w:val="0002546B"/>
    <w:rsid w:val="0003153C"/>
    <w:rsid w:val="00032156"/>
    <w:rsid w:val="00042F4C"/>
    <w:rsid w:val="0004398C"/>
    <w:rsid w:val="0004572D"/>
    <w:rsid w:val="00051065"/>
    <w:rsid w:val="00054F25"/>
    <w:rsid w:val="0005746D"/>
    <w:rsid w:val="00065C08"/>
    <w:rsid w:val="00073E3F"/>
    <w:rsid w:val="00081546"/>
    <w:rsid w:val="000906C5"/>
    <w:rsid w:val="000A12D3"/>
    <w:rsid w:val="000A47B7"/>
    <w:rsid w:val="000B1204"/>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A666F"/>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2C7F"/>
    <w:rsid w:val="00245461"/>
    <w:rsid w:val="00246231"/>
    <w:rsid w:val="00246CE3"/>
    <w:rsid w:val="00247688"/>
    <w:rsid w:val="0026131E"/>
    <w:rsid w:val="002625EE"/>
    <w:rsid w:val="00264E0A"/>
    <w:rsid w:val="00270835"/>
    <w:rsid w:val="002859E0"/>
    <w:rsid w:val="0029002D"/>
    <w:rsid w:val="00296E48"/>
    <w:rsid w:val="002A22FD"/>
    <w:rsid w:val="002A2DF7"/>
    <w:rsid w:val="002B35A5"/>
    <w:rsid w:val="002B4307"/>
    <w:rsid w:val="002C1A77"/>
    <w:rsid w:val="002C210E"/>
    <w:rsid w:val="002D11AD"/>
    <w:rsid w:val="002E3F3E"/>
    <w:rsid w:val="002E710D"/>
    <w:rsid w:val="002F5910"/>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2B11"/>
    <w:rsid w:val="003A4F29"/>
    <w:rsid w:val="003C4345"/>
    <w:rsid w:val="003C444A"/>
    <w:rsid w:val="003E0DAF"/>
    <w:rsid w:val="003E4A52"/>
    <w:rsid w:val="003E694A"/>
    <w:rsid w:val="003F1B5E"/>
    <w:rsid w:val="003F3466"/>
    <w:rsid w:val="003F4695"/>
    <w:rsid w:val="003F6E5B"/>
    <w:rsid w:val="004037DF"/>
    <w:rsid w:val="00406782"/>
    <w:rsid w:val="00414072"/>
    <w:rsid w:val="004152DB"/>
    <w:rsid w:val="0042230F"/>
    <w:rsid w:val="004265C6"/>
    <w:rsid w:val="00426B4B"/>
    <w:rsid w:val="00437E10"/>
    <w:rsid w:val="0044636A"/>
    <w:rsid w:val="0046607B"/>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314C"/>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16FC"/>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0C5A"/>
    <w:rsid w:val="006863E1"/>
    <w:rsid w:val="006870E5"/>
    <w:rsid w:val="00687611"/>
    <w:rsid w:val="00692DF0"/>
    <w:rsid w:val="00696779"/>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2790A"/>
    <w:rsid w:val="00730D65"/>
    <w:rsid w:val="00731AA4"/>
    <w:rsid w:val="00732C10"/>
    <w:rsid w:val="00734A9C"/>
    <w:rsid w:val="007354FB"/>
    <w:rsid w:val="007406C0"/>
    <w:rsid w:val="00741F03"/>
    <w:rsid w:val="007456A4"/>
    <w:rsid w:val="00773350"/>
    <w:rsid w:val="00773BD8"/>
    <w:rsid w:val="007A75ED"/>
    <w:rsid w:val="007B3491"/>
    <w:rsid w:val="007C3D56"/>
    <w:rsid w:val="007C567D"/>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652C"/>
    <w:rsid w:val="00827E6A"/>
    <w:rsid w:val="008301EF"/>
    <w:rsid w:val="00831E2E"/>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07C1"/>
    <w:rsid w:val="009122B2"/>
    <w:rsid w:val="00912532"/>
    <w:rsid w:val="0091437F"/>
    <w:rsid w:val="00917BF2"/>
    <w:rsid w:val="00926C07"/>
    <w:rsid w:val="00927BF1"/>
    <w:rsid w:val="00932D2C"/>
    <w:rsid w:val="00941A4D"/>
    <w:rsid w:val="0095395F"/>
    <w:rsid w:val="00954AA1"/>
    <w:rsid w:val="009612EF"/>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9F67FA"/>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31C"/>
    <w:rsid w:val="00AC34D0"/>
    <w:rsid w:val="00AC4300"/>
    <w:rsid w:val="00AC480B"/>
    <w:rsid w:val="00AD2E2D"/>
    <w:rsid w:val="00AE7A0D"/>
    <w:rsid w:val="00B03ED6"/>
    <w:rsid w:val="00B0465C"/>
    <w:rsid w:val="00B1023F"/>
    <w:rsid w:val="00B17365"/>
    <w:rsid w:val="00B3097E"/>
    <w:rsid w:val="00B3322E"/>
    <w:rsid w:val="00B34341"/>
    <w:rsid w:val="00B43C68"/>
    <w:rsid w:val="00B45B68"/>
    <w:rsid w:val="00B530B3"/>
    <w:rsid w:val="00B54C4C"/>
    <w:rsid w:val="00B54F33"/>
    <w:rsid w:val="00B62E22"/>
    <w:rsid w:val="00B64505"/>
    <w:rsid w:val="00B64E59"/>
    <w:rsid w:val="00B718FD"/>
    <w:rsid w:val="00B72DC4"/>
    <w:rsid w:val="00B75CFB"/>
    <w:rsid w:val="00B85E08"/>
    <w:rsid w:val="00B862F1"/>
    <w:rsid w:val="00B876F3"/>
    <w:rsid w:val="00B91006"/>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2329A"/>
    <w:rsid w:val="00C30E2E"/>
    <w:rsid w:val="00C45BFE"/>
    <w:rsid w:val="00C5023B"/>
    <w:rsid w:val="00C57542"/>
    <w:rsid w:val="00C5780C"/>
    <w:rsid w:val="00C61CCD"/>
    <w:rsid w:val="00C656DC"/>
    <w:rsid w:val="00C71D5C"/>
    <w:rsid w:val="00C9239A"/>
    <w:rsid w:val="00C938AA"/>
    <w:rsid w:val="00CA3545"/>
    <w:rsid w:val="00CA36DD"/>
    <w:rsid w:val="00CB433D"/>
    <w:rsid w:val="00CB55D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E3FFC"/>
    <w:rsid w:val="00DF1754"/>
    <w:rsid w:val="00E141B7"/>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5176"/>
    <w:rsid w:val="00F77CD4"/>
    <w:rsid w:val="00F8132F"/>
    <w:rsid w:val="00F81ABA"/>
    <w:rsid w:val="00F85E64"/>
    <w:rsid w:val="00F90DDE"/>
    <w:rsid w:val="00F953F8"/>
    <w:rsid w:val="00F969C4"/>
    <w:rsid w:val="00FA7402"/>
    <w:rsid w:val="00FA79EA"/>
    <w:rsid w:val="00FA7C82"/>
    <w:rsid w:val="00FB14EE"/>
    <w:rsid w:val="00FB4B59"/>
    <w:rsid w:val="00FB6E35"/>
    <w:rsid w:val="00FC2939"/>
    <w:rsid w:val="00FD1912"/>
    <w:rsid w:val="00FD3CCD"/>
    <w:rsid w:val="00FE3108"/>
    <w:rsid w:val="00FE3361"/>
    <w:rsid w:val="00FE6175"/>
    <w:rsid w:val="00FE7DD8"/>
    <w:rsid w:val="00FF08B2"/>
    <w:rsid w:val="00FF08FA"/>
    <w:rsid w:val="00FF712A"/>
    <w:rsid w:val="01473B55"/>
    <w:rsid w:val="017D3C08"/>
    <w:rsid w:val="01A746F3"/>
    <w:rsid w:val="01AC4658"/>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BFD6A0D"/>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7C57E8D"/>
    <w:rsid w:val="298C6232"/>
    <w:rsid w:val="29990502"/>
    <w:rsid w:val="29E6061F"/>
    <w:rsid w:val="2A2614B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7675F5F"/>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basedOn w:val="1"/>
    <w:next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33B6-6844-4747-9AAE-38B78E2D3A7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4396</Words>
  <Characters>4544</Characters>
  <Lines>34</Lines>
  <Paragraphs>9</Paragraphs>
  <TotalTime>7</TotalTime>
  <ScaleCrop>false</ScaleCrop>
  <LinksUpToDate>false</LinksUpToDate>
  <CharactersWithSpaces>4630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2025-02-11T02:30:16Z</dcterms:modified>
  <dc:title>辽宁省财政厅部门预算</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A077C46CDB9344FCB6EFCC9177900D44_12</vt:lpwstr>
  </property>
</Properties>
</file>