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b/>
          <w:sz w:val="44"/>
          <w:szCs w:val="44"/>
          <w:u w:val="single"/>
        </w:rPr>
      </w:pPr>
    </w:p>
    <w:p>
      <w:pPr>
        <w:pStyle w:val="2"/>
      </w:pPr>
    </w:p>
    <w:p>
      <w:pPr>
        <w:spacing w:line="560" w:lineRule="exact"/>
        <w:jc w:val="center"/>
        <w:rPr>
          <w:b/>
          <w:sz w:val="44"/>
          <w:szCs w:val="44"/>
          <w:u w:val="single"/>
        </w:rPr>
      </w:pPr>
    </w:p>
    <w:p>
      <w:pPr>
        <w:spacing w:line="560" w:lineRule="exact"/>
        <w:jc w:val="both"/>
        <w:rPr>
          <w:rFonts w:hint="eastAsia"/>
          <w:b/>
          <w:sz w:val="44"/>
          <w:szCs w:val="44"/>
        </w:rPr>
      </w:pPr>
    </w:p>
    <w:p>
      <w:pPr>
        <w:spacing w:line="560" w:lineRule="exact"/>
        <w:jc w:val="both"/>
        <w:rPr>
          <w:rFonts w:hint="eastAsia"/>
          <w:b/>
          <w:sz w:val="44"/>
          <w:szCs w:val="44"/>
        </w:rPr>
      </w:pPr>
    </w:p>
    <w:p>
      <w:pPr>
        <w:spacing w:line="560" w:lineRule="exact"/>
        <w:jc w:val="both"/>
        <w:rPr>
          <w:rFonts w:hint="eastAsia"/>
          <w:b/>
          <w:sz w:val="44"/>
          <w:szCs w:val="44"/>
        </w:rPr>
      </w:pPr>
    </w:p>
    <w:p>
      <w:pPr>
        <w:spacing w:line="560" w:lineRule="exact"/>
        <w:jc w:val="both"/>
        <w:rPr>
          <w:rFonts w:hint="eastAsia"/>
          <w:b/>
          <w:sz w:val="44"/>
          <w:szCs w:val="44"/>
        </w:rPr>
      </w:pPr>
    </w:p>
    <w:p>
      <w:pPr>
        <w:spacing w:line="560" w:lineRule="exact"/>
        <w:jc w:val="both"/>
        <w:rPr>
          <w:rFonts w:hint="eastAsia"/>
          <w:b/>
          <w:sz w:val="44"/>
          <w:szCs w:val="44"/>
        </w:rPr>
      </w:pPr>
    </w:p>
    <w:p>
      <w:pPr>
        <w:spacing w:line="560" w:lineRule="exact"/>
        <w:jc w:val="center"/>
        <w:rPr>
          <w:rFonts w:hint="eastAsia"/>
          <w:b/>
          <w:sz w:val="44"/>
          <w:szCs w:val="44"/>
          <w:lang w:eastAsia="zh-CN"/>
        </w:rPr>
      </w:pPr>
      <w:r>
        <w:rPr>
          <w:rFonts w:hint="eastAsia"/>
          <w:b/>
          <w:sz w:val="44"/>
          <w:szCs w:val="44"/>
          <w:lang w:eastAsia="zh-CN"/>
        </w:rPr>
        <w:t>盘锦市公共采购交易中心</w:t>
      </w:r>
    </w:p>
    <w:p>
      <w:pPr>
        <w:spacing w:line="560" w:lineRule="exact"/>
        <w:jc w:val="center"/>
        <w:rPr>
          <w:rFonts w:hint="eastAsia" w:eastAsia="宋体"/>
          <w:b/>
          <w:sz w:val="44"/>
          <w:szCs w:val="44"/>
          <w:lang w:val="en-US" w:eastAsia="zh-CN"/>
        </w:rPr>
      </w:pPr>
      <w:r>
        <w:rPr>
          <w:rFonts w:hint="eastAsia"/>
          <w:b/>
          <w:sz w:val="44"/>
          <w:szCs w:val="44"/>
          <w:lang w:val="en-US" w:eastAsia="zh-CN"/>
        </w:rPr>
        <w:t>2025年度部门预算</w:t>
      </w: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center"/>
        <w:rPr>
          <w:rFonts w:hint="eastAsia"/>
          <w:b/>
          <w:sz w:val="44"/>
          <w:szCs w:val="44"/>
        </w:rPr>
      </w:pPr>
    </w:p>
    <w:p>
      <w:pPr>
        <w:spacing w:line="560" w:lineRule="exact"/>
        <w:jc w:val="both"/>
        <w:rPr>
          <w:rFonts w:hint="eastAsia"/>
          <w:b/>
          <w:sz w:val="44"/>
          <w:szCs w:val="44"/>
        </w:rPr>
      </w:pPr>
    </w:p>
    <w:p>
      <w:pPr>
        <w:spacing w:line="560" w:lineRule="exact"/>
        <w:jc w:val="both"/>
        <w:rPr>
          <w:rFonts w:hint="eastAsia"/>
          <w:b/>
          <w:sz w:val="44"/>
          <w:szCs w:val="44"/>
        </w:rPr>
      </w:pPr>
    </w:p>
    <w:p>
      <w:pPr>
        <w:spacing w:line="560" w:lineRule="exact"/>
        <w:jc w:val="center"/>
        <w:rPr>
          <w:rFonts w:hint="eastAsia"/>
          <w:b/>
          <w:sz w:val="44"/>
          <w:szCs w:val="44"/>
        </w:rPr>
      </w:pPr>
    </w:p>
    <w:p>
      <w:pPr>
        <w:spacing w:line="560" w:lineRule="exact"/>
        <w:jc w:val="both"/>
        <w:rPr>
          <w:rFonts w:hint="eastAsia"/>
          <w:b/>
          <w:sz w:val="44"/>
          <w:szCs w:val="44"/>
        </w:rPr>
      </w:pPr>
    </w:p>
    <w:p>
      <w:pPr>
        <w:spacing w:line="560" w:lineRule="exact"/>
        <w:jc w:val="center"/>
        <w:rPr>
          <w:b/>
          <w:sz w:val="44"/>
          <w:szCs w:val="44"/>
        </w:rPr>
      </w:pPr>
      <w:r>
        <w:rPr>
          <w:rFonts w:hint="eastAsia"/>
          <w:b/>
          <w:sz w:val="44"/>
          <w:szCs w:val="44"/>
        </w:rPr>
        <w:t>目    录</w:t>
      </w:r>
    </w:p>
    <w:p>
      <w:pPr>
        <w:spacing w:line="560" w:lineRule="exact"/>
        <w:rPr>
          <w:b/>
          <w:sz w:val="44"/>
          <w:szCs w:val="44"/>
          <w:u w:val="single"/>
        </w:rPr>
      </w:pPr>
    </w:p>
    <w:p>
      <w:pPr>
        <w:spacing w:line="56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第一部分　　部门预算公开管理文件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盘锦市公共采购交易中心</w:t>
      </w:r>
      <w:r>
        <w:rPr>
          <w:rFonts w:hint="eastAsia" w:ascii="黑体" w:hAnsi="黑体" w:eastAsia="黑体"/>
          <w:sz w:val="32"/>
          <w:szCs w:val="32"/>
        </w:rPr>
        <w:t>概况</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ascii="仿宋_GB2312" w:hAnsi="黑体" w:eastAsia="仿宋_GB2312"/>
          <w:sz w:val="32"/>
          <w:szCs w:val="32"/>
        </w:rPr>
      </w:pPr>
      <w:r>
        <w:rPr>
          <w:rFonts w:hint="eastAsia" w:ascii="仿宋_GB2312" w:hAnsi="黑体" w:eastAsia="仿宋_GB2312"/>
          <w:sz w:val="32"/>
          <w:szCs w:val="32"/>
        </w:rPr>
        <w:t>二、机构设置</w:t>
      </w:r>
    </w:p>
    <w:p>
      <w:pPr>
        <w:keepNext w:val="0"/>
        <w:keepLines w:val="0"/>
        <w:pageBreakBefore w:val="0"/>
        <w:widowControl w:val="0"/>
        <w:kinsoku/>
        <w:wordWrap/>
        <w:overflowPunct/>
        <w:topLinePunct w:val="0"/>
        <w:autoSpaceDE/>
        <w:autoSpaceDN/>
        <w:bidi w:val="0"/>
        <w:adjustRightInd/>
        <w:snapToGrid/>
        <w:spacing w:line="560" w:lineRule="exact"/>
        <w:ind w:left="1938" w:hanging="1938" w:hangingChars="600"/>
        <w:textAlignment w:val="auto"/>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盘锦市公共采购交易中心</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ind w:left="1938" w:hanging="1938" w:hangingChars="600"/>
        <w:textAlignment w:val="auto"/>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盘锦市公共采购交易中心</w:t>
      </w:r>
      <w:r>
        <w:rPr>
          <w:rFonts w:hint="eastAsia" w:ascii="黑体" w:hAnsi="黑体" w:eastAsia="黑体"/>
          <w:sz w:val="32"/>
          <w:szCs w:val="32"/>
        </w:rPr>
        <w:t>部门预算</w:t>
      </w:r>
      <w:r>
        <w:rPr>
          <w:rFonts w:hint="eastAsia" w:ascii="黑体" w:hAnsi="黑体" w:eastAsia="黑体"/>
          <w:sz w:val="32"/>
          <w:szCs w:val="32"/>
          <w:lang w:eastAsia="zh-CN"/>
        </w:rPr>
        <w:t>公开</w:t>
      </w:r>
      <w:r>
        <w:rPr>
          <w:rFonts w:hint="eastAsia" w:ascii="黑体" w:hAnsi="黑体" w:eastAsia="黑体"/>
          <w:sz w:val="32"/>
          <w:szCs w:val="32"/>
        </w:rPr>
        <w:t>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40" w:leftChars="0"/>
        <w:textAlignment w:val="auto"/>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60" w:lineRule="exact"/>
        <w:ind w:left="540"/>
        <w:textAlignment w:val="auto"/>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60" w:lineRule="exact"/>
        <w:ind w:left="540"/>
        <w:textAlignment w:val="auto"/>
        <w:rPr>
          <w:rFonts w:ascii="仿宋_GB2312" w:hAnsi="黑体" w:eastAsia="仿宋_GB2312"/>
          <w:sz w:val="32"/>
          <w:szCs w:val="32"/>
        </w:rPr>
      </w:pPr>
      <w:r>
        <w:rPr>
          <w:rFonts w:hint="eastAsia" w:ascii="仿宋_GB2312" w:hAnsi="黑体" w:eastAsia="仿宋_GB2312"/>
          <w:sz w:val="32"/>
          <w:szCs w:val="32"/>
        </w:rPr>
        <w:t>项目支出预算表</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60" w:lineRule="exact"/>
        <w:ind w:left="540"/>
        <w:textAlignment w:val="auto"/>
        <w:rPr>
          <w:rFonts w:ascii="仿宋_GB2312" w:hAnsi="黑体" w:eastAsia="仿宋_GB2312"/>
          <w:sz w:val="32"/>
          <w:szCs w:val="32"/>
        </w:rPr>
      </w:pPr>
      <w:r>
        <w:rPr>
          <w:rFonts w:hint="eastAsia" w:ascii="仿宋_GB2312" w:hAnsi="黑体" w:eastAsia="仿宋_GB2312"/>
          <w:sz w:val="32"/>
          <w:szCs w:val="32"/>
        </w:rPr>
        <w:t>支出功能分类预算表</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60" w:lineRule="exact"/>
        <w:ind w:left="540"/>
        <w:textAlignment w:val="auto"/>
        <w:rPr>
          <w:rFonts w:ascii="仿宋_GB2312" w:hAnsi="黑体" w:eastAsia="仿宋_GB2312"/>
          <w:sz w:val="32"/>
          <w:szCs w:val="32"/>
        </w:rPr>
      </w:pPr>
      <w:r>
        <w:rPr>
          <w:rFonts w:hint="eastAsia" w:ascii="仿宋_GB2312" w:hAnsi="黑体" w:eastAsia="仿宋_GB2312"/>
          <w:sz w:val="32"/>
          <w:szCs w:val="32"/>
        </w:rPr>
        <w:t>支出经济分类预算表（政府预算）</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60" w:lineRule="exact"/>
        <w:ind w:left="540"/>
        <w:textAlignment w:val="auto"/>
        <w:rPr>
          <w:rFonts w:ascii="仿宋_GB2312" w:hAnsi="黑体" w:eastAsia="仿宋_GB2312"/>
          <w:sz w:val="32"/>
          <w:szCs w:val="32"/>
        </w:rPr>
      </w:pPr>
      <w:r>
        <w:rPr>
          <w:rFonts w:hint="eastAsia" w:ascii="仿宋_GB2312" w:hAnsi="黑体" w:eastAsia="仿宋_GB2312"/>
          <w:sz w:val="32"/>
          <w:szCs w:val="32"/>
        </w:rPr>
        <w:t>支出经济分类预算表（部门预算）</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60" w:lineRule="exact"/>
        <w:ind w:left="540"/>
        <w:textAlignment w:val="auto"/>
        <w:rPr>
          <w:rFonts w:ascii="仿宋_GB2312" w:hAnsi="黑体" w:eastAsia="仿宋_GB2312"/>
          <w:sz w:val="32"/>
          <w:szCs w:val="32"/>
        </w:rPr>
      </w:pPr>
      <w:r>
        <w:rPr>
          <w:rFonts w:hint="eastAsia" w:ascii="仿宋_GB2312" w:hAnsi="黑体" w:eastAsia="仿宋_GB2312"/>
          <w:sz w:val="32"/>
          <w:szCs w:val="32"/>
        </w:rPr>
        <w:t>债务支出预算表</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60" w:lineRule="exact"/>
        <w:ind w:left="540"/>
        <w:textAlignment w:val="auto"/>
        <w:rPr>
          <w:rFonts w:ascii="仿宋_GB2312" w:hAnsi="黑体" w:eastAsia="仿宋_GB2312"/>
          <w:sz w:val="32"/>
          <w:szCs w:val="32"/>
        </w:rPr>
      </w:pPr>
      <w:r>
        <w:rPr>
          <w:rFonts w:hint="eastAsia" w:ascii="仿宋_GB2312" w:hAnsi="黑体" w:eastAsia="仿宋_GB2312"/>
          <w:sz w:val="32"/>
          <w:szCs w:val="32"/>
        </w:rPr>
        <w:t>政府采购支出预算表</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60" w:lineRule="exact"/>
        <w:ind w:left="540"/>
        <w:textAlignment w:val="auto"/>
        <w:rPr>
          <w:rFonts w:ascii="仿宋_GB2312" w:hAnsi="黑体" w:eastAsia="仿宋_GB2312"/>
          <w:sz w:val="32"/>
          <w:szCs w:val="32"/>
        </w:rPr>
      </w:pPr>
      <w:r>
        <w:rPr>
          <w:rFonts w:hint="eastAsia" w:ascii="仿宋_GB2312" w:hAnsi="黑体" w:eastAsia="仿宋_GB2312"/>
          <w:sz w:val="32"/>
          <w:szCs w:val="32"/>
        </w:rPr>
        <w:t>政府购买服务支出预算表</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60" w:lineRule="exact"/>
        <w:ind w:left="540"/>
        <w:textAlignment w:val="auto"/>
        <w:rPr>
          <w:rFonts w:ascii="仿宋_GB2312" w:hAnsi="黑体" w:eastAsia="仿宋_GB2312"/>
          <w:sz w:val="32"/>
          <w:szCs w:val="32"/>
        </w:rPr>
      </w:pPr>
      <w:r>
        <w:rPr>
          <w:rFonts w:hint="eastAsia" w:ascii="仿宋_GB2312" w:hAnsi="黑体" w:eastAsia="仿宋_GB2312"/>
          <w:sz w:val="32"/>
          <w:szCs w:val="32"/>
        </w:rPr>
        <w:t>部门（单位）整体绩效目标表</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60" w:lineRule="exact"/>
        <w:ind w:left="540"/>
        <w:textAlignment w:val="auto"/>
        <w:rPr>
          <w:rFonts w:ascii="仿宋_GB2312" w:hAnsi="黑体" w:eastAsia="仿宋_GB2312"/>
          <w:sz w:val="32"/>
          <w:szCs w:val="32"/>
        </w:rPr>
      </w:pPr>
      <w:r>
        <w:rPr>
          <w:rFonts w:hint="eastAsia" w:ascii="仿宋_GB2312" w:hAnsi="黑体" w:eastAsia="仿宋_GB2312"/>
          <w:sz w:val="32"/>
          <w:szCs w:val="32"/>
        </w:rPr>
        <w:t>部门预算项目（政策）绩效目标表</w:t>
      </w:r>
    </w:p>
    <w:p>
      <w:pPr>
        <w:keepNext w:val="0"/>
        <w:keepLines w:val="0"/>
        <w:pageBreakBefore w:val="0"/>
        <w:widowControl w:val="0"/>
        <w:numPr>
          <w:ilvl w:val="0"/>
          <w:numId w:val="1"/>
        </w:numPr>
        <w:tabs>
          <w:tab w:val="left" w:pos="1260"/>
        </w:tabs>
        <w:kinsoku/>
        <w:wordWrap/>
        <w:overflowPunct/>
        <w:topLinePunct w:val="0"/>
        <w:autoSpaceDE/>
        <w:autoSpaceDN/>
        <w:bidi w:val="0"/>
        <w:adjustRightInd/>
        <w:snapToGrid/>
        <w:spacing w:line="560" w:lineRule="exact"/>
        <w:ind w:left="540"/>
        <w:textAlignment w:val="auto"/>
        <w:rPr>
          <w:rFonts w:ascii="仿宋_GB2312" w:hAnsi="黑体" w:eastAsia="仿宋_GB2312"/>
          <w:sz w:val="32"/>
          <w:szCs w:val="32"/>
        </w:rPr>
      </w:pPr>
      <w:r>
        <w:rPr>
          <w:rFonts w:hint="eastAsia" w:ascii="仿宋_GB2312" w:hAnsi="黑体" w:eastAsia="仿宋_GB2312"/>
          <w:sz w:val="32"/>
          <w:szCs w:val="32"/>
        </w:rPr>
        <w:t>部门管理专项资金预算表</w:t>
      </w:r>
    </w:p>
    <w:p>
      <w:pPr>
        <w:keepNext w:val="0"/>
        <w:keepLines w:val="0"/>
        <w:pageBreakBefore w:val="0"/>
        <w:widowControl w:val="0"/>
        <w:kinsoku/>
        <w:wordWrap/>
        <w:overflowPunct/>
        <w:topLinePunct w:val="0"/>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　</w:t>
      </w:r>
    </w:p>
    <w:p>
      <w:pPr>
        <w:keepNext w:val="0"/>
        <w:keepLines w:val="0"/>
        <w:pageBreakBefore w:val="0"/>
        <w:widowControl w:val="0"/>
        <w:kinsoku/>
        <w:wordWrap/>
        <w:overflowPunct/>
        <w:topLinePunct w:val="0"/>
        <w:autoSpaceDN/>
        <w:bidi w:val="0"/>
        <w:adjustRightInd/>
        <w:snapToGrid/>
        <w:spacing w:line="56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N/>
        <w:bidi w:val="0"/>
        <w:adjustRightInd/>
        <w:snapToGrid/>
        <w:spacing w:line="560" w:lineRule="exact"/>
        <w:textAlignment w:val="auto"/>
        <w:rPr>
          <w:rFonts w:ascii="黑体" w:hAnsi="黑体" w:eastAsia="黑体"/>
          <w:sz w:val="32"/>
          <w:szCs w:val="32"/>
        </w:rPr>
      </w:pPr>
    </w:p>
    <w:p>
      <w:pPr>
        <w:keepNext w:val="0"/>
        <w:keepLines w:val="0"/>
        <w:pageBreakBefore w:val="0"/>
        <w:widowControl w:val="0"/>
        <w:kinsoku/>
        <w:wordWrap/>
        <w:overflowPunct/>
        <w:topLinePunct w:val="0"/>
        <w:autoSpaceDN/>
        <w:bidi w:val="0"/>
        <w:adjustRightInd/>
        <w:snapToGrid/>
        <w:spacing w:line="560" w:lineRule="exact"/>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第一部分</w:t>
      </w:r>
      <w:r>
        <w:rPr>
          <w:rFonts w:hint="eastAsia" w:ascii="宋体" w:hAnsi="宋体"/>
          <w:b/>
          <w:sz w:val="36"/>
          <w:szCs w:val="36"/>
          <w:lang w:val="en-US" w:eastAsia="zh-CN"/>
        </w:rPr>
        <w:t xml:space="preserve"> </w:t>
      </w:r>
      <w:r>
        <w:rPr>
          <w:rFonts w:hint="eastAsia" w:ascii="宋体" w:hAnsi="宋体"/>
          <w:b/>
          <w:sz w:val="36"/>
          <w:szCs w:val="36"/>
        </w:rPr>
        <w:t>部门预算公开管理文件</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eastAsia="仿宋_GB2312"/>
          <w:sz w:val="32"/>
          <w:szCs w:val="32"/>
        </w:rPr>
      </w:pPr>
    </w:p>
    <w:p>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N/>
        <w:bidi w:val="0"/>
        <w:adjustRightInd/>
        <w:snapToGrid/>
        <w:spacing w:line="560" w:lineRule="exact"/>
        <w:jc w:val="both"/>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盘锦市公共采购交易中心</w:t>
      </w:r>
      <w:r>
        <w:rPr>
          <w:rFonts w:hint="eastAsia" w:ascii="宋体" w:hAnsi="宋体"/>
          <w:b/>
          <w:sz w:val="36"/>
          <w:szCs w:val="36"/>
        </w:rPr>
        <w:t>概况</w:t>
      </w:r>
    </w:p>
    <w:p>
      <w:pPr>
        <w:keepNext w:val="0"/>
        <w:keepLines w:val="0"/>
        <w:pageBreakBefore w:val="0"/>
        <w:widowControl w:val="0"/>
        <w:kinsoku/>
        <w:wordWrap/>
        <w:overflowPunct/>
        <w:topLinePunct w:val="0"/>
        <w:autoSpaceDN/>
        <w:bidi w:val="0"/>
        <w:adjustRightInd/>
        <w:snapToGrid/>
        <w:spacing w:line="560" w:lineRule="exact"/>
        <w:ind w:firstLine="646" w:firstLineChars="200"/>
        <w:jc w:val="left"/>
        <w:textAlignment w:val="auto"/>
        <w:rPr>
          <w:rFonts w:ascii="黑体" w:eastAsia="黑体"/>
          <w:sz w:val="32"/>
          <w:szCs w:val="32"/>
        </w:rPr>
      </w:pPr>
    </w:p>
    <w:p>
      <w:pPr>
        <w:keepNext w:val="0"/>
        <w:keepLines w:val="0"/>
        <w:pageBreakBefore w:val="0"/>
        <w:widowControl w:val="0"/>
        <w:kinsoku/>
        <w:wordWrap/>
        <w:overflowPunct/>
        <w:topLinePunct w:val="0"/>
        <w:autoSpaceDN/>
        <w:bidi w:val="0"/>
        <w:adjustRightInd/>
        <w:snapToGrid/>
        <w:spacing w:line="560" w:lineRule="exact"/>
        <w:ind w:firstLine="646" w:firstLineChars="200"/>
        <w:jc w:val="left"/>
        <w:textAlignment w:val="auto"/>
        <w:rPr>
          <w:rFonts w:ascii="黑体" w:eastAsia="黑体"/>
          <w:sz w:val="32"/>
          <w:szCs w:val="32"/>
        </w:rPr>
      </w:pPr>
      <w:r>
        <w:rPr>
          <w:rFonts w:hint="eastAsia" w:ascii="黑体" w:eastAsia="黑体"/>
          <w:sz w:val="32"/>
          <w:szCs w:val="32"/>
        </w:rPr>
        <w:t>一、部门职责</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(一)依法依规为进场交易的公共资源以及其他适宜由市场化方式配置的自然资源、国有资产交易活动提供场所、设施和交易服务。</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(二)负责建设公共资源电子交易系统，实施交易全流程电子化，依法及时向社会公开相关交易信息。</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 w:eastAsia="仿宋_GB2312"/>
          <w:sz w:val="32"/>
          <w:szCs w:val="32"/>
        </w:rPr>
      </w:pPr>
      <w:r>
        <w:rPr>
          <w:rFonts w:hint="eastAsia" w:ascii="仿宋_GB2312" w:hAnsi="仿宋" w:eastAsia="仿宋_GB2312"/>
          <w:sz w:val="32"/>
          <w:szCs w:val="32"/>
        </w:rPr>
        <w:t>(三)受市直各部门、各单位委托，组织实施政府采购目录中项目的采购活动，受托办理市级政府采购目录以外项目的采购，根据委托权限组织签订采购合同及督促合同履行。</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 w:eastAsia="仿宋_GB2312"/>
          <w:sz w:val="32"/>
          <w:szCs w:val="32"/>
        </w:rPr>
      </w:pPr>
      <w:r>
        <w:rPr>
          <w:rFonts w:hint="eastAsia" w:ascii="仿宋_GB2312" w:hAnsi="仿宋" w:eastAsia="仿宋_GB2312"/>
          <w:sz w:val="32"/>
          <w:szCs w:val="32"/>
        </w:rPr>
        <w:t>(四)开展进场交易项目评标等有关工作。</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 w:eastAsia="仿宋_GB2312"/>
          <w:sz w:val="32"/>
          <w:szCs w:val="32"/>
        </w:rPr>
      </w:pPr>
      <w:r>
        <w:rPr>
          <w:rFonts w:hint="eastAsia" w:ascii="仿宋_GB2312" w:hAnsi="仿宋" w:eastAsia="仿宋_GB2312"/>
          <w:sz w:val="32"/>
          <w:szCs w:val="32"/>
        </w:rPr>
        <w:t>(五)及时报告交易活动中的违规违纪行为并记录、留存相关证据资料，依法配合有关部门调查处理质疑投诉等事项和违规违纪行为。</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 w:eastAsia="仿宋_GB2312"/>
          <w:sz w:val="32"/>
          <w:szCs w:val="32"/>
        </w:rPr>
      </w:pPr>
      <w:r>
        <w:rPr>
          <w:rFonts w:hint="eastAsia" w:ascii="仿宋_GB2312" w:hAnsi="仿宋" w:eastAsia="仿宋_GB2312"/>
          <w:sz w:val="32"/>
          <w:szCs w:val="32"/>
        </w:rPr>
        <w:t>(六)承担市委、市政府交办的其他工作。</w:t>
      </w:r>
    </w:p>
    <w:p>
      <w:pPr>
        <w:keepNext w:val="0"/>
        <w:keepLines w:val="0"/>
        <w:pageBreakBefore w:val="0"/>
        <w:widowControl w:val="0"/>
        <w:kinsoku/>
        <w:wordWrap/>
        <w:overflowPunct/>
        <w:topLinePunct w:val="0"/>
        <w:autoSpaceDN/>
        <w:bidi w:val="0"/>
        <w:adjustRightInd/>
        <w:snapToGrid/>
        <w:spacing w:line="560" w:lineRule="exact"/>
        <w:ind w:firstLine="646" w:firstLineChars="200"/>
        <w:jc w:val="left"/>
        <w:textAlignment w:val="auto"/>
        <w:rPr>
          <w:rFonts w:ascii="黑体" w:eastAsia="黑体"/>
          <w:sz w:val="32"/>
          <w:szCs w:val="32"/>
        </w:rPr>
      </w:pPr>
      <w:r>
        <w:rPr>
          <w:rFonts w:hint="eastAsia" w:ascii="黑体" w:eastAsia="黑体"/>
          <w:sz w:val="32"/>
          <w:szCs w:val="32"/>
        </w:rPr>
        <w:t>二、机构设置</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 w:eastAsia="仿宋_GB2312" w:cs="仿宋"/>
          <w:sz w:val="32"/>
          <w:szCs w:val="32"/>
          <w:lang w:eastAsia="zh-CN"/>
        </w:rPr>
      </w:pPr>
      <w:r>
        <w:rPr>
          <w:rFonts w:hint="eastAsia" w:ascii="仿宋_GB2312" w:hAnsi="仿宋" w:eastAsia="仿宋_GB2312" w:cs="仿宋"/>
          <w:b/>
          <w:bCs/>
          <w:sz w:val="32"/>
          <w:szCs w:val="32"/>
        </w:rPr>
        <w:t>无纳入盘锦市公共采购交易中心</w:t>
      </w:r>
      <w:r>
        <w:rPr>
          <w:rFonts w:hint="eastAsia" w:ascii="仿宋_GB2312" w:hAnsi="仿宋" w:eastAsia="仿宋_GB2312" w:cs="仿宋"/>
          <w:b/>
          <w:bCs/>
          <w:sz w:val="32"/>
          <w:szCs w:val="32"/>
          <w:lang w:eastAsia="zh-CN"/>
        </w:rPr>
        <w:t>202</w:t>
      </w:r>
      <w:r>
        <w:rPr>
          <w:rFonts w:hint="eastAsia" w:ascii="仿宋_GB2312" w:hAnsi="仿宋" w:eastAsia="仿宋_GB2312" w:cs="仿宋"/>
          <w:b/>
          <w:bCs/>
          <w:sz w:val="32"/>
          <w:szCs w:val="32"/>
          <w:lang w:val="en-US" w:eastAsia="zh-CN"/>
        </w:rPr>
        <w:t>5</w:t>
      </w:r>
      <w:r>
        <w:rPr>
          <w:rFonts w:hint="eastAsia" w:ascii="仿宋_GB2312" w:hAnsi="仿宋" w:eastAsia="仿宋_GB2312" w:cs="仿宋"/>
          <w:b/>
          <w:bCs/>
          <w:sz w:val="32"/>
          <w:szCs w:val="32"/>
        </w:rPr>
        <w:t>年度部门预算编制范围的二级单位。</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（一）</w:t>
      </w:r>
      <w:r>
        <w:rPr>
          <w:rFonts w:hint="eastAsia" w:ascii="仿宋_GB2312" w:hAnsi="仿宋" w:eastAsia="仿宋_GB2312" w:cs="仿宋"/>
          <w:sz w:val="32"/>
          <w:szCs w:val="32"/>
        </w:rPr>
        <w:t>内设机构</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1.办公室</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负责党群和纪检工作;负责文电、财务、资产、档案、保密、后勤保障等工作;负责机构编制、人事管理、离退休干部服务等工作;承担采购交易业务资金管理等相关工作。</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2.信息技术科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负责统一受理公共资源交易项目委托、审核、分类登记、编配等工作;负责网上商城、网上竞拍工作;负责公共采购交易平台及设备的日常维护和管理;负责公共资源交易信息发布等工作。</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3.业务服务科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负责国家、省、市有关公共资源交易政策、法律、法规落实和宣传工作;研究确定公共资源交易和政府采购规则、交易流程、操作规程和现场管理制度，监督工作人员依法依规履行交易服务、交易代理工作;负责政府购买服务机构库、综合专家库、供应商库、采购人库及大宗材料供应商库的维护、使用;负责文字综合、信访、质疑受理、绩效考核、信息报送及业务指导培训等工作。</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4.公共资源交易科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开展工程建设项目招标投标等交易活动组织、服务、咨询和信息发布等工作;负责工程交易项目统计分析等工作。</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5.政府采购科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开展《盘锦市政府集中采购目录》中货物类、服务类和工程类政府采购项目开标(谈判、询价)前的各项组织实施活动;负责政府采购项目的统计分析等工作。</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6.评审科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负责组织公共资源交易项目评审工作;负责评审过程的质疑答复等工作。</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7.档案合同科</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负责归档保存采购交易相关资料，对公共资源交易数据进行统计分析;负责建立公共资源交易相关当事人信用档案;负责组织公共采购交易合同的签约与验收等工作。</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(二)分支机构</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1.盘锦市公共采购交易中心盘山分中心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承担行政区域内公共采购交易事务性工作。</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2.盘锦市公共采购交易中心大洼分中心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承担行政区域内公共采购交易事务性工作。</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3.盘锦市公共采购交易中心兴隆台分中心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承担行政区域内公共采购交易事务性工作。</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4.盘锦市公共采购交易中心双台子分中心</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承担行政区域内公共采购交易事务性工作。</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lang w:eastAsia="zh-CN"/>
        </w:rPr>
        <w:t>（三）</w:t>
      </w:r>
      <w:r>
        <w:rPr>
          <w:rFonts w:hint="eastAsia" w:ascii="仿宋_GB2312" w:hAnsi="仿宋" w:eastAsia="仿宋_GB2312" w:cs="仿宋"/>
          <w:sz w:val="32"/>
          <w:szCs w:val="32"/>
        </w:rPr>
        <w:t>人员编制和领导职数</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盘锦市公共采购交易中心人员编制9</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名，盘锦市公共采购交易中心单位领导职数4名，其中，主任职数1名(县处级)，副主任职数3名(副县处级);内设机构领导职数13名，其中，正职7名(正科级)，副职6名(副科级);核定分支机构领导职数10名，其中，正职</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名(正科级)，副职6名(副科级)。</w:t>
      </w:r>
    </w:p>
    <w:p>
      <w:pPr>
        <w:keepNext w:val="0"/>
        <w:keepLines w:val="0"/>
        <w:pageBreakBefore w:val="0"/>
        <w:widowControl w:val="0"/>
        <w:kinsoku/>
        <w:wordWrap/>
        <w:overflowPunct/>
        <w:topLinePunct w:val="0"/>
        <w:autoSpaceDN/>
        <w:bidi w:val="0"/>
        <w:adjustRightInd/>
        <w:snapToGrid/>
        <w:spacing w:line="560" w:lineRule="exact"/>
        <w:ind w:firstLine="629" w:firstLineChars="195"/>
        <w:textAlignment w:val="auto"/>
        <w:rPr>
          <w:rFonts w:hint="eastAsia" w:ascii="仿宋_GB2312" w:hAnsi="仿宋" w:eastAsia="仿宋_GB2312" w:cs="仿宋"/>
          <w:sz w:val="32"/>
          <w:szCs w:val="32"/>
        </w:rPr>
      </w:pPr>
    </w:p>
    <w:p>
      <w:pPr>
        <w:keepNext w:val="0"/>
        <w:keepLines w:val="0"/>
        <w:pageBreakBefore w:val="0"/>
        <w:widowControl w:val="0"/>
        <w:numPr>
          <w:ilvl w:val="0"/>
          <w:numId w:val="2"/>
        </w:numPr>
        <w:kinsoku/>
        <w:wordWrap/>
        <w:overflowPunct/>
        <w:topLinePunct w:val="0"/>
        <w:autoSpaceDN/>
        <w:bidi w:val="0"/>
        <w:adjustRightInd/>
        <w:snapToGrid/>
        <w:spacing w:line="560" w:lineRule="exact"/>
        <w:jc w:val="center"/>
        <w:textAlignment w:val="auto"/>
        <w:rPr>
          <w:rFonts w:hint="eastAsia" w:ascii="宋体" w:hAnsi="宋体"/>
          <w:b/>
          <w:sz w:val="36"/>
          <w:szCs w:val="36"/>
        </w:rPr>
      </w:pPr>
      <w:r>
        <w:rPr>
          <w:rFonts w:hint="eastAsia" w:ascii="宋体" w:hAnsi="宋体"/>
          <w:b/>
          <w:sz w:val="36"/>
          <w:szCs w:val="36"/>
          <w:lang w:eastAsia="zh-CN"/>
        </w:rPr>
        <w:t>盘锦市公共采购交易中心</w:t>
      </w:r>
      <w:r>
        <w:rPr>
          <w:rFonts w:hint="eastAsia" w:ascii="宋体" w:hAnsi="宋体"/>
          <w:b/>
          <w:sz w:val="36"/>
          <w:szCs w:val="36"/>
          <w:lang w:val="en-US" w:eastAsia="zh-CN"/>
        </w:rPr>
        <w:t>2025</w:t>
      </w:r>
      <w:r>
        <w:rPr>
          <w:rFonts w:hint="eastAsia" w:ascii="宋体" w:hAnsi="宋体"/>
          <w:b/>
          <w:sz w:val="36"/>
          <w:szCs w:val="36"/>
        </w:rPr>
        <w:t>年部门预算</w:t>
      </w:r>
    </w:p>
    <w:p>
      <w:pPr>
        <w:keepNext w:val="0"/>
        <w:keepLines w:val="0"/>
        <w:pageBreakBefore w:val="0"/>
        <w:widowControl w:val="0"/>
        <w:numPr>
          <w:ilvl w:val="0"/>
          <w:numId w:val="0"/>
        </w:numPr>
        <w:kinsoku/>
        <w:wordWrap/>
        <w:overflowPunct/>
        <w:topLinePunct w:val="0"/>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情况说明</w:t>
      </w:r>
    </w:p>
    <w:p>
      <w:pPr>
        <w:keepNext w:val="0"/>
        <w:keepLines w:val="0"/>
        <w:pageBreakBefore w:val="0"/>
        <w:widowControl w:val="0"/>
        <w:kinsoku/>
        <w:wordWrap/>
        <w:overflowPunct/>
        <w:topLinePunct w:val="0"/>
        <w:autoSpaceDN/>
        <w:bidi w:val="0"/>
        <w:adjustRightInd/>
        <w:snapToGrid/>
        <w:spacing w:line="560" w:lineRule="exact"/>
        <w:jc w:val="center"/>
        <w:textAlignment w:val="auto"/>
        <w:rPr>
          <w:rFonts w:ascii="宋体" w:hAnsi="宋体"/>
          <w:b/>
          <w:sz w:val="36"/>
          <w:szCs w:val="36"/>
        </w:rPr>
      </w:pPr>
    </w:p>
    <w:p>
      <w:pPr>
        <w:keepNext w:val="0"/>
        <w:keepLines w:val="0"/>
        <w:pageBreakBefore w:val="0"/>
        <w:widowControl w:val="0"/>
        <w:kinsoku/>
        <w:wordWrap/>
        <w:overflowPunct/>
        <w:topLinePunct w:val="0"/>
        <w:autoSpaceDN/>
        <w:bidi w:val="0"/>
        <w:adjustRightInd/>
        <w:snapToGrid/>
        <w:spacing w:line="560" w:lineRule="exact"/>
        <w:ind w:firstLine="632" w:firstLineChars="196"/>
        <w:textAlignment w:val="auto"/>
        <w:rPr>
          <w:rFonts w:ascii="黑体" w:hAnsi="黑体" w:eastAsia="黑体"/>
          <w:sz w:val="32"/>
          <w:szCs w:val="32"/>
          <w:highlight w:val="none"/>
        </w:rPr>
      </w:pPr>
      <w:r>
        <w:rPr>
          <w:rFonts w:hint="eastAsia" w:ascii="黑体" w:hAnsi="黑体" w:eastAsia="黑体"/>
          <w:sz w:val="32"/>
          <w:szCs w:val="32"/>
          <w:highlight w:val="none"/>
        </w:rPr>
        <w:t>一、综合预算收支指标情况</w:t>
      </w:r>
    </w:p>
    <w:p>
      <w:pPr>
        <w:keepNext w:val="0"/>
        <w:keepLines w:val="0"/>
        <w:pageBreakBefore w:val="0"/>
        <w:widowControl w:val="0"/>
        <w:kinsoku/>
        <w:wordWrap/>
        <w:overflowPunct/>
        <w:topLinePunct w:val="0"/>
        <w:autoSpaceDN/>
        <w:bidi w:val="0"/>
        <w:adjustRightInd/>
        <w:snapToGrid/>
        <w:spacing w:line="560" w:lineRule="exact"/>
        <w:ind w:firstLine="660"/>
        <w:textAlignment w:val="auto"/>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1410.47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keepNext w:val="0"/>
        <w:keepLines w:val="0"/>
        <w:pageBreakBefore w:val="0"/>
        <w:widowControl w:val="0"/>
        <w:kinsoku/>
        <w:wordWrap/>
        <w:overflowPunct/>
        <w:topLinePunct w:val="0"/>
        <w:autoSpaceDN/>
        <w:bidi w:val="0"/>
        <w:adjustRightInd/>
        <w:snapToGrid/>
        <w:spacing w:line="560" w:lineRule="exact"/>
        <w:ind w:firstLine="66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1410.47</w:t>
      </w:r>
      <w:r>
        <w:rPr>
          <w:rFonts w:hint="eastAsia" w:ascii="仿宋_GB2312" w:hAnsi="宋体" w:eastAsia="仿宋_GB2312"/>
          <w:sz w:val="32"/>
          <w:szCs w:val="32"/>
          <w:highlight w:val="none"/>
        </w:rPr>
        <w:t>万元；</w:t>
      </w:r>
    </w:p>
    <w:p>
      <w:pPr>
        <w:keepNext w:val="0"/>
        <w:keepLines w:val="0"/>
        <w:pageBreakBefore w:val="0"/>
        <w:widowControl w:val="0"/>
        <w:kinsoku/>
        <w:wordWrap/>
        <w:overflowPunct/>
        <w:topLinePunct w:val="0"/>
        <w:autoSpaceDN/>
        <w:bidi w:val="0"/>
        <w:adjustRightInd/>
        <w:snapToGrid/>
        <w:spacing w:line="560" w:lineRule="exact"/>
        <w:ind w:firstLine="66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keepNext w:val="0"/>
        <w:keepLines w:val="0"/>
        <w:pageBreakBefore w:val="0"/>
        <w:widowControl w:val="0"/>
        <w:kinsoku/>
        <w:wordWrap/>
        <w:overflowPunct/>
        <w:topLinePunct w:val="0"/>
        <w:autoSpaceDN/>
        <w:bidi w:val="0"/>
        <w:adjustRightInd/>
        <w:snapToGrid/>
        <w:spacing w:line="560" w:lineRule="exact"/>
        <w:ind w:left="647" w:leftChars="304" w:firstLine="16" w:firstLineChars="5"/>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keepNext w:val="0"/>
        <w:keepLines w:val="0"/>
        <w:pageBreakBefore w:val="0"/>
        <w:widowControl w:val="0"/>
        <w:kinsoku/>
        <w:wordWrap/>
        <w:overflowPunct/>
        <w:topLinePunct w:val="0"/>
        <w:autoSpaceDN/>
        <w:bidi w:val="0"/>
        <w:adjustRightInd/>
        <w:snapToGrid/>
        <w:spacing w:line="560" w:lineRule="exact"/>
        <w:ind w:left="647" w:leftChars="304" w:firstLine="16" w:firstLineChars="5"/>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pPr>
        <w:keepNext w:val="0"/>
        <w:keepLines w:val="0"/>
        <w:pageBreakBefore w:val="0"/>
        <w:widowControl w:val="0"/>
        <w:kinsoku/>
        <w:wordWrap/>
        <w:overflowPunct/>
        <w:topLinePunct w:val="0"/>
        <w:autoSpaceDN/>
        <w:bidi w:val="0"/>
        <w:adjustRightInd/>
        <w:snapToGrid/>
        <w:spacing w:line="560" w:lineRule="exact"/>
        <w:ind w:left="647" w:leftChars="304" w:firstLine="16" w:firstLineChars="5"/>
        <w:textAlignment w:val="auto"/>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1410.47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pPr>
        <w:keepNext w:val="0"/>
        <w:keepLines w:val="0"/>
        <w:pageBreakBefore w:val="0"/>
        <w:widowControl w:val="0"/>
        <w:kinsoku/>
        <w:wordWrap/>
        <w:overflowPunct/>
        <w:topLinePunct w:val="0"/>
        <w:autoSpaceDE w:val="0"/>
        <w:autoSpaceDN/>
        <w:bidi w:val="0"/>
        <w:adjustRightInd/>
        <w:snapToGrid/>
        <w:spacing w:line="560" w:lineRule="exact"/>
        <w:ind w:firstLine="646" w:firstLineChars="200"/>
        <w:textAlignment w:val="auto"/>
        <w:rPr>
          <w:rFonts w:ascii="仿宋_GB2312" w:eastAsia="仿宋_GB2312"/>
          <w:sz w:val="32"/>
          <w:szCs w:val="32"/>
          <w:highlight w:val="none"/>
        </w:rPr>
      </w:pPr>
      <w:r>
        <w:rPr>
          <w:rFonts w:hint="eastAsia" w:ascii="仿宋_GB2312" w:eastAsia="仿宋_GB2312"/>
          <w:sz w:val="32"/>
          <w:szCs w:val="32"/>
          <w:highlight w:val="none"/>
        </w:rPr>
        <w:t>1.基本支出1,215.87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val="0"/>
        <w:autoSpaceDN/>
        <w:bidi w:val="0"/>
        <w:adjustRightInd/>
        <w:snapToGrid/>
        <w:spacing w:line="560" w:lineRule="exact"/>
        <w:ind w:firstLine="646" w:firstLineChars="200"/>
        <w:textAlignment w:val="auto"/>
        <w:rPr>
          <w:rFonts w:ascii="仿宋_GB2312" w:eastAsia="仿宋_GB2312"/>
          <w:sz w:val="32"/>
          <w:szCs w:val="32"/>
          <w:highlight w:val="none"/>
        </w:rPr>
      </w:pPr>
      <w:r>
        <w:rPr>
          <w:rFonts w:hint="eastAsia" w:ascii="仿宋_GB2312" w:eastAsia="仿宋_GB2312"/>
          <w:sz w:val="32"/>
          <w:szCs w:val="32"/>
          <w:highlight w:val="none"/>
        </w:rPr>
        <w:t>2.项目支出194.60万元。</w:t>
      </w:r>
    </w:p>
    <w:p>
      <w:pPr>
        <w:keepNext w:val="0"/>
        <w:keepLines w:val="0"/>
        <w:pageBreakBefore w:val="0"/>
        <w:widowControl w:val="0"/>
        <w:kinsoku/>
        <w:wordWrap/>
        <w:overflowPunct/>
        <w:topLinePunct w:val="0"/>
        <w:autoSpaceDN/>
        <w:bidi w:val="0"/>
        <w:adjustRightInd/>
        <w:snapToGrid/>
        <w:spacing w:line="560" w:lineRule="exact"/>
        <w:ind w:firstLine="646" w:firstLineChars="200"/>
        <w:jc w:val="distribute"/>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仿宋_GB2312" w:eastAsia="仿宋_GB2312" w:cs="仿宋_GB2312"/>
          <w:sz w:val="32"/>
          <w:szCs w:val="32"/>
          <w:highlight w:val="none"/>
        </w:rPr>
        <w:t>政府采购支出</w:t>
      </w:r>
    </w:p>
    <w:p>
      <w:pPr>
        <w:keepNext w:val="0"/>
        <w:keepLines w:val="0"/>
        <w:pageBreakBefore w:val="0"/>
        <w:widowControl w:val="0"/>
        <w:kinsoku/>
        <w:wordWrap/>
        <w:overflowPunct/>
        <w:topLinePunct w:val="0"/>
        <w:autoSpaceDN/>
        <w:bidi w:val="0"/>
        <w:adjustRightInd/>
        <w:snapToGrid/>
        <w:spacing w:line="560" w:lineRule="exact"/>
        <w:textAlignment w:val="auto"/>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 xml:space="preserve">，涉及资金194.60万元。 </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9.82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基本支出预算1,215.87万元，比上年减少</w:t>
      </w:r>
      <w:r>
        <w:rPr>
          <w:rFonts w:hint="eastAsia" w:ascii="仿宋_GB2312" w:hAnsi="仿宋_GB2312" w:eastAsia="仿宋_GB2312" w:cs="仿宋_GB2312"/>
          <w:sz w:val="32"/>
          <w:szCs w:val="32"/>
          <w:highlight w:val="none"/>
          <w:lang w:val="en-US" w:eastAsia="zh-CN"/>
        </w:rPr>
        <w:t>19.22</w:t>
      </w:r>
      <w:r>
        <w:rPr>
          <w:rFonts w:hint="eastAsia" w:ascii="仿宋_GB2312" w:hAnsi="仿宋_GB2312" w:eastAsia="仿宋_GB2312" w:cs="仿宋_GB2312"/>
          <w:sz w:val="32"/>
          <w:szCs w:val="32"/>
          <w:highlight w:val="none"/>
        </w:rPr>
        <w:t>万元。</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pacing w:val="-6"/>
          <w:sz w:val="32"/>
          <w:szCs w:val="32"/>
          <w:highlight w:val="none"/>
          <w:lang w:val="en-US" w:eastAsia="zh-CN"/>
        </w:rPr>
        <w:t>项目支出预算</w:t>
      </w:r>
      <w:r>
        <w:rPr>
          <w:rFonts w:hint="eastAsia" w:ascii="仿宋_GB2312" w:eastAsia="仿宋_GB2312"/>
          <w:spacing w:val="-6"/>
          <w:sz w:val="32"/>
          <w:szCs w:val="32"/>
          <w:highlight w:val="none"/>
        </w:rPr>
        <w:t>194.60万元</w:t>
      </w:r>
      <w:r>
        <w:rPr>
          <w:rFonts w:hint="eastAsia" w:ascii="仿宋_GB2312" w:eastAsia="仿宋_GB2312"/>
          <w:spacing w:val="-6"/>
          <w:sz w:val="32"/>
          <w:szCs w:val="32"/>
          <w:highlight w:val="none"/>
          <w:lang w:eastAsia="zh-CN"/>
        </w:rPr>
        <w:t>，比上年增加</w:t>
      </w:r>
      <w:r>
        <w:rPr>
          <w:rFonts w:hint="eastAsia" w:ascii="仿宋_GB2312" w:eastAsia="仿宋_GB2312"/>
          <w:spacing w:val="-6"/>
          <w:sz w:val="32"/>
          <w:szCs w:val="32"/>
          <w:highlight w:val="none"/>
          <w:lang w:val="en-US" w:eastAsia="zh-CN"/>
        </w:rPr>
        <w:t>9.4万元。</w:t>
      </w:r>
      <w:r>
        <w:rPr>
          <w:rFonts w:hint="eastAsia" w:ascii="仿宋_GB2312" w:eastAsia="仿宋_GB2312"/>
          <w:spacing w:val="-6"/>
          <w:sz w:val="32"/>
          <w:szCs w:val="32"/>
          <w:highlight w:val="none"/>
          <w:lang w:eastAsia="zh-CN"/>
        </w:rPr>
        <w:t>主要原因为本</w:t>
      </w:r>
      <w:r>
        <w:rPr>
          <w:rFonts w:hint="eastAsia" w:ascii="仿宋_GB2312" w:eastAsia="仿宋_GB2312"/>
          <w:sz w:val="32"/>
          <w:szCs w:val="32"/>
          <w:highlight w:val="none"/>
          <w:lang w:eastAsia="zh-CN"/>
        </w:rPr>
        <w:t>年度新增“省一张网数据对接一次性系统开发”项目预算</w:t>
      </w:r>
      <w:r>
        <w:rPr>
          <w:rFonts w:hint="eastAsia" w:ascii="仿宋_GB2312" w:eastAsia="仿宋_GB2312"/>
          <w:sz w:val="32"/>
          <w:szCs w:val="32"/>
          <w:highlight w:val="none"/>
          <w:lang w:val="en-US" w:eastAsia="zh-CN"/>
        </w:rPr>
        <w:t>15万元，“物业管理费项目”预算比上年减少3.6万元，“电子信息化软硬件和网络安全的更新、购置及维护”项目预算比上年减少2万元。</w:t>
      </w:r>
      <w:r>
        <w:rPr>
          <w:rFonts w:hint="eastAsia" w:ascii="仿宋_GB2312" w:hAnsi="仿宋_GB2312" w:eastAsia="仿宋_GB2312" w:cs="仿宋_GB2312"/>
          <w:sz w:val="32"/>
          <w:szCs w:val="32"/>
          <w:highlight w:val="none"/>
        </w:rPr>
        <w:t xml:space="preserve"> </w:t>
      </w:r>
    </w:p>
    <w:p>
      <w:pPr>
        <w:keepNext w:val="0"/>
        <w:keepLines w:val="0"/>
        <w:pageBreakBefore w:val="0"/>
        <w:widowControl w:val="0"/>
        <w:kinsoku/>
        <w:wordWrap/>
        <w:overflowPunct/>
        <w:topLinePunct w:val="0"/>
        <w:autoSpaceDN/>
        <w:bidi w:val="0"/>
        <w:adjustRightInd/>
        <w:snapToGrid/>
        <w:spacing w:line="560" w:lineRule="exact"/>
        <w:ind w:firstLine="646" w:firstLineChars="200"/>
        <w:textAlignment w:val="auto"/>
        <w:rPr>
          <w:rFonts w:ascii="黑体" w:hAnsi="黑体" w:eastAsia="黑体"/>
          <w:sz w:val="32"/>
          <w:szCs w:val="32"/>
        </w:rPr>
      </w:pPr>
      <w:r>
        <w:rPr>
          <w:rFonts w:hint="eastAsia" w:ascii="黑体" w:hAnsi="黑体" w:eastAsia="黑体"/>
          <w:sz w:val="32"/>
          <w:szCs w:val="32"/>
        </w:rPr>
        <w:t>二、部门管理专项资金情况</w:t>
      </w:r>
    </w:p>
    <w:p>
      <w:pPr>
        <w:keepNext w:val="0"/>
        <w:keepLines w:val="0"/>
        <w:pageBreakBefore w:val="0"/>
        <w:widowControl w:val="0"/>
        <w:kinsoku/>
        <w:wordWrap/>
        <w:overflowPunct/>
        <w:topLinePunct w:val="0"/>
        <w:autoSpaceDN/>
        <w:bidi w:val="0"/>
        <w:adjustRightInd/>
        <w:snapToGrid/>
        <w:spacing w:line="560" w:lineRule="exact"/>
        <w:ind w:firstLine="646"/>
        <w:textAlignment w:val="auto"/>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盘锦市公共采购交易中心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pPr>
        <w:keepNext w:val="0"/>
        <w:keepLines w:val="0"/>
        <w:pageBreakBefore w:val="0"/>
        <w:widowControl w:val="0"/>
        <w:kinsoku/>
        <w:wordWrap/>
        <w:overflowPunct/>
        <w:topLinePunct w:val="0"/>
        <w:autoSpaceDN/>
        <w:bidi w:val="0"/>
        <w:adjustRightInd/>
        <w:snapToGrid/>
        <w:spacing w:line="560" w:lineRule="exact"/>
        <w:ind w:firstLine="645"/>
        <w:textAlignment w:val="auto"/>
        <w:rPr>
          <w:rFonts w:ascii="黑体" w:hAnsi="宋体" w:eastAsia="黑体"/>
          <w:sz w:val="32"/>
          <w:szCs w:val="32"/>
        </w:rPr>
      </w:pPr>
      <w:r>
        <w:rPr>
          <w:rFonts w:hint="eastAsia" w:ascii="黑体" w:hAnsi="宋体" w:eastAsia="黑体"/>
          <w:sz w:val="32"/>
          <w:szCs w:val="32"/>
        </w:rPr>
        <w:t>三、机关运行经费安排情况</w:t>
      </w:r>
    </w:p>
    <w:p>
      <w:pPr>
        <w:keepNext w:val="0"/>
        <w:keepLines w:val="0"/>
        <w:pageBreakBefore w:val="0"/>
        <w:widowControl w:val="0"/>
        <w:kinsoku/>
        <w:wordWrap/>
        <w:overflowPunct/>
        <w:topLinePunct w:val="0"/>
        <w:autoSpaceDN/>
        <w:bidi w:val="0"/>
        <w:adjustRightInd/>
        <w:snapToGrid/>
        <w:spacing w:line="560" w:lineRule="exact"/>
        <w:ind w:firstLine="645"/>
        <w:textAlignment w:val="auto"/>
        <w:rPr>
          <w:rFonts w:hint="eastAsia" w:ascii="仿宋_GB2312" w:hAnsi="宋体" w:eastAsia="仿宋_GB2312"/>
          <w:sz w:val="32"/>
          <w:szCs w:val="32"/>
          <w:lang w:eastAsia="zh-CN"/>
        </w:rPr>
      </w:pPr>
      <w:r>
        <w:rPr>
          <w:rFonts w:hint="eastAsia" w:ascii="仿宋_GB2312" w:hAnsi="宋体" w:eastAsia="仿宋_GB2312"/>
          <w:sz w:val="32"/>
          <w:szCs w:val="32"/>
          <w:lang w:eastAsia="zh-CN"/>
        </w:rPr>
        <w:t>盘锦市公共采购交易中心是财政全额拨款的</w:t>
      </w:r>
      <w:r>
        <w:rPr>
          <w:rFonts w:hint="eastAsia" w:ascii="仿宋_GB2312" w:hAnsi="宋体" w:eastAsia="仿宋_GB2312"/>
          <w:sz w:val="32"/>
          <w:szCs w:val="32"/>
        </w:rPr>
        <w:t>事业单位</w:t>
      </w:r>
      <w:r>
        <w:rPr>
          <w:rFonts w:hint="eastAsia" w:ascii="仿宋_GB2312" w:hAnsi="黑体" w:eastAsia="仿宋_GB2312"/>
          <w:sz w:val="32"/>
          <w:szCs w:val="32"/>
          <w:lang w:eastAsia="zh-CN"/>
        </w:rPr>
        <w:t>，无机关运行经费安排。</w:t>
      </w:r>
    </w:p>
    <w:p>
      <w:pPr>
        <w:keepNext w:val="0"/>
        <w:keepLines w:val="0"/>
        <w:pageBreakBefore w:val="0"/>
        <w:widowControl w:val="0"/>
        <w:kinsoku/>
        <w:wordWrap/>
        <w:overflowPunct/>
        <w:topLinePunct w:val="0"/>
        <w:autoSpaceDN/>
        <w:bidi w:val="0"/>
        <w:adjustRightInd/>
        <w:snapToGrid/>
        <w:spacing w:line="560" w:lineRule="exact"/>
        <w:ind w:firstLine="660"/>
        <w:textAlignment w:val="auto"/>
        <w:rPr>
          <w:rFonts w:ascii="黑体" w:hAnsi="黑体" w:eastAsia="黑体"/>
          <w:sz w:val="32"/>
          <w:szCs w:val="32"/>
        </w:rPr>
      </w:pPr>
      <w:r>
        <w:rPr>
          <w:rFonts w:hint="eastAsia" w:ascii="黑体" w:hAnsi="黑体" w:eastAsia="黑体"/>
          <w:sz w:val="32"/>
          <w:szCs w:val="32"/>
        </w:rPr>
        <w:t>四、政府采购情况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2025年，盘锦市公共采购交易中心无政府采购预算安排。</w:t>
      </w:r>
    </w:p>
    <w:p>
      <w:pPr>
        <w:keepNext w:val="0"/>
        <w:keepLines w:val="0"/>
        <w:pageBreakBefore w:val="0"/>
        <w:widowControl w:val="0"/>
        <w:kinsoku/>
        <w:wordWrap/>
        <w:overflowPunct/>
        <w:topLinePunct w:val="0"/>
        <w:autoSpaceDN/>
        <w:bidi w:val="0"/>
        <w:adjustRightInd/>
        <w:snapToGrid/>
        <w:spacing w:line="560" w:lineRule="exact"/>
        <w:ind w:firstLine="660"/>
        <w:textAlignment w:val="auto"/>
        <w:rPr>
          <w:rFonts w:ascii="黑体" w:hAnsi="黑体" w:eastAsia="黑体"/>
          <w:sz w:val="32"/>
          <w:szCs w:val="32"/>
        </w:rPr>
      </w:pPr>
      <w:r>
        <w:rPr>
          <w:rFonts w:hint="eastAsia" w:ascii="黑体" w:hAnsi="黑体" w:eastAsia="黑体"/>
          <w:sz w:val="32"/>
          <w:szCs w:val="32"/>
        </w:rPr>
        <w:t>五、“三公”经费预算情况</w:t>
      </w:r>
    </w:p>
    <w:p>
      <w:pPr>
        <w:keepNext w:val="0"/>
        <w:keepLines w:val="0"/>
        <w:pageBreakBefore w:val="0"/>
        <w:widowControl w:val="0"/>
        <w:kinsoku/>
        <w:wordWrap/>
        <w:overflowPunct/>
        <w:topLinePunct w:val="0"/>
        <w:autoSpaceDN/>
        <w:bidi w:val="0"/>
        <w:adjustRightInd/>
        <w:snapToGrid/>
        <w:spacing w:line="560" w:lineRule="exact"/>
        <w:ind w:firstLine="660"/>
        <w:textAlignment w:val="auto"/>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盘锦市公共采购交易中心财政拨款</w:t>
      </w:r>
      <w:r>
        <w:rPr>
          <w:rFonts w:hint="eastAsia" w:ascii="仿宋_GB2312" w:eastAsia="仿宋_GB2312"/>
          <w:sz w:val="32"/>
          <w:szCs w:val="32"/>
        </w:rPr>
        <w:t>预算安排的 “三公”经费预算为5.48万元，比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0.58</w:t>
      </w:r>
      <w:r>
        <w:rPr>
          <w:rFonts w:hint="eastAsia" w:ascii="仿宋_GB2312" w:eastAsia="仿宋_GB2312"/>
          <w:sz w:val="32"/>
          <w:szCs w:val="32"/>
        </w:rPr>
        <w:t>万元，增长</w:t>
      </w:r>
      <w:r>
        <w:rPr>
          <w:rFonts w:hint="eastAsia" w:ascii="仿宋_GB2312" w:eastAsia="仿宋_GB2312"/>
          <w:sz w:val="32"/>
          <w:szCs w:val="32"/>
          <w:lang w:val="en-US" w:eastAsia="zh-CN"/>
        </w:rPr>
        <w:t>11.84</w:t>
      </w:r>
      <w:r>
        <w:rPr>
          <w:rFonts w:hint="eastAsia" w:ascii="仿宋_GB2312" w:eastAsia="仿宋_GB2312"/>
          <w:sz w:val="32"/>
          <w:szCs w:val="32"/>
        </w:rPr>
        <w:t>%。其中：</w:t>
      </w:r>
    </w:p>
    <w:p>
      <w:pPr>
        <w:keepNext w:val="0"/>
        <w:keepLines w:val="0"/>
        <w:pageBreakBefore w:val="0"/>
        <w:widowControl w:val="0"/>
        <w:kinsoku/>
        <w:wordWrap/>
        <w:overflowPunct/>
        <w:topLinePunct w:val="0"/>
        <w:autoSpaceDN/>
        <w:bidi w:val="0"/>
        <w:adjustRightInd/>
        <w:snapToGrid/>
        <w:spacing w:line="560" w:lineRule="exact"/>
        <w:ind w:firstLine="660"/>
        <w:textAlignment w:val="auto"/>
        <w:rPr>
          <w:rFonts w:hint="default" w:ascii="仿宋_GB2312" w:eastAsia="仿宋_GB2312"/>
          <w:sz w:val="32"/>
          <w:szCs w:val="32"/>
          <w:lang w:val="en-US" w:eastAsia="zh-CN"/>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lang w:val="en-US" w:eastAsia="zh-CN"/>
        </w:rPr>
        <w:t>2024年度持平。</w:t>
      </w:r>
    </w:p>
    <w:p>
      <w:pPr>
        <w:keepNext w:val="0"/>
        <w:keepLines w:val="0"/>
        <w:pageBreakBefore w:val="0"/>
        <w:widowControl w:val="0"/>
        <w:kinsoku/>
        <w:wordWrap/>
        <w:overflowPunct/>
        <w:topLinePunct w:val="0"/>
        <w:autoSpaceDN/>
        <w:bidi w:val="0"/>
        <w:adjustRightInd/>
        <w:snapToGrid/>
        <w:spacing w:line="560" w:lineRule="exact"/>
        <w:ind w:firstLine="660"/>
        <w:textAlignment w:val="auto"/>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0.98</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0.08</w:t>
      </w:r>
      <w:r>
        <w:rPr>
          <w:rFonts w:hint="eastAsia" w:ascii="仿宋_GB2312" w:eastAsia="仿宋_GB2312"/>
          <w:sz w:val="32"/>
          <w:szCs w:val="32"/>
        </w:rPr>
        <w:t>万元，增长</w:t>
      </w:r>
      <w:r>
        <w:rPr>
          <w:rFonts w:hint="eastAsia" w:ascii="仿宋_GB2312" w:eastAsia="仿宋_GB2312"/>
          <w:sz w:val="32"/>
          <w:szCs w:val="32"/>
          <w:lang w:val="en-US" w:eastAsia="zh-CN"/>
        </w:rPr>
        <w:t>1</w:t>
      </w:r>
      <w:r>
        <w:rPr>
          <w:rFonts w:hint="eastAsia" w:ascii="仿宋_GB2312" w:eastAsia="仿宋_GB2312"/>
          <w:sz w:val="32"/>
          <w:szCs w:val="32"/>
        </w:rPr>
        <w:t>%。主要原因</w:t>
      </w:r>
      <w:r>
        <w:rPr>
          <w:rFonts w:hint="eastAsia" w:ascii="仿宋_GB2312" w:eastAsia="仿宋_GB2312"/>
          <w:sz w:val="32"/>
          <w:szCs w:val="32"/>
          <w:lang w:eastAsia="zh-CN"/>
        </w:rPr>
        <w:t>是</w:t>
      </w:r>
      <w:r>
        <w:rPr>
          <w:rFonts w:hint="eastAsia" w:ascii="仿宋_GB2312" w:eastAsia="仿宋_GB2312"/>
          <w:sz w:val="32"/>
          <w:szCs w:val="32"/>
        </w:rPr>
        <w:t>本单位为市政府直属事业单位公用经费应按二档计算，上年度按三档计算，基数产生变化，故本年度比上年度有所增加。</w:t>
      </w:r>
    </w:p>
    <w:p>
      <w:pPr>
        <w:keepNext w:val="0"/>
        <w:keepLines w:val="0"/>
        <w:pageBreakBefore w:val="0"/>
        <w:widowControl w:val="0"/>
        <w:kinsoku/>
        <w:wordWrap/>
        <w:overflowPunct/>
        <w:topLinePunct w:val="0"/>
        <w:autoSpaceDN/>
        <w:bidi w:val="0"/>
        <w:adjustRightInd/>
        <w:snapToGrid/>
        <w:spacing w:line="560" w:lineRule="exact"/>
        <w:ind w:firstLine="660"/>
        <w:textAlignment w:val="auto"/>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w:t>
      </w:r>
      <w:r>
        <w:rPr>
          <w:rFonts w:hint="eastAsia" w:ascii="仿宋_GB2312" w:eastAsia="仿宋_GB2312"/>
          <w:sz w:val="32"/>
          <w:szCs w:val="32"/>
          <w:lang w:val="en-US" w:eastAsia="zh-CN"/>
        </w:rPr>
        <w:t>2024年度持平</w:t>
      </w:r>
      <w:r>
        <w:rPr>
          <w:rFonts w:hint="eastAsia" w:ascii="仿宋_GB2312" w:eastAsia="仿宋_GB2312"/>
          <w:sz w:val="32"/>
          <w:szCs w:val="32"/>
        </w:rPr>
        <w:t>；公务用车运行费</w:t>
      </w:r>
      <w:r>
        <w:rPr>
          <w:rFonts w:hint="eastAsia" w:ascii="仿宋_GB2312" w:eastAsia="仿宋_GB2312"/>
          <w:sz w:val="32"/>
          <w:szCs w:val="32"/>
          <w:lang w:val="en-US" w:eastAsia="zh-CN"/>
        </w:rPr>
        <w:t>4.5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0.5</w:t>
      </w:r>
      <w:r>
        <w:rPr>
          <w:rFonts w:hint="eastAsia" w:ascii="仿宋_GB2312" w:eastAsia="仿宋_GB2312"/>
          <w:sz w:val="32"/>
          <w:szCs w:val="32"/>
        </w:rPr>
        <w:t>万元，增长</w:t>
      </w:r>
      <w:r>
        <w:rPr>
          <w:rFonts w:hint="eastAsia" w:ascii="仿宋_GB2312" w:eastAsia="仿宋_GB2312"/>
          <w:sz w:val="32"/>
          <w:szCs w:val="32"/>
          <w:lang w:val="en-US" w:eastAsia="zh-CN"/>
        </w:rPr>
        <w:t>12.5</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0.5</w:t>
      </w:r>
      <w:r>
        <w:rPr>
          <w:rFonts w:hint="eastAsia" w:ascii="仿宋_GB2312" w:eastAsia="仿宋_GB2312"/>
          <w:sz w:val="32"/>
          <w:szCs w:val="32"/>
        </w:rPr>
        <w:t>万元，增长</w:t>
      </w:r>
      <w:r>
        <w:rPr>
          <w:rFonts w:hint="eastAsia" w:ascii="仿宋_GB2312" w:eastAsia="仿宋_GB2312"/>
          <w:sz w:val="32"/>
          <w:szCs w:val="32"/>
          <w:lang w:val="en-US" w:eastAsia="zh-CN"/>
        </w:rPr>
        <w:t>12.5</w:t>
      </w:r>
      <w:r>
        <w:rPr>
          <w:rFonts w:hint="eastAsia" w:ascii="仿宋_GB2312" w:eastAsia="仿宋_GB2312"/>
          <w:sz w:val="32"/>
          <w:szCs w:val="32"/>
        </w:rPr>
        <w:t>%。主要原因</w:t>
      </w:r>
      <w:r>
        <w:rPr>
          <w:rFonts w:hint="eastAsia" w:ascii="仿宋_GB2312" w:eastAsia="仿宋_GB2312"/>
          <w:sz w:val="32"/>
          <w:szCs w:val="32"/>
          <w:lang w:eastAsia="zh-CN"/>
        </w:rPr>
        <w:t>是</w:t>
      </w:r>
      <w:r>
        <w:rPr>
          <w:rFonts w:hint="eastAsia" w:ascii="仿宋_GB2312" w:eastAsia="仿宋_GB2312"/>
          <w:sz w:val="32"/>
          <w:szCs w:val="32"/>
        </w:rPr>
        <w:t>本单位为市政府直属事业单位公用经费应按二档计算，上年度按三档计算，基数产生变化，故本年度比上年度有所增加。</w:t>
      </w:r>
    </w:p>
    <w:p/>
    <w:tbl>
      <w:tblPr>
        <w:tblStyle w:val="6"/>
        <w:tblpPr w:leftFromText="180" w:rightFromText="180" w:vertAnchor="text" w:horzAnchor="page" w:tblpX="1562" w:tblpY="360"/>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tblPrEx>
          <w:tblCellMar>
            <w:top w:w="15" w:type="dxa"/>
            <w:left w:w="108" w:type="dxa"/>
            <w:bottom w:w="15" w:type="dxa"/>
            <w:right w:w="108" w:type="dxa"/>
          </w:tblCellMar>
        </w:tblPrEx>
        <w:trPr>
          <w:trHeight w:val="570" w:hRule="atLeast"/>
        </w:trPr>
        <w:tc>
          <w:tcPr>
            <w:tcW w:w="8835" w:type="dxa"/>
            <w:gridSpan w:val="4"/>
            <w:vAlign w:val="center"/>
          </w:tcPr>
          <w:p>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tblPrEx>
          <w:tblCellMar>
            <w:top w:w="15" w:type="dxa"/>
            <w:left w:w="108" w:type="dxa"/>
            <w:bottom w:w="15" w:type="dxa"/>
            <w:right w:w="108" w:type="dxa"/>
          </w:tblCellMar>
        </w:tblPrEx>
        <w:trPr>
          <w:trHeight w:val="480" w:hRule="atLeast"/>
        </w:trPr>
        <w:tc>
          <w:tcPr>
            <w:tcW w:w="3423" w:type="dxa"/>
            <w:vAlign w:val="center"/>
          </w:tcPr>
          <w:p>
            <w:pPr>
              <w:widowControl/>
              <w:spacing w:line="560" w:lineRule="exact"/>
              <w:jc w:val="left"/>
              <w:rPr>
                <w:rFonts w:ascii="宋体" w:hAnsi="宋体" w:cs="宋体"/>
                <w:color w:val="000000"/>
                <w:kern w:val="0"/>
                <w:sz w:val="24"/>
              </w:rPr>
            </w:pPr>
          </w:p>
        </w:tc>
        <w:tc>
          <w:tcPr>
            <w:tcW w:w="2026" w:type="dxa"/>
            <w:vAlign w:val="center"/>
          </w:tcPr>
          <w:p>
            <w:pPr>
              <w:widowControl/>
              <w:spacing w:line="560" w:lineRule="exact"/>
              <w:jc w:val="left"/>
              <w:rPr>
                <w:rFonts w:ascii="宋体" w:hAnsi="宋体" w:cs="宋体"/>
                <w:color w:val="000000"/>
                <w:kern w:val="0"/>
                <w:sz w:val="24"/>
              </w:rPr>
            </w:pPr>
          </w:p>
        </w:tc>
        <w:tc>
          <w:tcPr>
            <w:tcW w:w="3386" w:type="dxa"/>
            <w:gridSpan w:val="2"/>
            <w:vAlign w:val="center"/>
          </w:tcPr>
          <w:p>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4.9</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5.48</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0.9</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0.98</w:t>
            </w:r>
          </w:p>
        </w:tc>
      </w:tr>
      <w:tr>
        <w:tblPrEx>
          <w:tblCellMar>
            <w:top w:w="15" w:type="dxa"/>
            <w:left w:w="108" w:type="dxa"/>
            <w:bottom w:w="15" w:type="dxa"/>
            <w:right w:w="108" w:type="dxa"/>
          </w:tblCellMar>
        </w:tblPrEx>
        <w:trPr>
          <w:trHeight w:val="61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p>
        </w:tc>
      </w:tr>
      <w:tr>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4</w:t>
            </w:r>
          </w:p>
        </w:tc>
        <w:tc>
          <w:tcPr>
            <w:tcW w:w="2583" w:type="dxa"/>
            <w:tcBorders>
              <w:top w:val="single" w:color="000000" w:sz="4" w:space="0"/>
              <w:left w:val="single" w:color="000000" w:sz="4" w:space="0"/>
              <w:bottom w:val="single" w:color="000000" w:sz="4" w:space="0"/>
              <w:right w:val="single" w:color="000000" w:sz="4" w:space="0"/>
            </w:tcBorders>
            <w:vAlign w:val="center"/>
          </w:tcPr>
          <w:p>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w:t>
            </w:r>
          </w:p>
        </w:tc>
      </w:tr>
    </w:tbl>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ascii="仿宋_GB2312" w:hAnsi="宋体" w:eastAsia="仿宋_GB2312"/>
          <w:sz w:val="32"/>
          <w:szCs w:val="32"/>
        </w:rPr>
      </w:pPr>
      <w:r>
        <w:rPr>
          <w:rFonts w:hint="eastAsia" w:ascii="黑体" w:hAnsi="黑体" w:eastAsia="黑体"/>
          <w:sz w:val="32"/>
          <w:szCs w:val="32"/>
        </w:rPr>
        <w:t>六、国有资产占用情况</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ascii="仿宋_GB2312" w:hAnsi="宋体" w:eastAsia="仿宋_GB2312"/>
          <w:sz w:val="32"/>
          <w:szCs w:val="32"/>
        </w:rPr>
      </w:pPr>
      <w:r>
        <w:rPr>
          <w:rFonts w:hint="eastAsia" w:ascii="仿宋_GB2312" w:hAnsi="宋体" w:eastAsia="仿宋_GB2312"/>
          <w:sz w:val="32"/>
          <w:szCs w:val="32"/>
          <w:lang w:eastAsia="zh-CN"/>
        </w:rPr>
        <w:t>盘锦市公共采购交易中心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ascii="黑体" w:hAnsi="黑体" w:eastAsia="黑体"/>
          <w:sz w:val="32"/>
          <w:szCs w:val="32"/>
        </w:rPr>
      </w:pPr>
      <w:r>
        <w:rPr>
          <w:rFonts w:hint="eastAsia" w:ascii="黑体" w:hAnsi="黑体" w:eastAsia="黑体"/>
          <w:sz w:val="32"/>
          <w:szCs w:val="32"/>
        </w:rPr>
        <w:t>七、预算绩效目标情况</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196"/>
        <w:textAlignment w:val="auto"/>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盘锦市公共采购交易中心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w:t>
      </w:r>
      <w:r>
        <w:rPr>
          <w:rFonts w:hint="eastAsia" w:ascii="仿宋_GB2312" w:hAnsi="宋体" w:eastAsia="仿宋_GB2312"/>
          <w:sz w:val="32"/>
          <w:szCs w:val="32"/>
          <w:lang w:eastAsia="zh-CN"/>
        </w:rPr>
        <w:t>部门（</w:t>
      </w:r>
      <w:r>
        <w:rPr>
          <w:rFonts w:hint="eastAsia" w:ascii="仿宋_GB2312" w:hAnsi="宋体" w:eastAsia="仿宋_GB2312"/>
          <w:sz w:val="32"/>
          <w:szCs w:val="32"/>
        </w:rPr>
        <w:t>单位</w:t>
      </w:r>
      <w:r>
        <w:rPr>
          <w:rFonts w:hint="eastAsia" w:ascii="仿宋_GB2312" w:hAnsi="宋体" w:eastAsia="仿宋_GB2312"/>
          <w:sz w:val="32"/>
          <w:szCs w:val="32"/>
          <w:lang w:eastAsia="zh-CN"/>
        </w:rPr>
        <w:t>）</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w:t>
      </w:r>
      <w:r>
        <w:rPr>
          <w:rFonts w:hint="eastAsia" w:ascii="仿宋_GB2312" w:hAnsi="宋体" w:eastAsia="仿宋_GB2312"/>
          <w:sz w:val="32"/>
          <w:szCs w:val="32"/>
          <w:lang w:eastAsia="zh-CN"/>
        </w:rPr>
        <w:t>部门（</w:t>
      </w:r>
      <w:r>
        <w:rPr>
          <w:rFonts w:hint="eastAsia" w:ascii="仿宋_GB2312" w:hAnsi="宋体" w:eastAsia="仿宋_GB2312"/>
          <w:sz w:val="32"/>
          <w:szCs w:val="32"/>
        </w:rPr>
        <w:t>单位</w:t>
      </w:r>
      <w:r>
        <w:rPr>
          <w:rFonts w:hint="eastAsia" w:ascii="仿宋_GB2312" w:hAnsi="宋体" w:eastAsia="仿宋_GB2312"/>
          <w:sz w:val="32"/>
          <w:szCs w:val="32"/>
          <w:lang w:eastAsia="zh-CN"/>
        </w:rPr>
        <w:t>）</w:t>
      </w:r>
      <w:r>
        <w:rPr>
          <w:rFonts w:hint="eastAsia" w:ascii="仿宋_GB2312" w:hAnsi="宋体" w:eastAsia="仿宋_GB2312"/>
          <w:sz w:val="32"/>
          <w:szCs w:val="32"/>
        </w:rPr>
        <w:t>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w:t>
      </w:r>
      <w:r>
        <w:rPr>
          <w:rFonts w:hint="eastAsia" w:ascii="仿宋_GB2312" w:hAnsi="宋体" w:eastAsia="仿宋_GB2312"/>
          <w:sz w:val="32"/>
          <w:szCs w:val="32"/>
          <w:lang w:eastAsia="zh-CN"/>
        </w:rPr>
        <w:t>部门（</w:t>
      </w:r>
      <w:r>
        <w:rPr>
          <w:rFonts w:hint="eastAsia" w:ascii="仿宋_GB2312" w:hAnsi="宋体" w:eastAsia="仿宋_GB2312"/>
          <w:sz w:val="32"/>
          <w:szCs w:val="32"/>
        </w:rPr>
        <w:t>单位</w:t>
      </w:r>
      <w:r>
        <w:rPr>
          <w:rFonts w:hint="eastAsia" w:ascii="仿宋_GB2312" w:hAnsi="宋体" w:eastAsia="仿宋_GB2312"/>
          <w:sz w:val="32"/>
          <w:szCs w:val="32"/>
          <w:lang w:eastAsia="zh-CN"/>
        </w:rPr>
        <w:t>）</w:t>
      </w:r>
      <w:r>
        <w:rPr>
          <w:rFonts w:hint="eastAsia" w:ascii="仿宋_GB2312" w:hAnsi="宋体" w:eastAsia="仿宋_GB2312"/>
          <w:sz w:val="32"/>
          <w:szCs w:val="32"/>
        </w:rPr>
        <w:t>整体绩效目标覆盖率</w:t>
      </w:r>
      <w:r>
        <w:rPr>
          <w:rFonts w:hint="eastAsia" w:ascii="仿宋_GB2312" w:hAnsi="宋体" w:eastAsia="仿宋_GB2312"/>
          <w:color w:val="auto"/>
          <w:sz w:val="32"/>
          <w:szCs w:val="32"/>
          <w:highlight w:val="none"/>
        </w:rPr>
        <w:t>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个，涉及资金</w:t>
      </w:r>
      <w:r>
        <w:rPr>
          <w:rFonts w:hint="eastAsia" w:ascii="仿宋_GB2312" w:eastAsia="仿宋_GB2312" w:cs="仿宋_GB2312"/>
          <w:sz w:val="32"/>
          <w:szCs w:val="32"/>
          <w:highlight w:val="none"/>
        </w:rPr>
        <w:t>194.60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宋体" w:hAnsi="宋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b/>
          <w:sz w:val="36"/>
          <w:szCs w:val="36"/>
        </w:rPr>
      </w:pPr>
      <w:r>
        <w:rPr>
          <w:rFonts w:hint="eastAsia" w:ascii="宋体" w:hAnsi="宋体"/>
          <w:b/>
          <w:sz w:val="36"/>
          <w:szCs w:val="36"/>
        </w:rPr>
        <w:t>第四部分 名词解释</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7</w:t>
      </w:r>
      <w:r>
        <w:rPr>
          <w:rFonts w:hint="eastAsia" w:ascii="仿宋_GB2312" w:hAnsi="仿宋_GB2312" w:eastAsia="仿宋_GB2312" w:cs="仿宋_GB2312"/>
          <w:b/>
          <w:bCs w:val="0"/>
          <w:sz w:val="32"/>
          <w:szCs w:val="32"/>
        </w:rPr>
        <w:t>.财政拨款收入：</w:t>
      </w:r>
      <w:r>
        <w:rPr>
          <w:rFonts w:hint="eastAsia" w:ascii="仿宋_GB2312" w:hAnsi="仿宋_GB2312" w:eastAsia="仿宋_GB2312" w:cs="仿宋_GB2312"/>
          <w:bCs/>
          <w:sz w:val="32"/>
          <w:szCs w:val="32"/>
        </w:rPr>
        <w:t>指市级财政当年拨付的资金。</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8</w:t>
      </w:r>
      <w:r>
        <w:rPr>
          <w:rFonts w:hint="eastAsia" w:ascii="仿宋_GB2312" w:hAnsi="仿宋_GB2312" w:eastAsia="仿宋_GB2312" w:cs="仿宋_GB2312"/>
          <w:b/>
          <w:sz w:val="32"/>
          <w:szCs w:val="32"/>
        </w:rPr>
        <w:t>.上级补助收入：</w:t>
      </w:r>
      <w:r>
        <w:rPr>
          <w:rFonts w:hint="eastAsia" w:ascii="仿宋_GB2312" w:hAnsi="仿宋_GB2312" w:eastAsia="仿宋_GB2312" w:cs="仿宋_GB2312"/>
          <w:sz w:val="32"/>
          <w:szCs w:val="32"/>
        </w:rPr>
        <w:t>指单位从主管部门和上级单位取得的非财政性补助收入。</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9</w:t>
      </w:r>
      <w:r>
        <w:rPr>
          <w:rFonts w:hint="eastAsia" w:ascii="仿宋_GB2312" w:hAnsi="仿宋_GB2312" w:eastAsia="仿宋_GB2312" w:cs="仿宋_GB2312"/>
          <w:b/>
          <w:sz w:val="32"/>
          <w:szCs w:val="32"/>
        </w:rPr>
        <w:t>.事业收入：</w:t>
      </w:r>
      <w:r>
        <w:rPr>
          <w:rFonts w:hint="eastAsia" w:ascii="仿宋_GB2312" w:hAnsi="仿宋_GB2312" w:eastAsia="仿宋_GB2312" w:cs="仿宋_GB2312"/>
          <w:sz w:val="32"/>
          <w:szCs w:val="32"/>
        </w:rPr>
        <w:t>指事业单位开展专业业务活动及辅助活动所取得的收入。</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10</w:t>
      </w:r>
      <w:r>
        <w:rPr>
          <w:rFonts w:hint="eastAsia" w:ascii="仿宋_GB2312" w:hAnsi="仿宋_GB2312" w:eastAsia="仿宋_GB2312" w:cs="仿宋_GB2312"/>
          <w:b/>
          <w:sz w:val="32"/>
          <w:szCs w:val="32"/>
        </w:rPr>
        <w:t>.经营收入：</w:t>
      </w:r>
      <w:r>
        <w:rPr>
          <w:rFonts w:hint="eastAsia" w:ascii="仿宋_GB2312" w:hAnsi="仿宋_GB2312" w:eastAsia="仿宋_GB2312" w:cs="仿宋_GB2312"/>
          <w:sz w:val="32"/>
          <w:szCs w:val="32"/>
        </w:rPr>
        <w:t>指事业单位在专业业务活动及辅助活动之外开展非独立核算经营活动取得的收入。</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11</w:t>
      </w:r>
      <w:r>
        <w:rPr>
          <w:rFonts w:hint="eastAsia" w:ascii="仿宋_GB2312" w:hAnsi="仿宋_GB2312" w:eastAsia="仿宋_GB2312" w:cs="仿宋_GB2312"/>
          <w:b/>
          <w:sz w:val="32"/>
          <w:szCs w:val="32"/>
        </w:rPr>
        <w:t>.附属单位上缴收入：</w:t>
      </w:r>
      <w:r>
        <w:rPr>
          <w:rFonts w:hint="eastAsia" w:ascii="仿宋_GB2312" w:hAnsi="仿宋_GB2312" w:eastAsia="仿宋_GB2312" w:cs="仿宋_GB2312"/>
          <w:sz w:val="32"/>
          <w:szCs w:val="32"/>
        </w:rPr>
        <w:t>指单位附属的独立核算单位按照规定上缴的收入。</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12</w:t>
      </w:r>
      <w:r>
        <w:rPr>
          <w:rFonts w:hint="eastAsia" w:ascii="仿宋_GB2312" w:hAnsi="仿宋_GB2312" w:eastAsia="仿宋_GB2312" w:cs="仿宋_GB2312"/>
          <w:b/>
          <w:sz w:val="32"/>
          <w:szCs w:val="32"/>
        </w:rPr>
        <w:t>.其他收入：</w:t>
      </w:r>
      <w:r>
        <w:rPr>
          <w:rFonts w:hint="eastAsia" w:ascii="仿宋_GB2312" w:hAnsi="仿宋_GB2312" w:eastAsia="仿宋_GB2312" w:cs="仿宋_GB2312"/>
          <w:sz w:val="32"/>
          <w:szCs w:val="32"/>
        </w:rPr>
        <w:t>指除上述“财政拨款收入”、</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“上级补助收入”、“事业收入”、“经营收入”、“附属单位上缴收入”等以外的收入。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
          <w:bCs w:val="0"/>
          <w:sz w:val="32"/>
          <w:szCs w:val="32"/>
          <w:lang w:val="en-US" w:eastAsia="zh-CN"/>
        </w:rPr>
        <w:t>13</w:t>
      </w:r>
      <w:r>
        <w:rPr>
          <w:rFonts w:hint="eastAsia" w:ascii="仿宋_GB2312" w:hAnsi="仿宋_GB2312" w:eastAsia="仿宋_GB2312" w:cs="仿宋_GB2312"/>
          <w:b/>
          <w:bCs w:val="0"/>
          <w:sz w:val="32"/>
          <w:szCs w:val="32"/>
        </w:rPr>
        <w:t>.行政事业性收费收入：</w:t>
      </w:r>
      <w:r>
        <w:rPr>
          <w:rFonts w:hint="eastAsia" w:ascii="仿宋_GB2312" w:hAnsi="仿宋_GB2312" w:eastAsia="仿宋_GB2312" w:cs="仿宋_GB2312"/>
          <w:bCs/>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14</w:t>
      </w:r>
      <w:r>
        <w:rPr>
          <w:rFonts w:hint="eastAsia" w:ascii="仿宋_GB2312" w:hAnsi="仿宋_GB2312" w:eastAsia="仿宋_GB2312" w:cs="仿宋_GB2312"/>
          <w:b/>
          <w:bCs w:val="0"/>
          <w:sz w:val="32"/>
          <w:szCs w:val="32"/>
        </w:rPr>
        <w:t>.政府性基金收入：</w:t>
      </w:r>
      <w:r>
        <w:rPr>
          <w:rFonts w:hint="eastAsia" w:ascii="仿宋_GB2312" w:hAnsi="仿宋_GB2312" w:eastAsia="仿宋_GB2312" w:cs="仿宋_GB2312"/>
          <w:bCs/>
          <w:sz w:val="32"/>
          <w:szCs w:val="32"/>
        </w:rPr>
        <w:t>反映各级政府及其所属部门根据法律、行政法规规定并经国务院或财政部批准，向公民、法人和其他组织征收的政府性基金，以及参照政府性基金管理或纳入基金预算、具有特定用途的财政资金。</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b/>
          <w:sz w:val="32"/>
          <w:szCs w:val="32"/>
          <w:highlight w:val="none"/>
          <w:lang w:val="en-US" w:eastAsia="zh-CN"/>
        </w:rPr>
      </w:pPr>
      <w:r>
        <w:rPr>
          <w:rFonts w:hint="eastAsia" w:ascii="仿宋_GB2312" w:hAnsi="仿宋_GB2312" w:eastAsia="仿宋_GB2312" w:cs="仿宋_GB2312"/>
          <w:b/>
          <w:sz w:val="32"/>
          <w:szCs w:val="32"/>
          <w:highlight w:val="none"/>
          <w:lang w:val="en-US" w:eastAsia="zh-CN"/>
        </w:rPr>
        <w:t>15</w:t>
      </w:r>
      <w:r>
        <w:rPr>
          <w:rFonts w:hint="eastAsia" w:ascii="仿宋_GB2312" w:hAnsi="仿宋_GB2312" w:eastAsia="仿宋_GB2312" w:cs="仿宋_GB2312"/>
          <w:b/>
          <w:sz w:val="32"/>
          <w:szCs w:val="32"/>
          <w:highlight w:val="none"/>
        </w:rPr>
        <w:t>.一般公共服务（类）</w:t>
      </w:r>
      <w:r>
        <w:rPr>
          <w:rFonts w:hint="eastAsia" w:ascii="仿宋_GB2312" w:hAnsi="仿宋_GB2312" w:eastAsia="仿宋_GB2312" w:cs="仿宋_GB2312"/>
          <w:b/>
          <w:bCs/>
          <w:sz w:val="32"/>
          <w:szCs w:val="32"/>
          <w:highlight w:val="none"/>
        </w:rPr>
        <w:t>政府办公厅（室）及相关机构事务</w:t>
      </w:r>
      <w:r>
        <w:rPr>
          <w:rFonts w:hint="eastAsia" w:ascii="仿宋_GB2312" w:hAnsi="仿宋_GB2312" w:eastAsia="仿宋_GB2312" w:cs="仿宋_GB2312"/>
          <w:b/>
          <w:sz w:val="32"/>
          <w:szCs w:val="32"/>
          <w:highlight w:val="none"/>
        </w:rPr>
        <w:t>（款）</w:t>
      </w:r>
      <w:r>
        <w:rPr>
          <w:rFonts w:hint="eastAsia" w:ascii="仿宋_GB2312" w:hAnsi="仿宋_GB2312" w:eastAsia="仿宋_GB2312" w:cs="仿宋_GB2312"/>
          <w:b/>
          <w:sz w:val="32"/>
          <w:szCs w:val="32"/>
          <w:highlight w:val="none"/>
          <w:lang w:val="en-US" w:eastAsia="zh-CN"/>
        </w:rPr>
        <w:t>事业运行</w:t>
      </w:r>
      <w:r>
        <w:rPr>
          <w:rFonts w:hint="eastAsia" w:ascii="仿宋_GB2312" w:hAnsi="仿宋_GB2312" w:eastAsia="仿宋_GB2312" w:cs="仿宋_GB2312"/>
          <w:b/>
          <w:sz w:val="32"/>
          <w:szCs w:val="32"/>
          <w:highlight w:val="none"/>
        </w:rPr>
        <w:t>（项）：</w:t>
      </w:r>
      <w:r>
        <w:rPr>
          <w:rFonts w:hint="eastAsia" w:ascii="仿宋_GB2312" w:hAnsi="仿宋_GB2312" w:eastAsia="仿宋_GB2312" w:cs="仿宋_GB2312"/>
          <w:sz w:val="32"/>
          <w:szCs w:val="32"/>
          <w:highlight w:val="none"/>
          <w:lang w:eastAsia="zh-CN"/>
        </w:rPr>
        <w:t>反映事业单位的基本支出，不包括行政单位（包括实行公务员管理的事业单位）后勤服务中心、医务室等附属事业单位。</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16</w:t>
      </w:r>
      <w:r>
        <w:rPr>
          <w:rFonts w:hint="eastAsia" w:ascii="仿宋_GB2312" w:hAnsi="仿宋_GB2312" w:eastAsia="仿宋_GB2312" w:cs="仿宋_GB2312"/>
          <w:b/>
          <w:bCs/>
          <w:sz w:val="32"/>
          <w:szCs w:val="32"/>
        </w:rPr>
        <w:t>.一般公共服务支出（类）政府办公厅（室）及相关机构事务（款）其他政府办公厅（室）及相关机构事务支出（项）：</w:t>
      </w:r>
      <w:r>
        <w:rPr>
          <w:rFonts w:hint="eastAsia" w:ascii="仿宋_GB2312" w:hAnsi="仿宋_GB2312" w:eastAsia="仿宋_GB2312" w:cs="仿宋_GB2312"/>
          <w:sz w:val="32"/>
          <w:szCs w:val="32"/>
        </w:rPr>
        <w:t>反映除上述项目以外的其他政府办公厅（室）及相关机构事务支出</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17</w:t>
      </w:r>
      <w:r>
        <w:rPr>
          <w:rFonts w:hint="eastAsia" w:ascii="仿宋_GB2312" w:hAnsi="仿宋_GB2312" w:eastAsia="仿宋_GB2312" w:cs="仿宋_GB2312"/>
          <w:b/>
          <w:sz w:val="32"/>
          <w:szCs w:val="32"/>
        </w:rPr>
        <w:t>.社会保障和就业（类）行政事业单位离退休（款）事业单位离退休（项）：</w:t>
      </w:r>
      <w:r>
        <w:rPr>
          <w:rFonts w:hint="eastAsia" w:ascii="仿宋_GB2312" w:hAnsi="仿宋_GB2312" w:eastAsia="仿宋_GB2312" w:cs="仿宋_GB2312"/>
          <w:sz w:val="32"/>
          <w:szCs w:val="32"/>
        </w:rPr>
        <w:t>反映实行归口管理的事业单位开支的离退休经费。</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18</w:t>
      </w:r>
      <w:r>
        <w:rPr>
          <w:rFonts w:hint="eastAsia" w:ascii="仿宋_GB2312" w:hAnsi="仿宋_GB2312" w:eastAsia="仿宋_GB2312" w:cs="仿宋_GB2312"/>
          <w:b/>
          <w:bCs/>
          <w:sz w:val="32"/>
          <w:szCs w:val="32"/>
        </w:rPr>
        <w:t>.社会保障和就业支出（类）行政事业单位养老支出（款）机关事业单位职业年金缴费支出（项）：</w:t>
      </w:r>
      <w:r>
        <w:rPr>
          <w:rFonts w:hint="eastAsia" w:ascii="仿宋_GB2312" w:hAnsi="仿宋_GB2312" w:eastAsia="仿宋_GB2312" w:cs="仿宋_GB2312"/>
          <w:sz w:val="32"/>
          <w:szCs w:val="32"/>
        </w:rPr>
        <w:t>反映机关事业单位实施养老保险制度由单位实际缴纳的职业年金支出。</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19</w:t>
      </w:r>
      <w:r>
        <w:rPr>
          <w:rFonts w:hint="eastAsia" w:ascii="仿宋_GB2312" w:hAnsi="仿宋_GB2312" w:eastAsia="仿宋_GB2312" w:cs="仿宋_GB2312"/>
          <w:b/>
          <w:bCs/>
          <w:sz w:val="32"/>
          <w:szCs w:val="32"/>
        </w:rPr>
        <w:t>.社会保障和就业支出（类）其他社会保障和就业支出（款）其他社会保障和就业支出（项）</w:t>
      </w:r>
      <w:r>
        <w:rPr>
          <w:rFonts w:hint="eastAsia" w:ascii="仿宋_GB2312" w:hAnsi="仿宋_GB2312" w:eastAsia="仿宋_GB2312" w:cs="仿宋_GB2312"/>
          <w:sz w:val="32"/>
          <w:szCs w:val="32"/>
        </w:rPr>
        <w:t>：反映除上述项目以外其他用于社会保障和就业方面的支出。</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val="en-US" w:eastAsia="zh-CN"/>
        </w:rPr>
        <w:t>20</w:t>
      </w:r>
      <w:r>
        <w:rPr>
          <w:rFonts w:hint="eastAsia" w:ascii="仿宋_GB2312" w:hAnsi="仿宋_GB2312" w:eastAsia="仿宋_GB2312" w:cs="仿宋_GB2312"/>
          <w:b/>
          <w:sz w:val="32"/>
          <w:szCs w:val="32"/>
        </w:rPr>
        <w:t>. 医疗卫生与计划生育（类）行政事业单位医疗（款）事业单位医疗（项）：</w:t>
      </w:r>
      <w:r>
        <w:rPr>
          <w:rFonts w:hint="eastAsia" w:ascii="仿宋_GB2312" w:hAnsi="仿宋_GB2312" w:eastAsia="仿宋_GB2312" w:cs="仿宋_GB2312"/>
          <w:sz w:val="32"/>
          <w:szCs w:val="32"/>
        </w:rPr>
        <w:t>反映财政部门集中安排的事业单位基本医疗保险缴费经费，未参加医疗保险的事业单位的公费医疗经费，按国家规定享受离休人员待遇的医疗经费。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21</w:t>
      </w:r>
      <w:r>
        <w:rPr>
          <w:rFonts w:hint="eastAsia" w:ascii="仿宋_GB2312" w:hAnsi="仿宋_GB2312" w:eastAsia="仿宋_GB2312" w:cs="仿宋_GB2312"/>
          <w:b/>
          <w:bCs/>
          <w:sz w:val="32"/>
          <w:szCs w:val="32"/>
        </w:rPr>
        <w:t>.卫生健康支出（类）行政事业单位医疗（款）其他行政事业单位医疗支出（项）：</w:t>
      </w:r>
      <w:r>
        <w:rPr>
          <w:rFonts w:hint="eastAsia" w:ascii="仿宋_GB2312" w:hAnsi="仿宋_GB2312" w:eastAsia="仿宋_GB2312" w:cs="仿宋_GB2312"/>
          <w:sz w:val="32"/>
          <w:szCs w:val="32"/>
        </w:rPr>
        <w:t>反映除上述项目以外的其他用于行政事业单位医疗方面的支出。</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22</w:t>
      </w:r>
      <w:r>
        <w:rPr>
          <w:rFonts w:hint="eastAsia" w:ascii="仿宋_GB2312" w:hAnsi="仿宋_GB2312" w:eastAsia="仿宋_GB2312" w:cs="仿宋_GB2312"/>
          <w:b/>
          <w:sz w:val="32"/>
          <w:szCs w:val="32"/>
        </w:rPr>
        <w:t>.住房保障（类）住房改革（款）住房公积金（项）：</w:t>
      </w:r>
      <w:r>
        <w:rPr>
          <w:rFonts w:hint="eastAsia" w:ascii="仿宋_GB2312" w:hAnsi="仿宋_GB2312" w:eastAsia="仿宋_GB2312" w:cs="仿宋_GB2312"/>
          <w:sz w:val="32"/>
          <w:szCs w:val="32"/>
        </w:rPr>
        <w:t>反映行政事业单位按人力资源和社会保障部、财政部规定的基本工资和津贴补贴以及规定比例为职工缴纳的住房公积金。</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23</w:t>
      </w:r>
      <w:r>
        <w:rPr>
          <w:rFonts w:hint="eastAsia" w:ascii="仿宋_GB2312" w:hAnsi="仿宋_GB2312" w:eastAsia="仿宋_GB2312" w:cs="仿宋_GB2312"/>
          <w:b/>
          <w:bCs/>
          <w:sz w:val="32"/>
          <w:szCs w:val="32"/>
        </w:rPr>
        <w:t>.社会保障和就业支出（类）行政事业单位养老支出（款）机关事业单位基本养老保险缴费支出（项）：</w:t>
      </w:r>
      <w:r>
        <w:rPr>
          <w:rFonts w:hint="eastAsia" w:ascii="仿宋_GB2312" w:hAnsi="仿宋_GB2312" w:eastAsia="仿宋_GB2312" w:cs="仿宋_GB2312"/>
          <w:sz w:val="32"/>
          <w:szCs w:val="32"/>
        </w:rPr>
        <w:t>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24</w:t>
      </w:r>
      <w:r>
        <w:rPr>
          <w:rFonts w:hint="eastAsia" w:ascii="仿宋_GB2312" w:hAnsi="仿宋_GB2312" w:eastAsia="仿宋_GB2312" w:cs="仿宋_GB2312"/>
          <w:b/>
          <w:bCs/>
          <w:sz w:val="32"/>
          <w:szCs w:val="32"/>
        </w:rPr>
        <w:t>.工资福利支出：</w:t>
      </w:r>
      <w:r>
        <w:rPr>
          <w:rFonts w:hint="eastAsia" w:ascii="仿宋_GB2312" w:hAnsi="仿宋_GB2312" w:eastAsia="仿宋_GB2312" w:cs="仿宋_GB2312"/>
          <w:sz w:val="32"/>
          <w:szCs w:val="32"/>
        </w:rPr>
        <w:t>反映单位开支的在职职工和编制外长期聘用人员的各类劳动报酬，以及为上述人员缴纳的各项社会保险费等。</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25</w:t>
      </w:r>
      <w:r>
        <w:rPr>
          <w:rFonts w:hint="eastAsia" w:ascii="仿宋_GB2312" w:hAnsi="仿宋_GB2312" w:eastAsia="仿宋_GB2312" w:cs="仿宋_GB2312"/>
          <w:b/>
          <w:bCs/>
          <w:sz w:val="32"/>
          <w:szCs w:val="32"/>
        </w:rPr>
        <w:t>.商品和服务支出：</w:t>
      </w:r>
      <w:r>
        <w:rPr>
          <w:rFonts w:hint="eastAsia" w:ascii="仿宋_GB2312" w:hAnsi="仿宋_GB2312" w:eastAsia="仿宋_GB2312" w:cs="仿宋_GB2312"/>
          <w:sz w:val="32"/>
          <w:szCs w:val="32"/>
        </w:rPr>
        <w:t>反映单位购买商品和服务的支出，不包括用于购置固定资产、战略性和应急性物资储备等资本性支出。</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26</w:t>
      </w:r>
      <w:r>
        <w:rPr>
          <w:rFonts w:hint="eastAsia" w:ascii="仿宋_GB2312" w:hAnsi="仿宋_GB2312" w:eastAsia="仿宋_GB2312" w:cs="仿宋_GB2312"/>
          <w:b/>
          <w:bCs/>
          <w:sz w:val="32"/>
          <w:szCs w:val="32"/>
        </w:rPr>
        <w:t>.对个人和家庭补助：</w:t>
      </w:r>
      <w:r>
        <w:rPr>
          <w:rFonts w:hint="eastAsia" w:ascii="仿宋_GB2312" w:hAnsi="仿宋_GB2312" w:eastAsia="仿宋_GB2312" w:cs="仿宋_GB2312"/>
          <w:sz w:val="32"/>
          <w:szCs w:val="32"/>
        </w:rPr>
        <w:t>反映政府用于对个人和家庭的补助支出。</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27</w:t>
      </w:r>
      <w:r>
        <w:rPr>
          <w:rFonts w:hint="eastAsia" w:ascii="仿宋_GB2312" w:hAnsi="仿宋_GB2312" w:eastAsia="仿宋_GB2312" w:cs="仿宋_GB2312"/>
          <w:b/>
          <w:bCs/>
          <w:sz w:val="32"/>
          <w:szCs w:val="32"/>
        </w:rPr>
        <w:t>.资本性支出：</w:t>
      </w:r>
      <w:r>
        <w:rPr>
          <w:rFonts w:hint="eastAsia" w:ascii="仿宋_GB2312" w:hAnsi="仿宋_GB2312" w:eastAsia="仿宋_GB2312" w:cs="仿宋_GB2312"/>
          <w:sz w:val="32"/>
          <w:szCs w:val="32"/>
        </w:rPr>
        <w:t>反映各单位安排的资本性支出。切块由发展改革部门安排的基本建设支出不在此科目反映。</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rPr>
        <w:t>.</w:t>
      </w:r>
      <w:r>
        <w:rPr>
          <w:rFonts w:hint="eastAsia" w:ascii="仿宋_GB2312" w:hAnsi="仿宋_GB2312" w:eastAsia="仿宋_GB2312" w:cs="仿宋_GB2312"/>
          <w:b/>
          <w:sz w:val="32"/>
          <w:szCs w:val="32"/>
        </w:rPr>
        <w:t>其他支出（类）其他支出（款）其他支出（项）</w:t>
      </w:r>
      <w:r>
        <w:rPr>
          <w:rFonts w:hint="eastAsia" w:ascii="仿宋_GB2312" w:hAnsi="仿宋_GB2312" w:eastAsia="仿宋_GB2312" w:cs="仿宋_GB2312"/>
          <w:sz w:val="32"/>
          <w:szCs w:val="32"/>
        </w:rPr>
        <w:t>反映除上述项目以外其他不能划分到具体功能科目的支出项目。</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p>
    <w:p>
      <w:pPr>
        <w:tabs>
          <w:tab w:val="left" w:pos="2343"/>
        </w:tabs>
        <w:spacing w:line="560" w:lineRule="exact"/>
        <w:jc w:val="center"/>
        <w:rPr>
          <w:rFonts w:ascii="仿宋_GB2312" w:eastAsia="仿宋_GB2312"/>
          <w:sz w:val="32"/>
          <w:szCs w:val="32"/>
        </w:rPr>
      </w:pPr>
      <w:r>
        <w:rPr>
          <w:rFonts w:hint="eastAsia" w:ascii="宋体" w:hAnsi="宋体"/>
          <w:b/>
          <w:sz w:val="36"/>
          <w:szCs w:val="36"/>
        </w:rPr>
        <w:t>第五部分</w:t>
      </w:r>
      <w:r>
        <w:rPr>
          <w:rFonts w:hint="eastAsia" w:ascii="宋体" w:hAnsi="宋体"/>
          <w:b/>
          <w:sz w:val="36"/>
          <w:szCs w:val="36"/>
          <w:lang w:val="en-US" w:eastAsia="zh-CN"/>
        </w:rPr>
        <w:t xml:space="preserve"> 2025</w:t>
      </w:r>
      <w:r>
        <w:rPr>
          <w:rFonts w:hint="eastAsia" w:ascii="宋体" w:hAnsi="宋体"/>
          <w:b/>
          <w:sz w:val="36"/>
          <w:szCs w:val="36"/>
        </w:rPr>
        <w:t>年</w:t>
      </w:r>
      <w:r>
        <w:rPr>
          <w:rFonts w:hint="eastAsia" w:ascii="宋体" w:hAnsi="宋体"/>
          <w:b/>
          <w:sz w:val="36"/>
          <w:szCs w:val="36"/>
          <w:lang w:eastAsia="zh-CN"/>
        </w:rPr>
        <w:t>盘锦市公共采购交易中心</w:t>
      </w:r>
      <w:r>
        <w:rPr>
          <w:rFonts w:hint="eastAsia" w:ascii="宋体" w:hAnsi="宋体"/>
          <w:b/>
          <w:sz w:val="36"/>
          <w:szCs w:val="36"/>
        </w:rPr>
        <w:t>部门预算</w:t>
      </w:r>
      <w:r>
        <w:rPr>
          <w:rFonts w:hint="eastAsia" w:ascii="宋体" w:hAnsi="宋体"/>
          <w:b/>
          <w:sz w:val="36"/>
          <w:szCs w:val="36"/>
          <w:lang w:eastAsia="zh-CN"/>
        </w:rPr>
        <w:t>公开</w:t>
      </w:r>
      <w:r>
        <w:rPr>
          <w:rFonts w:hint="eastAsia" w:ascii="宋体" w:hAnsi="宋体"/>
          <w:b/>
          <w:sz w:val="36"/>
          <w:szCs w:val="36"/>
        </w:rPr>
        <w:t>表</w:t>
      </w:r>
    </w:p>
    <w:p>
      <w:pPr>
        <w:spacing w:line="560" w:lineRule="exact"/>
        <w:ind w:firstLine="646" w:firstLineChars="200"/>
        <w:jc w:val="left"/>
        <w:rPr>
          <w:rFonts w:ascii="仿宋_GB2312" w:eastAsia="仿宋_GB2312"/>
          <w:b/>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bookmarkStart w:id="0" w:name="_GoBack"/>
      <w:bookmarkEnd w:id="0"/>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221974"/>
    <w:multiLevelType w:val="singleLevel"/>
    <w:tmpl w:val="EF221974"/>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4Y2UzN2JhZWY4YTU5NWU4MWZkMDQxOGZkNDQ5ZGQifQ=="/>
  </w:docVars>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3C53CBB"/>
    <w:rsid w:val="15CF11DB"/>
    <w:rsid w:val="17676F00"/>
    <w:rsid w:val="17B616E5"/>
    <w:rsid w:val="17F07D94"/>
    <w:rsid w:val="18623F4E"/>
    <w:rsid w:val="1877372F"/>
    <w:rsid w:val="189B1ADC"/>
    <w:rsid w:val="18C33AC7"/>
    <w:rsid w:val="18DF049C"/>
    <w:rsid w:val="18DF5E73"/>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6A24576"/>
    <w:rsid w:val="270615B9"/>
    <w:rsid w:val="270B1A4A"/>
    <w:rsid w:val="27727FFE"/>
    <w:rsid w:val="27773A27"/>
    <w:rsid w:val="28552D9D"/>
    <w:rsid w:val="298C6232"/>
    <w:rsid w:val="29990502"/>
    <w:rsid w:val="29E6061F"/>
    <w:rsid w:val="2A3E5AEE"/>
    <w:rsid w:val="2B7DC5E7"/>
    <w:rsid w:val="2BF47C3E"/>
    <w:rsid w:val="2D2449BD"/>
    <w:rsid w:val="2DE71215"/>
    <w:rsid w:val="2EB3162C"/>
    <w:rsid w:val="2EC31361"/>
    <w:rsid w:val="2EE465A5"/>
    <w:rsid w:val="2F142285"/>
    <w:rsid w:val="2F3DE142"/>
    <w:rsid w:val="2FAC4B1B"/>
    <w:rsid w:val="313E7D46"/>
    <w:rsid w:val="316C7C8A"/>
    <w:rsid w:val="31EE3102"/>
    <w:rsid w:val="31FB3A39"/>
    <w:rsid w:val="34190834"/>
    <w:rsid w:val="34474FE8"/>
    <w:rsid w:val="3505415D"/>
    <w:rsid w:val="35BE487C"/>
    <w:rsid w:val="365A03F2"/>
    <w:rsid w:val="36F6584D"/>
    <w:rsid w:val="3757F7CA"/>
    <w:rsid w:val="37C4673A"/>
    <w:rsid w:val="385D4246"/>
    <w:rsid w:val="396661E0"/>
    <w:rsid w:val="39D46840"/>
    <w:rsid w:val="39FC9D6E"/>
    <w:rsid w:val="3ADF145F"/>
    <w:rsid w:val="3AE4639A"/>
    <w:rsid w:val="3B697A90"/>
    <w:rsid w:val="3C073006"/>
    <w:rsid w:val="3C1C2BDE"/>
    <w:rsid w:val="3CA073AF"/>
    <w:rsid w:val="3CE3375A"/>
    <w:rsid w:val="3D0F4FB7"/>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6E2098A"/>
    <w:rsid w:val="470E1B72"/>
    <w:rsid w:val="47903B98"/>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1DA038A"/>
    <w:rsid w:val="52184D14"/>
    <w:rsid w:val="523343D7"/>
    <w:rsid w:val="525D300E"/>
    <w:rsid w:val="53681604"/>
    <w:rsid w:val="536979A6"/>
    <w:rsid w:val="55DFA0A0"/>
    <w:rsid w:val="55F45B8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A3F58"/>
    <w:rsid w:val="628C5B80"/>
    <w:rsid w:val="638C42D9"/>
    <w:rsid w:val="63AF39A4"/>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64D04"/>
    <w:rsid w:val="6CFECA5E"/>
    <w:rsid w:val="6D665E9E"/>
    <w:rsid w:val="6D7E1522"/>
    <w:rsid w:val="6D95125A"/>
    <w:rsid w:val="6ED06DC1"/>
    <w:rsid w:val="6EFB2B5A"/>
    <w:rsid w:val="6EFD1050"/>
    <w:rsid w:val="6F3C07B7"/>
    <w:rsid w:val="6F474F0B"/>
    <w:rsid w:val="6F565074"/>
    <w:rsid w:val="6F6F6081"/>
    <w:rsid w:val="6F7F96C5"/>
    <w:rsid w:val="6FC62348"/>
    <w:rsid w:val="6FD5E3EE"/>
    <w:rsid w:val="6FFFA188"/>
    <w:rsid w:val="701934AE"/>
    <w:rsid w:val="714B2ECB"/>
    <w:rsid w:val="71D7CD63"/>
    <w:rsid w:val="72385629"/>
    <w:rsid w:val="731F0A75"/>
    <w:rsid w:val="73351169"/>
    <w:rsid w:val="741831B5"/>
    <w:rsid w:val="742E67DF"/>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4764</Words>
  <Characters>5028</Characters>
  <Lines>22</Lines>
  <Paragraphs>6</Paragraphs>
  <TotalTime>9</TotalTime>
  <ScaleCrop>false</ScaleCrop>
  <LinksUpToDate>false</LinksUpToDate>
  <CharactersWithSpaces>5075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Administrator</cp:lastModifiedBy>
  <cp:lastPrinted>2025-02-07T03:05:00Z</cp:lastPrinted>
  <dcterms:modified xsi:type="dcterms:W3CDTF">2025-02-11T08:20:24Z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1C4A8377B0D743D78AA53EC44300B575_12</vt:lpwstr>
  </property>
</Properties>
</file>