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A57129F">
      <w:pPr>
        <w:rPr>
          <w:rFonts w:hint="eastAsia" w:ascii="宋体" w:hAnsi="宋体" w:eastAsia="宋体" w:cs="宋体"/>
          <w:b/>
          <w:bCs/>
          <w:sz w:val="44"/>
          <w:szCs w:val="44"/>
          <w:lang w:val="en-US" w:eastAsia="zh-CN"/>
        </w:rPr>
      </w:pPr>
    </w:p>
    <w:p w14:paraId="0108A3F3">
      <w:pPr>
        <w:spacing w:line="560" w:lineRule="exact"/>
        <w:jc w:val="center"/>
        <w:rPr>
          <w:bCs/>
          <w:sz w:val="32"/>
          <w:szCs w:val="32"/>
          <w:u w:val="single"/>
        </w:rPr>
      </w:pPr>
    </w:p>
    <w:p w14:paraId="10EF3363">
      <w:pPr>
        <w:spacing w:line="560" w:lineRule="exact"/>
        <w:jc w:val="center"/>
        <w:rPr>
          <w:b/>
          <w:sz w:val="44"/>
          <w:szCs w:val="44"/>
          <w:u w:val="single"/>
        </w:rPr>
      </w:pPr>
    </w:p>
    <w:p w14:paraId="59D54044">
      <w:pPr>
        <w:pStyle w:val="2"/>
      </w:pPr>
    </w:p>
    <w:p w14:paraId="29D8B589">
      <w:pPr>
        <w:spacing w:line="560" w:lineRule="exact"/>
        <w:jc w:val="center"/>
        <w:rPr>
          <w:b/>
          <w:sz w:val="44"/>
          <w:szCs w:val="44"/>
          <w:u w:val="single"/>
        </w:rPr>
      </w:pPr>
    </w:p>
    <w:p w14:paraId="38081291">
      <w:pPr>
        <w:spacing w:line="560" w:lineRule="exact"/>
        <w:jc w:val="both"/>
        <w:rPr>
          <w:rFonts w:hint="eastAsia"/>
          <w:b/>
          <w:sz w:val="44"/>
          <w:szCs w:val="44"/>
        </w:rPr>
      </w:pPr>
    </w:p>
    <w:p w14:paraId="65D7AD8F">
      <w:pPr>
        <w:spacing w:line="560" w:lineRule="exact"/>
        <w:jc w:val="center"/>
        <w:rPr>
          <w:rFonts w:hint="eastAsia"/>
          <w:b/>
          <w:sz w:val="44"/>
          <w:szCs w:val="44"/>
          <w:lang w:val="en-US" w:eastAsia="zh-CN"/>
        </w:rPr>
      </w:pPr>
      <w:r>
        <w:rPr>
          <w:rFonts w:hint="eastAsia"/>
          <w:b/>
          <w:sz w:val="44"/>
          <w:szCs w:val="44"/>
          <w:lang w:val="en-US" w:eastAsia="zh-CN"/>
        </w:rPr>
        <w:t>盘锦检验检测中心</w:t>
      </w:r>
    </w:p>
    <w:p w14:paraId="4DC5F689">
      <w:pPr>
        <w:spacing w:line="560" w:lineRule="exact"/>
        <w:jc w:val="center"/>
        <w:rPr>
          <w:rFonts w:hint="default" w:eastAsia="宋体"/>
          <w:b/>
          <w:sz w:val="44"/>
          <w:szCs w:val="44"/>
          <w:lang w:val="en-US" w:eastAsia="zh-CN"/>
        </w:rPr>
      </w:pPr>
      <w:r>
        <w:rPr>
          <w:rFonts w:hint="eastAsia"/>
          <w:b/>
          <w:sz w:val="44"/>
          <w:szCs w:val="44"/>
          <w:lang w:val="en-US" w:eastAsia="zh-CN"/>
        </w:rPr>
        <w:t>2025年度部门预算</w:t>
      </w:r>
    </w:p>
    <w:p w14:paraId="2713C8D5">
      <w:pPr>
        <w:spacing w:line="560" w:lineRule="exact"/>
        <w:jc w:val="center"/>
        <w:rPr>
          <w:rFonts w:hint="eastAsia"/>
          <w:b/>
          <w:sz w:val="44"/>
          <w:szCs w:val="44"/>
        </w:rPr>
      </w:pPr>
    </w:p>
    <w:p w14:paraId="33645809">
      <w:pPr>
        <w:spacing w:line="560" w:lineRule="exact"/>
        <w:jc w:val="center"/>
        <w:rPr>
          <w:rFonts w:hint="eastAsia"/>
          <w:b/>
          <w:sz w:val="44"/>
          <w:szCs w:val="44"/>
        </w:rPr>
      </w:pPr>
    </w:p>
    <w:p w14:paraId="657C9023">
      <w:pPr>
        <w:spacing w:line="560" w:lineRule="exact"/>
        <w:jc w:val="center"/>
        <w:rPr>
          <w:rFonts w:hint="eastAsia"/>
          <w:b/>
          <w:sz w:val="44"/>
          <w:szCs w:val="44"/>
        </w:rPr>
      </w:pPr>
    </w:p>
    <w:p w14:paraId="793BB554">
      <w:pPr>
        <w:spacing w:line="560" w:lineRule="exact"/>
        <w:jc w:val="center"/>
        <w:rPr>
          <w:rFonts w:hint="eastAsia"/>
          <w:b/>
          <w:sz w:val="44"/>
          <w:szCs w:val="44"/>
        </w:rPr>
      </w:pPr>
    </w:p>
    <w:p w14:paraId="0C0565F6">
      <w:pPr>
        <w:spacing w:line="560" w:lineRule="exact"/>
        <w:jc w:val="center"/>
        <w:rPr>
          <w:rFonts w:hint="eastAsia"/>
          <w:b/>
          <w:sz w:val="44"/>
          <w:szCs w:val="44"/>
        </w:rPr>
      </w:pPr>
    </w:p>
    <w:p w14:paraId="501D26E2">
      <w:pPr>
        <w:spacing w:line="560" w:lineRule="exact"/>
        <w:jc w:val="center"/>
        <w:rPr>
          <w:rFonts w:hint="eastAsia"/>
          <w:b/>
          <w:sz w:val="44"/>
          <w:szCs w:val="44"/>
        </w:rPr>
      </w:pPr>
    </w:p>
    <w:p w14:paraId="73C23CE8">
      <w:pPr>
        <w:spacing w:line="560" w:lineRule="exact"/>
        <w:jc w:val="center"/>
        <w:rPr>
          <w:rFonts w:hint="eastAsia"/>
          <w:b/>
          <w:sz w:val="44"/>
          <w:szCs w:val="44"/>
        </w:rPr>
      </w:pPr>
    </w:p>
    <w:p w14:paraId="0E97C229">
      <w:pPr>
        <w:spacing w:line="560" w:lineRule="exact"/>
        <w:jc w:val="center"/>
        <w:rPr>
          <w:rFonts w:hint="eastAsia"/>
          <w:b/>
          <w:sz w:val="44"/>
          <w:szCs w:val="44"/>
        </w:rPr>
      </w:pPr>
    </w:p>
    <w:p w14:paraId="03FC5612">
      <w:pPr>
        <w:spacing w:line="560" w:lineRule="exact"/>
        <w:jc w:val="center"/>
        <w:rPr>
          <w:rFonts w:hint="eastAsia"/>
          <w:b/>
          <w:sz w:val="44"/>
          <w:szCs w:val="44"/>
        </w:rPr>
      </w:pPr>
    </w:p>
    <w:p w14:paraId="1BCEC8E5">
      <w:pPr>
        <w:spacing w:line="560" w:lineRule="exact"/>
        <w:jc w:val="center"/>
        <w:rPr>
          <w:rFonts w:hint="eastAsia"/>
          <w:b/>
          <w:sz w:val="44"/>
          <w:szCs w:val="44"/>
        </w:rPr>
      </w:pPr>
    </w:p>
    <w:p w14:paraId="38E86350">
      <w:pPr>
        <w:spacing w:line="560" w:lineRule="exact"/>
        <w:jc w:val="center"/>
        <w:rPr>
          <w:rFonts w:hint="eastAsia"/>
          <w:b/>
          <w:sz w:val="44"/>
          <w:szCs w:val="44"/>
        </w:rPr>
      </w:pPr>
    </w:p>
    <w:p w14:paraId="56335BA5">
      <w:pPr>
        <w:spacing w:line="560" w:lineRule="exact"/>
        <w:jc w:val="center"/>
        <w:rPr>
          <w:rFonts w:hint="eastAsia"/>
          <w:b/>
          <w:sz w:val="44"/>
          <w:szCs w:val="44"/>
        </w:rPr>
      </w:pPr>
    </w:p>
    <w:p w14:paraId="02516284">
      <w:pPr>
        <w:spacing w:line="560" w:lineRule="exact"/>
        <w:jc w:val="center"/>
        <w:rPr>
          <w:rFonts w:hint="eastAsia"/>
          <w:b/>
          <w:sz w:val="44"/>
          <w:szCs w:val="44"/>
        </w:rPr>
      </w:pPr>
    </w:p>
    <w:p w14:paraId="587A0419">
      <w:pPr>
        <w:spacing w:line="560" w:lineRule="exact"/>
        <w:jc w:val="center"/>
        <w:rPr>
          <w:rFonts w:hint="eastAsia"/>
          <w:b/>
          <w:sz w:val="44"/>
          <w:szCs w:val="44"/>
        </w:rPr>
      </w:pPr>
    </w:p>
    <w:p w14:paraId="6D89C9FC">
      <w:pPr>
        <w:spacing w:line="560" w:lineRule="exact"/>
        <w:jc w:val="center"/>
        <w:rPr>
          <w:rFonts w:hint="eastAsia"/>
          <w:b/>
          <w:sz w:val="44"/>
          <w:szCs w:val="44"/>
        </w:rPr>
      </w:pPr>
    </w:p>
    <w:p w14:paraId="39257B7C">
      <w:pPr>
        <w:spacing w:line="560" w:lineRule="exact"/>
        <w:jc w:val="center"/>
        <w:rPr>
          <w:rFonts w:hint="eastAsia"/>
          <w:b/>
          <w:sz w:val="44"/>
          <w:szCs w:val="44"/>
        </w:rPr>
      </w:pPr>
    </w:p>
    <w:p w14:paraId="1046D63A">
      <w:pPr>
        <w:spacing w:line="560" w:lineRule="exact"/>
        <w:jc w:val="center"/>
        <w:rPr>
          <w:rFonts w:hint="eastAsia"/>
          <w:b/>
          <w:sz w:val="44"/>
          <w:szCs w:val="44"/>
        </w:rPr>
      </w:pPr>
    </w:p>
    <w:p w14:paraId="1684F89D">
      <w:pPr>
        <w:spacing w:line="560" w:lineRule="exact"/>
        <w:jc w:val="center"/>
        <w:rPr>
          <w:b/>
          <w:sz w:val="44"/>
          <w:szCs w:val="44"/>
        </w:rPr>
      </w:pPr>
      <w:r>
        <w:rPr>
          <w:rFonts w:hint="eastAsia"/>
          <w:b/>
          <w:sz w:val="44"/>
          <w:szCs w:val="44"/>
        </w:rPr>
        <w:t>目    录</w:t>
      </w:r>
    </w:p>
    <w:p w14:paraId="22E4D37A">
      <w:pPr>
        <w:spacing w:line="560" w:lineRule="exact"/>
        <w:rPr>
          <w:b/>
          <w:sz w:val="44"/>
          <w:szCs w:val="44"/>
          <w:u w:val="single"/>
        </w:rPr>
      </w:pPr>
    </w:p>
    <w:p w14:paraId="6A981219">
      <w:pPr>
        <w:spacing w:line="560" w:lineRule="exact"/>
        <w:rPr>
          <w:b/>
          <w:sz w:val="44"/>
          <w:szCs w:val="44"/>
          <w:u w:val="single"/>
        </w:rPr>
      </w:pPr>
    </w:p>
    <w:p w14:paraId="759A1386">
      <w:pPr>
        <w:spacing w:line="560" w:lineRule="exact"/>
        <w:rPr>
          <w:rFonts w:ascii="黑体" w:hAnsi="黑体" w:eastAsia="黑体"/>
          <w:sz w:val="32"/>
          <w:szCs w:val="32"/>
        </w:rPr>
      </w:pPr>
      <w:r>
        <w:rPr>
          <w:rFonts w:hint="eastAsia" w:ascii="黑体" w:hAnsi="黑体" w:eastAsia="黑体"/>
          <w:sz w:val="32"/>
          <w:szCs w:val="32"/>
        </w:rPr>
        <w:t>第一部分　　部门预算公开管理文件</w:t>
      </w:r>
    </w:p>
    <w:p w14:paraId="4467F99D">
      <w:pPr>
        <w:spacing w:line="560" w:lineRule="exact"/>
        <w:rPr>
          <w:rFonts w:ascii="黑体" w:hAnsi="黑体" w:eastAsia="黑体"/>
          <w:sz w:val="32"/>
          <w:szCs w:val="32"/>
        </w:rPr>
      </w:pPr>
      <w:r>
        <w:rPr>
          <w:rFonts w:hint="eastAsia" w:ascii="黑体" w:hAnsi="黑体" w:eastAsia="黑体"/>
          <w:sz w:val="32"/>
          <w:szCs w:val="32"/>
        </w:rPr>
        <w:t xml:space="preserve">第二部分    </w:t>
      </w:r>
      <w:r>
        <w:rPr>
          <w:rFonts w:hint="eastAsia" w:ascii="黑体" w:hAnsi="黑体" w:eastAsia="黑体"/>
          <w:sz w:val="32"/>
          <w:szCs w:val="32"/>
          <w:lang w:val="en-US" w:eastAsia="zh-CN"/>
        </w:rPr>
        <w:t>盘锦检验检测中心</w:t>
      </w:r>
      <w:r>
        <w:rPr>
          <w:rFonts w:hint="eastAsia" w:ascii="黑体" w:hAnsi="黑体" w:eastAsia="黑体"/>
          <w:sz w:val="32"/>
          <w:szCs w:val="32"/>
        </w:rPr>
        <w:t>概况</w:t>
      </w:r>
    </w:p>
    <w:p w14:paraId="771E339B">
      <w:pPr>
        <w:spacing w:line="560" w:lineRule="exact"/>
        <w:ind w:firstLine="646" w:firstLineChars="200"/>
        <w:rPr>
          <w:rFonts w:ascii="仿宋_GB2312" w:hAnsi="黑体" w:eastAsia="仿宋_GB2312"/>
          <w:sz w:val="32"/>
          <w:szCs w:val="32"/>
        </w:rPr>
      </w:pPr>
      <w:r>
        <w:rPr>
          <w:rFonts w:hint="eastAsia" w:ascii="仿宋_GB2312" w:hAnsi="黑体" w:eastAsia="仿宋_GB2312"/>
          <w:sz w:val="32"/>
          <w:szCs w:val="32"/>
        </w:rPr>
        <w:t>一、</w:t>
      </w:r>
      <w:r>
        <w:rPr>
          <w:rFonts w:hint="eastAsia" w:ascii="仿宋_GB2312" w:hAnsi="黑体" w:eastAsia="仿宋_GB2312"/>
          <w:sz w:val="32"/>
          <w:szCs w:val="32"/>
          <w:lang w:eastAsia="zh-CN"/>
        </w:rPr>
        <w:t>部门</w:t>
      </w:r>
      <w:r>
        <w:rPr>
          <w:rFonts w:hint="eastAsia" w:ascii="仿宋_GB2312" w:hAnsi="黑体" w:eastAsia="仿宋_GB2312"/>
          <w:sz w:val="32"/>
          <w:szCs w:val="32"/>
        </w:rPr>
        <w:t>职责</w:t>
      </w:r>
    </w:p>
    <w:p w14:paraId="307A78C9">
      <w:pPr>
        <w:spacing w:line="560" w:lineRule="exact"/>
        <w:ind w:firstLine="646" w:firstLineChars="200"/>
        <w:rPr>
          <w:rFonts w:ascii="仿宋_GB2312" w:hAnsi="黑体" w:eastAsia="仿宋_GB2312"/>
          <w:sz w:val="32"/>
          <w:szCs w:val="32"/>
        </w:rPr>
      </w:pPr>
      <w:r>
        <w:rPr>
          <w:rFonts w:hint="eastAsia" w:ascii="仿宋_GB2312" w:hAnsi="黑体" w:eastAsia="仿宋_GB2312"/>
          <w:sz w:val="32"/>
          <w:szCs w:val="32"/>
        </w:rPr>
        <w:t>二、机构设置</w:t>
      </w:r>
    </w:p>
    <w:p w14:paraId="3654E6AF">
      <w:pPr>
        <w:spacing w:line="560" w:lineRule="exact"/>
        <w:rPr>
          <w:rFonts w:ascii="黑体" w:hAnsi="黑体" w:eastAsia="黑体"/>
          <w:sz w:val="32"/>
          <w:szCs w:val="32"/>
        </w:rPr>
      </w:pPr>
      <w:r>
        <w:rPr>
          <w:rFonts w:hint="eastAsia" w:ascii="黑体" w:hAnsi="黑体" w:eastAsia="黑体"/>
          <w:sz w:val="32"/>
          <w:szCs w:val="32"/>
        </w:rPr>
        <w:t xml:space="preserve">第三部分    </w:t>
      </w:r>
      <w:r>
        <w:rPr>
          <w:rFonts w:hint="eastAsia" w:ascii="黑体" w:hAnsi="黑体" w:eastAsia="黑体"/>
          <w:sz w:val="32"/>
          <w:szCs w:val="32"/>
          <w:lang w:val="en-US" w:eastAsia="zh-CN"/>
        </w:rPr>
        <w:t>盘锦检验检测中心2025</w:t>
      </w:r>
      <w:r>
        <w:rPr>
          <w:rFonts w:hint="eastAsia" w:ascii="黑体" w:hAnsi="黑体" w:eastAsia="黑体"/>
          <w:sz w:val="32"/>
          <w:szCs w:val="32"/>
        </w:rPr>
        <w:t>年部门预算情况说明</w:t>
      </w:r>
    </w:p>
    <w:p w14:paraId="77352E79">
      <w:pPr>
        <w:spacing w:line="560" w:lineRule="exact"/>
        <w:rPr>
          <w:rFonts w:ascii="黑体" w:hAnsi="黑体" w:eastAsia="黑体"/>
          <w:sz w:val="32"/>
          <w:szCs w:val="32"/>
        </w:rPr>
      </w:pPr>
      <w:r>
        <w:rPr>
          <w:rFonts w:hint="eastAsia" w:ascii="黑体" w:hAnsi="黑体" w:eastAsia="黑体"/>
          <w:sz w:val="32"/>
          <w:szCs w:val="32"/>
        </w:rPr>
        <w:t>第四部分    名词解释</w:t>
      </w:r>
    </w:p>
    <w:p w14:paraId="4999C184">
      <w:pPr>
        <w:spacing w:line="560" w:lineRule="exact"/>
        <w:rPr>
          <w:rFonts w:ascii="黑体" w:hAnsi="黑体" w:eastAsia="黑体"/>
          <w:sz w:val="32"/>
          <w:szCs w:val="32"/>
        </w:rPr>
      </w:pPr>
      <w:r>
        <w:rPr>
          <w:rFonts w:hint="eastAsia" w:ascii="黑体" w:hAnsi="黑体" w:eastAsia="黑体"/>
          <w:sz w:val="32"/>
          <w:szCs w:val="32"/>
        </w:rPr>
        <w:t xml:space="preserve">第五部分    </w:t>
      </w:r>
      <w:r>
        <w:rPr>
          <w:rFonts w:hint="eastAsia" w:ascii="黑体" w:hAnsi="黑体" w:eastAsia="黑体"/>
          <w:sz w:val="32"/>
          <w:szCs w:val="32"/>
          <w:lang w:val="en-US" w:eastAsia="zh-CN"/>
        </w:rPr>
        <w:t>2025</w:t>
      </w:r>
      <w:r>
        <w:rPr>
          <w:rFonts w:hint="eastAsia" w:ascii="黑体" w:hAnsi="黑体" w:eastAsia="黑体"/>
          <w:sz w:val="32"/>
          <w:szCs w:val="32"/>
        </w:rPr>
        <w:t>年</w:t>
      </w:r>
      <w:r>
        <w:rPr>
          <w:rFonts w:hint="eastAsia" w:ascii="黑体" w:hAnsi="黑体" w:eastAsia="黑体"/>
          <w:sz w:val="32"/>
          <w:szCs w:val="32"/>
          <w:lang w:val="en-US" w:eastAsia="zh-CN"/>
        </w:rPr>
        <w:t>盘锦检验检测中心</w:t>
      </w:r>
      <w:r>
        <w:rPr>
          <w:rFonts w:hint="eastAsia" w:ascii="黑体" w:hAnsi="黑体" w:eastAsia="黑体"/>
          <w:sz w:val="32"/>
          <w:szCs w:val="32"/>
        </w:rPr>
        <w:t>部门预算批复表</w:t>
      </w:r>
    </w:p>
    <w:p w14:paraId="07F5478A">
      <w:pPr>
        <w:numPr>
          <w:ilvl w:val="0"/>
          <w:numId w:val="0"/>
        </w:numPr>
        <w:spacing w:line="560" w:lineRule="exact"/>
        <w:ind w:left="540" w:leftChars="0"/>
        <w:rPr>
          <w:rFonts w:ascii="仿宋_GB2312" w:hAnsi="黑体" w:eastAsia="仿宋_GB2312"/>
          <w:sz w:val="32"/>
          <w:szCs w:val="32"/>
        </w:rPr>
      </w:pPr>
      <w:r>
        <w:rPr>
          <w:rFonts w:hint="eastAsia" w:ascii="仿宋_GB2312" w:hAnsi="黑体" w:eastAsia="仿宋_GB2312"/>
          <w:sz w:val="32"/>
          <w:szCs w:val="32"/>
          <w:lang w:eastAsia="zh-CN"/>
        </w:rPr>
        <w:t>一、</w:t>
      </w:r>
      <w:r>
        <w:rPr>
          <w:rFonts w:hint="eastAsia" w:ascii="仿宋_GB2312" w:hAnsi="黑体" w:eastAsia="仿宋_GB2312"/>
          <w:sz w:val="32"/>
          <w:szCs w:val="32"/>
        </w:rPr>
        <w:t>收支预算总表</w:t>
      </w:r>
    </w:p>
    <w:p w14:paraId="79E96BCB">
      <w:pPr>
        <w:numPr>
          <w:ilvl w:val="0"/>
          <w:numId w:val="0"/>
        </w:numPr>
        <w:spacing w:line="560" w:lineRule="exact"/>
        <w:ind w:left="540" w:leftChars="0"/>
        <w:rPr>
          <w:rFonts w:ascii="仿宋_GB2312" w:hAnsi="黑体" w:eastAsia="仿宋_GB2312"/>
          <w:sz w:val="32"/>
          <w:szCs w:val="32"/>
        </w:rPr>
      </w:pPr>
      <w:r>
        <w:rPr>
          <w:rFonts w:hint="eastAsia" w:ascii="仿宋_GB2312" w:hAnsi="黑体" w:eastAsia="仿宋_GB2312"/>
          <w:sz w:val="32"/>
          <w:szCs w:val="32"/>
          <w:lang w:eastAsia="zh-CN"/>
        </w:rPr>
        <w:t>二、</w:t>
      </w:r>
      <w:r>
        <w:rPr>
          <w:rFonts w:hint="eastAsia" w:ascii="仿宋_GB2312" w:hAnsi="黑体" w:eastAsia="仿宋_GB2312"/>
          <w:sz w:val="32"/>
          <w:szCs w:val="32"/>
        </w:rPr>
        <w:t>收入预算总表</w:t>
      </w:r>
    </w:p>
    <w:p w14:paraId="1D6AFFD0">
      <w:pPr>
        <w:numPr>
          <w:ilvl w:val="0"/>
          <w:numId w:val="0"/>
        </w:numPr>
        <w:spacing w:line="560" w:lineRule="exact"/>
        <w:ind w:left="540" w:leftChars="0"/>
        <w:rPr>
          <w:rFonts w:ascii="仿宋_GB2312" w:hAnsi="黑体" w:eastAsia="仿宋_GB2312"/>
          <w:sz w:val="32"/>
          <w:szCs w:val="32"/>
        </w:rPr>
      </w:pPr>
      <w:r>
        <w:rPr>
          <w:rFonts w:hint="eastAsia" w:ascii="仿宋_GB2312" w:hAnsi="黑体" w:eastAsia="仿宋_GB2312"/>
          <w:sz w:val="32"/>
          <w:szCs w:val="32"/>
          <w:lang w:eastAsia="zh-CN"/>
        </w:rPr>
        <w:t>三、</w:t>
      </w:r>
      <w:r>
        <w:rPr>
          <w:rFonts w:hint="eastAsia" w:ascii="仿宋_GB2312" w:hAnsi="黑体" w:eastAsia="仿宋_GB2312"/>
          <w:sz w:val="32"/>
          <w:szCs w:val="32"/>
        </w:rPr>
        <w:t>支出预算总表</w:t>
      </w:r>
    </w:p>
    <w:p w14:paraId="059E9EA7">
      <w:pPr>
        <w:numPr>
          <w:ilvl w:val="0"/>
          <w:numId w:val="0"/>
        </w:numPr>
        <w:spacing w:line="560" w:lineRule="exact"/>
        <w:ind w:left="540" w:leftChars="0"/>
        <w:rPr>
          <w:rFonts w:ascii="仿宋_GB2312" w:hAnsi="黑体" w:eastAsia="仿宋_GB2312"/>
          <w:sz w:val="32"/>
          <w:szCs w:val="32"/>
        </w:rPr>
      </w:pPr>
      <w:r>
        <w:rPr>
          <w:rFonts w:hint="eastAsia" w:ascii="仿宋_GB2312" w:hAnsi="黑体" w:eastAsia="仿宋_GB2312"/>
          <w:sz w:val="32"/>
          <w:szCs w:val="32"/>
          <w:lang w:eastAsia="zh-CN"/>
        </w:rPr>
        <w:t>四、</w:t>
      </w:r>
      <w:r>
        <w:rPr>
          <w:rFonts w:hint="eastAsia" w:ascii="仿宋_GB2312" w:hAnsi="黑体" w:eastAsia="仿宋_GB2312"/>
          <w:sz w:val="32"/>
          <w:szCs w:val="32"/>
        </w:rPr>
        <w:t>财政拨款收支预算总表</w:t>
      </w:r>
    </w:p>
    <w:p w14:paraId="21D8A862">
      <w:pPr>
        <w:numPr>
          <w:ilvl w:val="0"/>
          <w:numId w:val="0"/>
        </w:numPr>
        <w:spacing w:line="560" w:lineRule="exact"/>
        <w:ind w:left="540" w:leftChars="0"/>
        <w:rPr>
          <w:rFonts w:ascii="仿宋_GB2312" w:hAnsi="黑体" w:eastAsia="仿宋_GB2312"/>
          <w:sz w:val="32"/>
          <w:szCs w:val="32"/>
        </w:rPr>
      </w:pPr>
      <w:r>
        <w:rPr>
          <w:rFonts w:hint="eastAsia" w:ascii="仿宋_GB2312" w:hAnsi="黑体" w:eastAsia="仿宋_GB2312"/>
          <w:sz w:val="32"/>
          <w:szCs w:val="32"/>
          <w:lang w:eastAsia="zh-CN"/>
        </w:rPr>
        <w:t>五、</w:t>
      </w:r>
      <w:r>
        <w:rPr>
          <w:rFonts w:hint="eastAsia" w:ascii="仿宋_GB2312" w:hAnsi="黑体" w:eastAsia="仿宋_GB2312"/>
          <w:sz w:val="32"/>
          <w:szCs w:val="32"/>
        </w:rPr>
        <w:t>一般公共预算支出表</w:t>
      </w:r>
    </w:p>
    <w:p w14:paraId="3AFBD78B">
      <w:pPr>
        <w:numPr>
          <w:ilvl w:val="0"/>
          <w:numId w:val="0"/>
        </w:numPr>
        <w:spacing w:line="560" w:lineRule="exact"/>
        <w:ind w:left="540" w:leftChars="0"/>
        <w:rPr>
          <w:rFonts w:ascii="仿宋_GB2312" w:hAnsi="黑体" w:eastAsia="仿宋_GB2312"/>
          <w:sz w:val="32"/>
          <w:szCs w:val="32"/>
        </w:rPr>
      </w:pPr>
      <w:r>
        <w:rPr>
          <w:rFonts w:hint="eastAsia" w:ascii="仿宋_GB2312" w:hAnsi="黑体" w:eastAsia="仿宋_GB2312"/>
          <w:sz w:val="32"/>
          <w:szCs w:val="32"/>
          <w:lang w:eastAsia="zh-CN"/>
        </w:rPr>
        <w:t>六、</w:t>
      </w:r>
      <w:r>
        <w:rPr>
          <w:rFonts w:hint="eastAsia" w:ascii="仿宋_GB2312" w:hAnsi="黑体" w:eastAsia="仿宋_GB2312"/>
          <w:sz w:val="32"/>
          <w:szCs w:val="32"/>
        </w:rPr>
        <w:t>一般公共预算基本支出表</w:t>
      </w:r>
    </w:p>
    <w:p w14:paraId="2037FD1C">
      <w:pPr>
        <w:numPr>
          <w:ilvl w:val="0"/>
          <w:numId w:val="0"/>
        </w:numPr>
        <w:spacing w:line="560" w:lineRule="exact"/>
        <w:ind w:left="540" w:leftChars="0"/>
        <w:rPr>
          <w:rFonts w:ascii="仿宋_GB2312" w:hAnsi="黑体" w:eastAsia="仿宋_GB2312"/>
          <w:sz w:val="32"/>
          <w:szCs w:val="32"/>
        </w:rPr>
      </w:pPr>
      <w:r>
        <w:rPr>
          <w:rFonts w:hint="eastAsia" w:ascii="仿宋_GB2312" w:hAnsi="黑体" w:eastAsia="仿宋_GB2312"/>
          <w:sz w:val="32"/>
          <w:szCs w:val="32"/>
          <w:lang w:eastAsia="zh-CN"/>
        </w:rPr>
        <w:t>七、财政拨款</w:t>
      </w:r>
      <w:r>
        <w:rPr>
          <w:rFonts w:hint="eastAsia" w:ascii="仿宋_GB2312" w:hAnsi="黑体" w:eastAsia="仿宋_GB2312"/>
          <w:sz w:val="32"/>
          <w:szCs w:val="32"/>
        </w:rPr>
        <w:t>预算“三公”经费支出表</w:t>
      </w:r>
    </w:p>
    <w:p w14:paraId="6AA6729B">
      <w:pPr>
        <w:numPr>
          <w:ilvl w:val="0"/>
          <w:numId w:val="1"/>
        </w:numPr>
        <w:tabs>
          <w:tab w:val="left" w:pos="1260"/>
        </w:tabs>
        <w:spacing w:line="560" w:lineRule="exact"/>
        <w:ind w:left="540"/>
        <w:rPr>
          <w:rFonts w:ascii="仿宋_GB2312" w:hAnsi="宋体" w:eastAsia="仿宋_GB2312" w:cs="宋体"/>
          <w:sz w:val="32"/>
          <w:szCs w:val="32"/>
        </w:rPr>
      </w:pPr>
      <w:r>
        <w:rPr>
          <w:rFonts w:hint="eastAsia" w:ascii="仿宋_GB2312" w:hAnsi="宋体" w:eastAsia="仿宋_GB2312" w:cs="宋体"/>
          <w:sz w:val="32"/>
          <w:szCs w:val="32"/>
        </w:rPr>
        <w:t>政府性基金预算支出表</w:t>
      </w:r>
    </w:p>
    <w:p w14:paraId="60939D9D">
      <w:pPr>
        <w:numPr>
          <w:ilvl w:val="0"/>
          <w:numId w:val="1"/>
        </w:numPr>
        <w:tabs>
          <w:tab w:val="left" w:pos="1260"/>
        </w:tabs>
        <w:spacing w:line="560" w:lineRule="exact"/>
        <w:ind w:left="540"/>
        <w:rPr>
          <w:rFonts w:ascii="仿宋_GB2312" w:hAnsi="黑体" w:eastAsia="仿宋_GB2312"/>
          <w:sz w:val="32"/>
          <w:szCs w:val="32"/>
        </w:rPr>
      </w:pPr>
      <w:r>
        <w:rPr>
          <w:rFonts w:hint="eastAsia" w:ascii="仿宋_GB2312" w:hAnsi="黑体" w:eastAsia="仿宋_GB2312"/>
          <w:sz w:val="32"/>
          <w:szCs w:val="32"/>
        </w:rPr>
        <w:t>项目支出预算表</w:t>
      </w:r>
    </w:p>
    <w:p w14:paraId="1A7318EB">
      <w:pPr>
        <w:numPr>
          <w:ilvl w:val="0"/>
          <w:numId w:val="1"/>
        </w:numPr>
        <w:tabs>
          <w:tab w:val="left" w:pos="1260"/>
        </w:tabs>
        <w:spacing w:line="560" w:lineRule="exact"/>
        <w:ind w:left="540"/>
        <w:rPr>
          <w:rFonts w:ascii="仿宋_GB2312" w:hAnsi="黑体" w:eastAsia="仿宋_GB2312"/>
          <w:sz w:val="32"/>
          <w:szCs w:val="32"/>
        </w:rPr>
      </w:pPr>
      <w:r>
        <w:rPr>
          <w:rFonts w:hint="eastAsia" w:ascii="仿宋_GB2312" w:hAnsi="黑体" w:eastAsia="仿宋_GB2312"/>
          <w:sz w:val="32"/>
          <w:szCs w:val="32"/>
        </w:rPr>
        <w:t>支出功能分类预算表</w:t>
      </w:r>
    </w:p>
    <w:p w14:paraId="7C07D99A">
      <w:pPr>
        <w:numPr>
          <w:ilvl w:val="0"/>
          <w:numId w:val="1"/>
        </w:numPr>
        <w:tabs>
          <w:tab w:val="left" w:pos="1260"/>
        </w:tabs>
        <w:spacing w:line="560" w:lineRule="exact"/>
        <w:ind w:left="540"/>
        <w:rPr>
          <w:rFonts w:ascii="仿宋_GB2312" w:hAnsi="黑体" w:eastAsia="仿宋_GB2312"/>
          <w:sz w:val="32"/>
          <w:szCs w:val="32"/>
        </w:rPr>
      </w:pPr>
      <w:r>
        <w:rPr>
          <w:rFonts w:hint="eastAsia" w:ascii="仿宋_GB2312" w:hAnsi="黑体" w:eastAsia="仿宋_GB2312"/>
          <w:sz w:val="32"/>
          <w:szCs w:val="32"/>
        </w:rPr>
        <w:t>支出经济分类预算表（政府预算）</w:t>
      </w:r>
    </w:p>
    <w:p w14:paraId="219C30C7">
      <w:pPr>
        <w:numPr>
          <w:ilvl w:val="0"/>
          <w:numId w:val="1"/>
        </w:numPr>
        <w:tabs>
          <w:tab w:val="left" w:pos="1260"/>
        </w:tabs>
        <w:spacing w:line="560" w:lineRule="exact"/>
        <w:ind w:left="540"/>
        <w:rPr>
          <w:rFonts w:ascii="仿宋_GB2312" w:hAnsi="黑体" w:eastAsia="仿宋_GB2312"/>
          <w:sz w:val="32"/>
          <w:szCs w:val="32"/>
        </w:rPr>
      </w:pPr>
      <w:r>
        <w:rPr>
          <w:rFonts w:hint="eastAsia" w:ascii="仿宋_GB2312" w:hAnsi="黑体" w:eastAsia="仿宋_GB2312"/>
          <w:sz w:val="32"/>
          <w:szCs w:val="32"/>
        </w:rPr>
        <w:t>支出经济分类预算表（部门预算）</w:t>
      </w:r>
    </w:p>
    <w:p w14:paraId="5CED80DD">
      <w:pPr>
        <w:numPr>
          <w:ilvl w:val="0"/>
          <w:numId w:val="1"/>
        </w:numPr>
        <w:tabs>
          <w:tab w:val="left" w:pos="1260"/>
        </w:tabs>
        <w:spacing w:line="560" w:lineRule="exact"/>
        <w:ind w:left="540"/>
        <w:rPr>
          <w:rFonts w:ascii="仿宋_GB2312" w:hAnsi="黑体" w:eastAsia="仿宋_GB2312"/>
          <w:sz w:val="32"/>
          <w:szCs w:val="32"/>
        </w:rPr>
      </w:pPr>
      <w:r>
        <w:rPr>
          <w:rFonts w:hint="eastAsia" w:ascii="仿宋_GB2312" w:hAnsi="黑体" w:eastAsia="仿宋_GB2312"/>
          <w:sz w:val="32"/>
          <w:szCs w:val="32"/>
        </w:rPr>
        <w:t>债务支出预算表</w:t>
      </w:r>
    </w:p>
    <w:p w14:paraId="77F37B6B">
      <w:pPr>
        <w:numPr>
          <w:ilvl w:val="0"/>
          <w:numId w:val="1"/>
        </w:numPr>
        <w:tabs>
          <w:tab w:val="left" w:pos="1260"/>
        </w:tabs>
        <w:spacing w:line="560" w:lineRule="exact"/>
        <w:ind w:left="540"/>
        <w:rPr>
          <w:rFonts w:ascii="仿宋_GB2312" w:hAnsi="黑体" w:eastAsia="仿宋_GB2312"/>
          <w:sz w:val="32"/>
          <w:szCs w:val="32"/>
        </w:rPr>
      </w:pPr>
      <w:r>
        <w:rPr>
          <w:rFonts w:hint="eastAsia" w:ascii="仿宋_GB2312" w:hAnsi="黑体" w:eastAsia="仿宋_GB2312"/>
          <w:sz w:val="32"/>
          <w:szCs w:val="32"/>
        </w:rPr>
        <w:t>政府采购支出预算表</w:t>
      </w:r>
    </w:p>
    <w:p w14:paraId="7068258D">
      <w:pPr>
        <w:numPr>
          <w:ilvl w:val="0"/>
          <w:numId w:val="1"/>
        </w:numPr>
        <w:tabs>
          <w:tab w:val="left" w:pos="1260"/>
        </w:tabs>
        <w:spacing w:line="560" w:lineRule="exact"/>
        <w:ind w:left="540"/>
        <w:rPr>
          <w:rFonts w:ascii="仿宋_GB2312" w:hAnsi="黑体" w:eastAsia="仿宋_GB2312"/>
          <w:sz w:val="32"/>
          <w:szCs w:val="32"/>
        </w:rPr>
      </w:pPr>
      <w:r>
        <w:rPr>
          <w:rFonts w:hint="eastAsia" w:ascii="仿宋_GB2312" w:hAnsi="黑体" w:eastAsia="仿宋_GB2312"/>
          <w:sz w:val="32"/>
          <w:szCs w:val="32"/>
        </w:rPr>
        <w:t>政府购买服务支出预算表</w:t>
      </w:r>
    </w:p>
    <w:p w14:paraId="13DA564A">
      <w:pPr>
        <w:numPr>
          <w:ilvl w:val="0"/>
          <w:numId w:val="1"/>
        </w:numPr>
        <w:tabs>
          <w:tab w:val="left" w:pos="1260"/>
        </w:tabs>
        <w:spacing w:line="560" w:lineRule="exact"/>
        <w:ind w:left="540"/>
        <w:rPr>
          <w:rFonts w:ascii="仿宋_GB2312" w:hAnsi="黑体" w:eastAsia="仿宋_GB2312"/>
          <w:sz w:val="32"/>
          <w:szCs w:val="32"/>
        </w:rPr>
      </w:pPr>
      <w:r>
        <w:rPr>
          <w:rFonts w:hint="eastAsia" w:ascii="仿宋_GB2312" w:hAnsi="黑体" w:eastAsia="仿宋_GB2312"/>
          <w:sz w:val="32"/>
          <w:szCs w:val="32"/>
        </w:rPr>
        <w:t>部门（单位）整体绩效目标表</w:t>
      </w:r>
    </w:p>
    <w:p w14:paraId="5EA45948">
      <w:pPr>
        <w:numPr>
          <w:ilvl w:val="0"/>
          <w:numId w:val="1"/>
        </w:numPr>
        <w:tabs>
          <w:tab w:val="left" w:pos="1260"/>
        </w:tabs>
        <w:spacing w:line="560" w:lineRule="exact"/>
        <w:ind w:left="540"/>
        <w:rPr>
          <w:rFonts w:ascii="仿宋_GB2312" w:hAnsi="黑体" w:eastAsia="仿宋_GB2312"/>
          <w:sz w:val="32"/>
          <w:szCs w:val="32"/>
        </w:rPr>
      </w:pPr>
      <w:r>
        <w:rPr>
          <w:rFonts w:hint="eastAsia" w:ascii="仿宋_GB2312" w:hAnsi="黑体" w:eastAsia="仿宋_GB2312"/>
          <w:sz w:val="32"/>
          <w:szCs w:val="32"/>
        </w:rPr>
        <w:t>部门预算项目（政策）绩效目标表</w:t>
      </w:r>
    </w:p>
    <w:p w14:paraId="70DEB789">
      <w:pPr>
        <w:numPr>
          <w:ilvl w:val="0"/>
          <w:numId w:val="1"/>
        </w:numPr>
        <w:tabs>
          <w:tab w:val="left" w:pos="1260"/>
        </w:tabs>
        <w:spacing w:line="560" w:lineRule="exact"/>
        <w:ind w:left="540"/>
        <w:rPr>
          <w:rFonts w:ascii="仿宋_GB2312" w:hAnsi="黑体" w:eastAsia="仿宋_GB2312"/>
          <w:sz w:val="32"/>
          <w:szCs w:val="32"/>
        </w:rPr>
      </w:pPr>
      <w:r>
        <w:rPr>
          <w:rFonts w:hint="eastAsia" w:ascii="仿宋_GB2312" w:hAnsi="黑体" w:eastAsia="仿宋_GB2312"/>
          <w:sz w:val="32"/>
          <w:szCs w:val="32"/>
        </w:rPr>
        <w:t>部门管理专项资金预算表</w:t>
      </w:r>
    </w:p>
    <w:p w14:paraId="33F8AD12">
      <w:pPr>
        <w:spacing w:line="560" w:lineRule="exact"/>
        <w:rPr>
          <w:rFonts w:ascii="黑体" w:hAnsi="黑体" w:eastAsia="黑体"/>
          <w:sz w:val="32"/>
          <w:szCs w:val="32"/>
        </w:rPr>
      </w:pPr>
      <w:r>
        <w:rPr>
          <w:rFonts w:hint="eastAsia" w:ascii="黑体" w:hAnsi="黑体" w:eastAsia="黑体"/>
          <w:sz w:val="32"/>
          <w:szCs w:val="32"/>
        </w:rPr>
        <w:t>　</w:t>
      </w:r>
    </w:p>
    <w:p w14:paraId="0C9A0657">
      <w:pPr>
        <w:spacing w:line="560" w:lineRule="exact"/>
        <w:rPr>
          <w:rFonts w:ascii="黑体" w:hAnsi="黑体" w:eastAsia="黑体"/>
          <w:sz w:val="32"/>
          <w:szCs w:val="32"/>
        </w:rPr>
      </w:pPr>
    </w:p>
    <w:p w14:paraId="45CBD093">
      <w:pPr>
        <w:spacing w:line="560" w:lineRule="exact"/>
        <w:rPr>
          <w:rFonts w:ascii="黑体" w:hAnsi="黑体" w:eastAsia="黑体"/>
          <w:sz w:val="32"/>
          <w:szCs w:val="32"/>
        </w:rPr>
      </w:pPr>
    </w:p>
    <w:p w14:paraId="317649D8">
      <w:pPr>
        <w:spacing w:line="560" w:lineRule="exact"/>
        <w:rPr>
          <w:rFonts w:ascii="宋体" w:hAnsi="宋体"/>
          <w:b/>
          <w:sz w:val="36"/>
          <w:szCs w:val="36"/>
        </w:rPr>
      </w:pPr>
    </w:p>
    <w:p w14:paraId="7521D8A0">
      <w:pPr>
        <w:spacing w:line="560" w:lineRule="exact"/>
        <w:rPr>
          <w:rFonts w:ascii="宋体" w:hAnsi="宋体"/>
          <w:b/>
          <w:sz w:val="36"/>
          <w:szCs w:val="36"/>
        </w:rPr>
      </w:pPr>
    </w:p>
    <w:p w14:paraId="6D5FF1BB">
      <w:pPr>
        <w:spacing w:line="560" w:lineRule="exact"/>
        <w:jc w:val="center"/>
        <w:rPr>
          <w:rFonts w:ascii="宋体" w:hAnsi="宋体"/>
          <w:b/>
          <w:sz w:val="36"/>
          <w:szCs w:val="36"/>
        </w:rPr>
      </w:pPr>
    </w:p>
    <w:p w14:paraId="49157A22">
      <w:pPr>
        <w:spacing w:line="560" w:lineRule="exact"/>
        <w:jc w:val="center"/>
        <w:rPr>
          <w:rFonts w:ascii="宋体" w:hAnsi="宋体"/>
          <w:b/>
          <w:sz w:val="36"/>
          <w:szCs w:val="36"/>
        </w:rPr>
      </w:pPr>
    </w:p>
    <w:p w14:paraId="157F8AEF">
      <w:pPr>
        <w:spacing w:line="560" w:lineRule="exact"/>
        <w:jc w:val="center"/>
        <w:rPr>
          <w:rFonts w:ascii="宋体" w:hAnsi="宋体"/>
          <w:b/>
          <w:sz w:val="36"/>
          <w:szCs w:val="36"/>
        </w:rPr>
      </w:pPr>
    </w:p>
    <w:p w14:paraId="30D4CCA1">
      <w:pPr>
        <w:spacing w:line="560" w:lineRule="exact"/>
        <w:jc w:val="center"/>
        <w:rPr>
          <w:rFonts w:ascii="宋体" w:hAnsi="宋体"/>
          <w:b/>
          <w:sz w:val="36"/>
          <w:szCs w:val="36"/>
        </w:rPr>
      </w:pPr>
    </w:p>
    <w:p w14:paraId="74D9D3E2">
      <w:pPr>
        <w:spacing w:line="560" w:lineRule="exact"/>
        <w:jc w:val="center"/>
        <w:rPr>
          <w:rFonts w:ascii="宋体" w:hAnsi="宋体"/>
          <w:b/>
          <w:sz w:val="36"/>
          <w:szCs w:val="36"/>
        </w:rPr>
      </w:pPr>
    </w:p>
    <w:p w14:paraId="58A5ADDC">
      <w:pPr>
        <w:spacing w:line="560" w:lineRule="exact"/>
        <w:jc w:val="center"/>
        <w:rPr>
          <w:rFonts w:ascii="宋体" w:hAnsi="宋体"/>
          <w:b/>
          <w:sz w:val="36"/>
          <w:szCs w:val="36"/>
        </w:rPr>
      </w:pPr>
    </w:p>
    <w:p w14:paraId="636A82C4">
      <w:pPr>
        <w:spacing w:line="560" w:lineRule="exact"/>
        <w:jc w:val="center"/>
        <w:rPr>
          <w:rFonts w:ascii="宋体" w:hAnsi="宋体"/>
          <w:b/>
          <w:sz w:val="36"/>
          <w:szCs w:val="36"/>
        </w:rPr>
      </w:pPr>
    </w:p>
    <w:p w14:paraId="7E75AB57">
      <w:pPr>
        <w:spacing w:line="560" w:lineRule="exact"/>
        <w:jc w:val="center"/>
        <w:rPr>
          <w:rFonts w:ascii="宋体" w:hAnsi="宋体"/>
          <w:b/>
          <w:sz w:val="36"/>
          <w:szCs w:val="36"/>
        </w:rPr>
      </w:pPr>
    </w:p>
    <w:p w14:paraId="18BE23A0">
      <w:pPr>
        <w:spacing w:line="560" w:lineRule="exact"/>
        <w:jc w:val="center"/>
        <w:rPr>
          <w:rFonts w:ascii="宋体" w:hAnsi="宋体"/>
          <w:b/>
          <w:sz w:val="36"/>
          <w:szCs w:val="36"/>
        </w:rPr>
      </w:pPr>
    </w:p>
    <w:p w14:paraId="37097355">
      <w:pPr>
        <w:spacing w:line="560" w:lineRule="exact"/>
        <w:jc w:val="center"/>
        <w:rPr>
          <w:rFonts w:ascii="宋体" w:hAnsi="宋体"/>
          <w:b/>
          <w:sz w:val="36"/>
          <w:szCs w:val="36"/>
        </w:rPr>
      </w:pPr>
    </w:p>
    <w:p w14:paraId="22E83F88">
      <w:pPr>
        <w:spacing w:line="560" w:lineRule="exact"/>
        <w:jc w:val="center"/>
        <w:rPr>
          <w:rFonts w:ascii="宋体" w:hAnsi="宋体"/>
          <w:b/>
          <w:sz w:val="36"/>
          <w:szCs w:val="36"/>
        </w:rPr>
      </w:pPr>
    </w:p>
    <w:p w14:paraId="68A1737A">
      <w:pPr>
        <w:spacing w:line="560" w:lineRule="exact"/>
        <w:jc w:val="center"/>
        <w:rPr>
          <w:rFonts w:ascii="宋体" w:hAnsi="宋体"/>
          <w:b/>
          <w:sz w:val="36"/>
          <w:szCs w:val="36"/>
        </w:rPr>
      </w:pPr>
    </w:p>
    <w:p w14:paraId="0F334E37">
      <w:pPr>
        <w:spacing w:line="560" w:lineRule="exact"/>
        <w:jc w:val="center"/>
        <w:rPr>
          <w:rFonts w:ascii="宋体" w:hAnsi="宋体"/>
          <w:b/>
          <w:sz w:val="36"/>
          <w:szCs w:val="36"/>
        </w:rPr>
      </w:pPr>
    </w:p>
    <w:p w14:paraId="5329A30B">
      <w:pPr>
        <w:spacing w:line="560" w:lineRule="exact"/>
        <w:jc w:val="center"/>
        <w:rPr>
          <w:rFonts w:ascii="宋体" w:hAnsi="宋体"/>
          <w:b/>
          <w:sz w:val="36"/>
          <w:szCs w:val="36"/>
        </w:rPr>
      </w:pPr>
    </w:p>
    <w:p w14:paraId="7B0E964F">
      <w:pPr>
        <w:pStyle w:val="2"/>
      </w:pPr>
    </w:p>
    <w:p w14:paraId="7ECFB5A4">
      <w:pPr>
        <w:spacing w:line="560" w:lineRule="exact"/>
        <w:jc w:val="center"/>
        <w:rPr>
          <w:rFonts w:ascii="宋体" w:hAnsi="宋体"/>
          <w:b/>
          <w:sz w:val="36"/>
          <w:szCs w:val="36"/>
        </w:rPr>
      </w:pPr>
      <w:r>
        <w:rPr>
          <w:rFonts w:hint="eastAsia" w:ascii="宋体" w:hAnsi="宋体"/>
          <w:b/>
          <w:sz w:val="36"/>
          <w:szCs w:val="36"/>
        </w:rPr>
        <w:t>第一部分　　部门预算公开管理文件</w:t>
      </w:r>
    </w:p>
    <w:p w14:paraId="2573E97A">
      <w:pPr>
        <w:spacing w:line="560" w:lineRule="exact"/>
        <w:jc w:val="center"/>
        <w:rPr>
          <w:rFonts w:ascii="宋体" w:hAnsi="宋体"/>
          <w:b/>
          <w:sz w:val="36"/>
          <w:szCs w:val="36"/>
        </w:rPr>
      </w:pPr>
    </w:p>
    <w:p w14:paraId="0ABC778B">
      <w:pPr>
        <w:spacing w:line="560" w:lineRule="exact"/>
        <w:ind w:firstLine="646" w:firstLineChars="200"/>
        <w:jc w:val="left"/>
        <w:rPr>
          <w:rFonts w:hint="eastAsia" w:ascii="仿宋_GB2312" w:hAnsi="仿宋_GB2312" w:eastAsia="仿宋_GB2312" w:cs="仿宋_GB2312"/>
          <w:b w:val="0"/>
          <w:bCs/>
          <w:sz w:val="32"/>
          <w:szCs w:val="32"/>
          <w:lang w:val="en-US" w:eastAsia="zh-CN"/>
        </w:rPr>
      </w:pPr>
      <w:r>
        <w:rPr>
          <w:rFonts w:hint="eastAsia" w:ascii="仿宋_GB2312" w:hAnsi="仿宋_GB2312" w:eastAsia="仿宋_GB2312" w:cs="仿宋_GB2312"/>
          <w:b w:val="0"/>
          <w:bCs/>
          <w:sz w:val="32"/>
          <w:szCs w:val="32"/>
          <w:lang w:val="en-US" w:eastAsia="zh-CN"/>
        </w:rPr>
        <w:t>1.《关于切实做好2025年市县预算公开工作的通知》（辽财预</w:t>
      </w:r>
      <w:r>
        <w:rPr>
          <w:rFonts w:hint="eastAsia" w:ascii="仿宋_GB2312" w:hAnsi="仿宋_GB2312" w:eastAsia="仿宋_GB2312" w:cs="仿宋_GB2312"/>
          <w:b w:val="0"/>
          <w:bCs/>
          <w:sz w:val="32"/>
          <w:szCs w:val="32"/>
        </w:rPr>
        <w:t>〔202</w:t>
      </w:r>
      <w:r>
        <w:rPr>
          <w:rFonts w:hint="eastAsia" w:ascii="仿宋_GB2312" w:hAnsi="仿宋_GB2312" w:eastAsia="仿宋_GB2312" w:cs="仿宋_GB2312"/>
          <w:b w:val="0"/>
          <w:bCs/>
          <w:sz w:val="32"/>
          <w:szCs w:val="32"/>
          <w:lang w:val="en-US" w:eastAsia="zh-CN"/>
        </w:rPr>
        <w:t>5</w:t>
      </w:r>
      <w:r>
        <w:rPr>
          <w:rFonts w:hint="eastAsia" w:ascii="仿宋_GB2312" w:hAnsi="仿宋_GB2312" w:eastAsia="仿宋_GB2312" w:cs="仿宋_GB2312"/>
          <w:b w:val="0"/>
          <w:bCs/>
          <w:sz w:val="32"/>
          <w:szCs w:val="32"/>
        </w:rPr>
        <w:t>〕</w:t>
      </w:r>
      <w:r>
        <w:rPr>
          <w:rFonts w:hint="eastAsia" w:ascii="仿宋_GB2312" w:hAnsi="仿宋_GB2312" w:eastAsia="仿宋_GB2312" w:cs="仿宋_GB2312"/>
          <w:b w:val="0"/>
          <w:bCs/>
          <w:sz w:val="32"/>
          <w:szCs w:val="32"/>
          <w:lang w:val="en-US" w:eastAsia="zh-CN"/>
        </w:rPr>
        <w:t>1号）</w:t>
      </w:r>
    </w:p>
    <w:p w14:paraId="02C219DE">
      <w:pPr>
        <w:ind w:firstLine="645"/>
        <w:jc w:val="left"/>
        <w:rPr>
          <w:rFonts w:hint="eastAsia" w:ascii="仿宋_GB2312" w:hAnsi="仿宋_GB2312" w:eastAsia="仿宋_GB2312" w:cs="仿宋_GB2312"/>
          <w:b w:val="0"/>
          <w:bCs/>
          <w:sz w:val="32"/>
          <w:szCs w:val="32"/>
          <w:lang w:eastAsia="zh-CN"/>
        </w:rPr>
      </w:pPr>
      <w:r>
        <w:rPr>
          <w:rFonts w:hint="eastAsia" w:ascii="仿宋_GB2312" w:hAnsi="仿宋_GB2312" w:eastAsia="仿宋_GB2312" w:cs="仿宋_GB2312"/>
          <w:b w:val="0"/>
          <w:bCs/>
          <w:sz w:val="32"/>
          <w:szCs w:val="32"/>
          <w:lang w:val="en-US" w:eastAsia="zh-CN"/>
        </w:rPr>
        <w:t>2.《</w:t>
      </w:r>
      <w:r>
        <w:rPr>
          <w:rFonts w:hint="eastAsia" w:ascii="仿宋_GB2312" w:hAnsi="仿宋_GB2312" w:eastAsia="仿宋_GB2312" w:cs="仿宋_GB2312"/>
          <w:b w:val="0"/>
          <w:bCs/>
          <w:sz w:val="32"/>
          <w:szCs w:val="32"/>
        </w:rPr>
        <w:t>关于印发</w:t>
      </w:r>
      <w:r>
        <w:rPr>
          <w:rFonts w:hint="eastAsia" w:ascii="仿宋_GB2312" w:hAnsi="仿宋_GB2312" w:eastAsia="仿宋_GB2312" w:cs="仿宋_GB2312"/>
          <w:b w:val="0"/>
          <w:bCs/>
          <w:sz w:val="32"/>
          <w:szCs w:val="32"/>
          <w:lang w:eastAsia="zh-CN"/>
        </w:rPr>
        <w:t>盘锦市</w:t>
      </w:r>
      <w:r>
        <w:rPr>
          <w:rFonts w:hint="eastAsia" w:ascii="仿宋_GB2312" w:hAnsi="仿宋_GB2312" w:eastAsia="仿宋_GB2312" w:cs="仿宋_GB2312"/>
          <w:b w:val="0"/>
          <w:bCs/>
          <w:sz w:val="32"/>
          <w:szCs w:val="32"/>
        </w:rPr>
        <w:t>财政预决算</w:t>
      </w:r>
      <w:r>
        <w:rPr>
          <w:rFonts w:hint="eastAsia" w:ascii="仿宋_GB2312" w:hAnsi="仿宋_GB2312" w:eastAsia="仿宋_GB2312" w:cs="仿宋_GB2312"/>
          <w:b w:val="0"/>
          <w:bCs/>
          <w:sz w:val="32"/>
          <w:szCs w:val="32"/>
          <w:lang w:eastAsia="zh-CN"/>
        </w:rPr>
        <w:t>领域基层政务公开标准指引的通知》</w:t>
      </w:r>
      <w:r>
        <w:rPr>
          <w:rFonts w:hint="eastAsia" w:ascii="仿宋_GB2312" w:hAnsi="仿宋_GB2312" w:eastAsia="仿宋_GB2312" w:cs="仿宋_GB2312"/>
          <w:b w:val="0"/>
          <w:bCs/>
          <w:sz w:val="32"/>
          <w:szCs w:val="32"/>
        </w:rPr>
        <w:t>(</w:t>
      </w:r>
      <w:r>
        <w:rPr>
          <w:rFonts w:hint="eastAsia" w:ascii="仿宋_GB2312" w:hAnsi="仿宋_GB2312" w:eastAsia="仿宋_GB2312" w:cs="仿宋_GB2312"/>
          <w:b w:val="0"/>
          <w:bCs/>
          <w:sz w:val="32"/>
          <w:szCs w:val="32"/>
          <w:lang w:eastAsia="zh-CN"/>
        </w:rPr>
        <w:t>盘</w:t>
      </w:r>
      <w:r>
        <w:rPr>
          <w:rFonts w:hint="eastAsia" w:ascii="仿宋_GB2312" w:hAnsi="仿宋_GB2312" w:eastAsia="仿宋_GB2312" w:cs="仿宋_GB2312"/>
          <w:b w:val="0"/>
          <w:bCs/>
          <w:sz w:val="32"/>
          <w:szCs w:val="32"/>
        </w:rPr>
        <w:t>财</w:t>
      </w:r>
      <w:r>
        <w:rPr>
          <w:rFonts w:hint="eastAsia" w:ascii="仿宋_GB2312" w:hAnsi="仿宋_GB2312" w:eastAsia="仿宋_GB2312" w:cs="仿宋_GB2312"/>
          <w:b w:val="0"/>
          <w:bCs/>
          <w:sz w:val="32"/>
          <w:szCs w:val="32"/>
          <w:lang w:eastAsia="zh-CN"/>
        </w:rPr>
        <w:t>预</w:t>
      </w:r>
      <w:r>
        <w:rPr>
          <w:rFonts w:hint="eastAsia" w:ascii="仿宋_GB2312" w:hAnsi="仿宋_GB2312" w:eastAsia="仿宋_GB2312" w:cs="仿宋_GB2312"/>
          <w:b w:val="0"/>
          <w:bCs/>
          <w:sz w:val="32"/>
          <w:szCs w:val="32"/>
        </w:rPr>
        <w:t>〔202</w:t>
      </w:r>
      <w:r>
        <w:rPr>
          <w:rFonts w:hint="eastAsia" w:ascii="仿宋_GB2312" w:hAnsi="仿宋_GB2312" w:eastAsia="仿宋_GB2312" w:cs="仿宋_GB2312"/>
          <w:b w:val="0"/>
          <w:bCs/>
          <w:sz w:val="32"/>
          <w:szCs w:val="32"/>
          <w:lang w:val="en-US" w:eastAsia="zh-CN"/>
        </w:rPr>
        <w:t>1</w:t>
      </w:r>
      <w:r>
        <w:rPr>
          <w:rFonts w:hint="eastAsia" w:ascii="仿宋_GB2312" w:hAnsi="仿宋_GB2312" w:eastAsia="仿宋_GB2312" w:cs="仿宋_GB2312"/>
          <w:b w:val="0"/>
          <w:bCs/>
          <w:sz w:val="32"/>
          <w:szCs w:val="32"/>
        </w:rPr>
        <w:t>〕</w:t>
      </w:r>
      <w:r>
        <w:rPr>
          <w:rFonts w:hint="eastAsia" w:ascii="仿宋_GB2312" w:hAnsi="仿宋_GB2312" w:eastAsia="仿宋_GB2312" w:cs="仿宋_GB2312"/>
          <w:b w:val="0"/>
          <w:bCs/>
          <w:sz w:val="32"/>
          <w:szCs w:val="32"/>
          <w:lang w:val="en-US" w:eastAsia="zh-CN"/>
        </w:rPr>
        <w:t>253</w:t>
      </w:r>
      <w:r>
        <w:rPr>
          <w:rFonts w:hint="eastAsia" w:ascii="仿宋_GB2312" w:hAnsi="仿宋_GB2312" w:eastAsia="仿宋_GB2312" w:cs="仿宋_GB2312"/>
          <w:b w:val="0"/>
          <w:bCs/>
          <w:sz w:val="32"/>
          <w:szCs w:val="32"/>
        </w:rPr>
        <w:t>号)</w:t>
      </w:r>
    </w:p>
    <w:p w14:paraId="28E8C6F5">
      <w:pPr>
        <w:spacing w:line="560" w:lineRule="exact"/>
        <w:rPr>
          <w:rFonts w:ascii="宋体" w:hAnsi="宋体"/>
          <w:b/>
          <w:sz w:val="36"/>
          <w:szCs w:val="36"/>
        </w:rPr>
      </w:pPr>
    </w:p>
    <w:p w14:paraId="352C4FFB">
      <w:pPr>
        <w:spacing w:line="560" w:lineRule="exact"/>
        <w:rPr>
          <w:rFonts w:ascii="宋体" w:hAnsi="宋体"/>
          <w:b/>
          <w:sz w:val="36"/>
          <w:szCs w:val="36"/>
        </w:rPr>
      </w:pPr>
    </w:p>
    <w:p w14:paraId="59D542AA">
      <w:pPr>
        <w:spacing w:line="600" w:lineRule="exact"/>
        <w:ind w:firstLine="1089" w:firstLineChars="300"/>
        <w:jc w:val="both"/>
        <w:rPr>
          <w:rFonts w:hint="eastAsia" w:asciiTheme="minorEastAsia" w:hAnsiTheme="minorEastAsia" w:eastAsiaTheme="minorEastAsia" w:cstheme="minorEastAsia"/>
          <w:b/>
          <w:bCs w:val="0"/>
          <w:sz w:val="36"/>
          <w:szCs w:val="36"/>
        </w:rPr>
      </w:pPr>
      <w:r>
        <w:rPr>
          <w:rFonts w:hint="eastAsia" w:asciiTheme="minorEastAsia" w:hAnsiTheme="minorEastAsia" w:eastAsiaTheme="minorEastAsia" w:cstheme="minorEastAsia"/>
          <w:b/>
          <w:bCs w:val="0"/>
          <w:sz w:val="36"/>
          <w:szCs w:val="36"/>
          <w:lang w:val="en-US" w:eastAsia="zh-CN"/>
        </w:rPr>
        <w:t xml:space="preserve">第二部分 </w:t>
      </w:r>
      <w:r>
        <w:rPr>
          <w:rFonts w:hint="eastAsia" w:asciiTheme="minorEastAsia" w:hAnsiTheme="minorEastAsia" w:eastAsiaTheme="minorEastAsia" w:cstheme="minorEastAsia"/>
          <w:b/>
          <w:bCs w:val="0"/>
          <w:sz w:val="36"/>
          <w:szCs w:val="36"/>
        </w:rPr>
        <w:t>盘锦检验检测中心概况</w:t>
      </w:r>
    </w:p>
    <w:p w14:paraId="43B08CCC">
      <w:pPr>
        <w:spacing w:line="600" w:lineRule="exact"/>
        <w:ind w:firstLine="333" w:firstLineChars="100"/>
        <w:jc w:val="left"/>
        <w:rPr>
          <w:rFonts w:hint="eastAsia" w:ascii="方正小标宋_GBK" w:hAnsi="方正小标宋_GBK" w:eastAsia="方正小标宋_GBK" w:cs="方正小标宋_GBK"/>
          <w:bCs/>
          <w:sz w:val="44"/>
          <w:szCs w:val="44"/>
        </w:rPr>
      </w:pPr>
      <w:r>
        <w:rPr>
          <w:rFonts w:hint="eastAsia" w:ascii="仿宋_GB2312" w:hAnsi="仿宋_GB2312" w:eastAsia="仿宋_GB2312" w:cs="仿宋_GB2312"/>
          <w:snapToGrid w:val="0"/>
          <w:color w:val="000000"/>
          <w:spacing w:val="5"/>
          <w:kern w:val="0"/>
          <w:sz w:val="32"/>
          <w:szCs w:val="32"/>
        </w:rPr>
        <w:t>盘锦检验检测中心，为市政府直属公益性事业单位，机构规格为县处级。</w:t>
      </w:r>
    </w:p>
    <w:p w14:paraId="704876A7">
      <w:pPr>
        <w:numPr>
          <w:ilvl w:val="0"/>
          <w:numId w:val="2"/>
        </w:numPr>
        <w:spacing w:line="600" w:lineRule="exact"/>
        <w:jc w:val="left"/>
        <w:rPr>
          <w:rFonts w:ascii="仿宋_GB2312" w:hAnsi="仿宋" w:eastAsia="仿宋_GB2312"/>
          <w:sz w:val="32"/>
          <w:szCs w:val="32"/>
        </w:rPr>
      </w:pPr>
      <w:r>
        <w:rPr>
          <w:rFonts w:hint="eastAsia" w:ascii="黑体" w:eastAsia="黑体"/>
          <w:sz w:val="32"/>
          <w:szCs w:val="32"/>
          <w:lang w:val="en-US" w:eastAsia="zh-CN"/>
        </w:rPr>
        <w:t>部门</w:t>
      </w:r>
      <w:r>
        <w:rPr>
          <w:rFonts w:hint="eastAsia" w:ascii="黑体" w:eastAsia="黑体"/>
          <w:sz w:val="32"/>
          <w:szCs w:val="32"/>
        </w:rPr>
        <w:t>职责</w:t>
      </w:r>
    </w:p>
    <w:p w14:paraId="1FBB7D87">
      <w:pPr>
        <w:spacing w:line="540" w:lineRule="exact"/>
        <w:ind w:firstLine="666" w:firstLineChars="200"/>
        <w:jc w:val="left"/>
        <w:rPr>
          <w:rFonts w:hint="eastAsia" w:ascii="仿宋" w:hAnsi="仿宋" w:eastAsia="仿宋"/>
          <w:sz w:val="32"/>
          <w:szCs w:val="32"/>
        </w:rPr>
      </w:pPr>
      <w:r>
        <w:rPr>
          <w:rFonts w:hint="eastAsia" w:ascii="仿宋" w:hAnsi="仿宋" w:eastAsia="仿宋" w:cs="仿宋_GB2312"/>
          <w:snapToGrid w:val="0"/>
          <w:color w:val="000000"/>
          <w:spacing w:val="5"/>
          <w:kern w:val="0"/>
          <w:sz w:val="32"/>
          <w:szCs w:val="32"/>
        </w:rPr>
        <w:t>盘锦检验检测中心，为市政府直属公益性事业单位，机构规格为县处级。</w:t>
      </w:r>
      <w:r>
        <w:rPr>
          <w:rFonts w:hint="eastAsia" w:ascii="仿宋" w:hAnsi="仿宋" w:eastAsia="仿宋"/>
          <w:sz w:val="32"/>
          <w:szCs w:val="32"/>
        </w:rPr>
        <w:t>其主要职责如下：</w:t>
      </w:r>
    </w:p>
    <w:p w14:paraId="26421687">
      <w:pPr>
        <w:numPr>
          <w:ilvl w:val="0"/>
          <w:numId w:val="3"/>
        </w:numPr>
        <w:spacing w:line="600" w:lineRule="exact"/>
        <w:ind w:firstLine="666" w:firstLineChars="200"/>
        <w:rPr>
          <w:rFonts w:hint="eastAsia" w:ascii="仿宋" w:hAnsi="仿宋" w:eastAsia="仿宋" w:cs="仿宋_GB2312"/>
          <w:snapToGrid w:val="0"/>
          <w:color w:val="000000"/>
          <w:spacing w:val="5"/>
          <w:kern w:val="0"/>
          <w:sz w:val="32"/>
          <w:szCs w:val="32"/>
        </w:rPr>
      </w:pPr>
      <w:r>
        <w:rPr>
          <w:rFonts w:hint="eastAsia" w:ascii="仿宋" w:hAnsi="仿宋" w:eastAsia="仿宋" w:cs="仿宋_GB2312"/>
          <w:snapToGrid w:val="0"/>
          <w:color w:val="000000"/>
          <w:spacing w:val="5"/>
          <w:kern w:val="0"/>
          <w:sz w:val="32"/>
          <w:szCs w:val="32"/>
        </w:rPr>
        <w:t>承担生产加工、流通、餐饮服务等环节食品（含保健食品）的检验检测职责，完成市场监督、卫生计生等行政部门的指令性检验检测任务。</w:t>
      </w:r>
    </w:p>
    <w:p w14:paraId="317795A8">
      <w:pPr>
        <w:numPr>
          <w:ilvl w:val="0"/>
          <w:numId w:val="3"/>
        </w:numPr>
        <w:spacing w:line="600" w:lineRule="exact"/>
        <w:ind w:left="0" w:leftChars="0" w:firstLine="666" w:firstLineChars="200"/>
        <w:rPr>
          <w:rFonts w:hint="eastAsia" w:ascii="仿宋" w:hAnsi="仿宋" w:eastAsia="仿宋" w:cs="仿宋_GB2312"/>
          <w:snapToGrid w:val="0"/>
          <w:color w:val="000000"/>
          <w:spacing w:val="5"/>
          <w:kern w:val="0"/>
          <w:sz w:val="32"/>
          <w:szCs w:val="32"/>
        </w:rPr>
      </w:pPr>
      <w:r>
        <w:rPr>
          <w:rFonts w:hint="eastAsia" w:ascii="仿宋" w:hAnsi="仿宋" w:eastAsia="仿宋" w:cs="仿宋_GB2312"/>
          <w:snapToGrid w:val="0"/>
          <w:color w:val="000000"/>
          <w:spacing w:val="5"/>
          <w:kern w:val="0"/>
          <w:sz w:val="32"/>
          <w:szCs w:val="32"/>
        </w:rPr>
        <w:t>承担农产品、畜产品、兽药饲料、水产品、渔药及渔用饲料检验检测职责，完成农产品质量监督</w:t>
      </w:r>
      <w:r>
        <w:rPr>
          <w:rFonts w:hint="eastAsia" w:ascii="仿宋" w:hAnsi="仿宋" w:eastAsia="仿宋" w:cs="仿宋_GB2312"/>
          <w:snapToGrid w:val="0"/>
          <w:color w:val="000000"/>
          <w:spacing w:val="5"/>
          <w:kern w:val="0"/>
          <w:sz w:val="32"/>
          <w:szCs w:val="32"/>
          <w:lang w:eastAsia="zh-CN"/>
        </w:rPr>
        <w:t>、</w:t>
      </w:r>
      <w:r>
        <w:rPr>
          <w:rFonts w:hint="eastAsia" w:ascii="仿宋" w:hAnsi="仿宋" w:eastAsia="仿宋" w:cs="仿宋_GB2312"/>
          <w:snapToGrid w:val="0"/>
          <w:color w:val="000000"/>
          <w:spacing w:val="5"/>
          <w:kern w:val="0"/>
          <w:sz w:val="32"/>
          <w:szCs w:val="32"/>
        </w:rPr>
        <w:t>动物监督、畜产品安全执法、海洋渔业质量监督等部门的指令性检验检测任务。</w:t>
      </w:r>
    </w:p>
    <w:p w14:paraId="2C01ABD4">
      <w:pPr>
        <w:numPr>
          <w:ilvl w:val="0"/>
          <w:numId w:val="3"/>
        </w:numPr>
        <w:spacing w:line="600" w:lineRule="exact"/>
        <w:ind w:left="0" w:leftChars="0" w:firstLine="666" w:firstLineChars="200"/>
        <w:rPr>
          <w:rFonts w:hint="eastAsia" w:ascii="仿宋" w:hAnsi="仿宋" w:eastAsia="仿宋" w:cs="仿宋_GB2312"/>
          <w:snapToGrid w:val="0"/>
          <w:color w:val="000000"/>
          <w:spacing w:val="5"/>
          <w:kern w:val="0"/>
          <w:sz w:val="32"/>
          <w:szCs w:val="32"/>
        </w:rPr>
      </w:pPr>
      <w:r>
        <w:rPr>
          <w:rFonts w:hint="eastAsia" w:ascii="仿宋" w:hAnsi="仿宋" w:eastAsia="仿宋" w:cs="仿宋_GB2312"/>
          <w:snapToGrid w:val="0"/>
          <w:color w:val="000000"/>
          <w:spacing w:val="5"/>
          <w:kern w:val="0"/>
          <w:sz w:val="32"/>
          <w:szCs w:val="32"/>
        </w:rPr>
        <w:t>承担药品、化妆品的检验检测职责，完成市场监督管理部门指令性检验检测任务。</w:t>
      </w:r>
    </w:p>
    <w:p w14:paraId="6F4E30E0">
      <w:pPr>
        <w:numPr>
          <w:ilvl w:val="0"/>
          <w:numId w:val="3"/>
        </w:numPr>
        <w:spacing w:line="600" w:lineRule="exact"/>
        <w:ind w:left="0" w:leftChars="0" w:firstLine="666" w:firstLineChars="200"/>
        <w:rPr>
          <w:rFonts w:hint="eastAsia" w:ascii="仿宋" w:hAnsi="仿宋" w:eastAsia="仿宋" w:cs="仿宋_GB2312"/>
          <w:snapToGrid w:val="0"/>
          <w:color w:val="000000"/>
          <w:spacing w:val="5"/>
          <w:kern w:val="0"/>
          <w:sz w:val="32"/>
          <w:szCs w:val="32"/>
        </w:rPr>
      </w:pPr>
      <w:r>
        <w:rPr>
          <w:rFonts w:hint="eastAsia" w:ascii="仿宋" w:hAnsi="仿宋" w:eastAsia="仿宋" w:cs="仿宋_GB2312"/>
          <w:snapToGrid w:val="0"/>
          <w:color w:val="000000"/>
          <w:spacing w:val="5"/>
          <w:kern w:val="0"/>
          <w:sz w:val="32"/>
          <w:szCs w:val="32"/>
        </w:rPr>
        <w:t>承担生活饮用水、职业放射卫生、环境卫生、学校卫生、消毒产品及消毒效果、医疗器械、人及动物疫病防控、卫生应急等公共领域的检验检测职责，完成水利、卫生计生、动物监督等行政部门的检验检测任务。</w:t>
      </w:r>
    </w:p>
    <w:p w14:paraId="55B4F303">
      <w:pPr>
        <w:numPr>
          <w:ilvl w:val="0"/>
          <w:numId w:val="3"/>
        </w:numPr>
        <w:spacing w:line="600" w:lineRule="exact"/>
        <w:ind w:left="0" w:leftChars="0" w:firstLine="666" w:firstLineChars="200"/>
        <w:rPr>
          <w:rFonts w:hint="eastAsia" w:ascii="仿宋" w:hAnsi="仿宋" w:eastAsia="仿宋" w:cs="仿宋_GB2312"/>
          <w:snapToGrid w:val="0"/>
          <w:color w:val="000000"/>
          <w:spacing w:val="5"/>
          <w:kern w:val="0"/>
          <w:sz w:val="32"/>
          <w:szCs w:val="32"/>
        </w:rPr>
      </w:pPr>
      <w:r>
        <w:rPr>
          <w:rFonts w:hint="eastAsia" w:ascii="仿宋" w:hAnsi="仿宋" w:eastAsia="仿宋" w:cs="仿宋_GB2312"/>
          <w:snapToGrid w:val="0"/>
          <w:color w:val="000000"/>
          <w:spacing w:val="5"/>
          <w:kern w:val="0"/>
          <w:sz w:val="32"/>
          <w:szCs w:val="32"/>
        </w:rPr>
        <w:t>负责全市从业人员、职业人员、驾驶人预防性健康体检，发现各类职业禁忌症。</w:t>
      </w:r>
    </w:p>
    <w:p w14:paraId="62758F4B">
      <w:pPr>
        <w:numPr>
          <w:ilvl w:val="0"/>
          <w:numId w:val="3"/>
        </w:numPr>
        <w:spacing w:line="600" w:lineRule="exact"/>
        <w:ind w:left="0" w:leftChars="0" w:firstLine="666" w:firstLineChars="200"/>
        <w:rPr>
          <w:rFonts w:hint="eastAsia" w:ascii="仿宋" w:hAnsi="仿宋" w:eastAsia="仿宋" w:cs="仿宋_GB2312"/>
          <w:snapToGrid w:val="0"/>
          <w:color w:val="000000"/>
          <w:spacing w:val="5"/>
          <w:kern w:val="0"/>
          <w:sz w:val="32"/>
          <w:szCs w:val="32"/>
        </w:rPr>
      </w:pPr>
      <w:r>
        <w:rPr>
          <w:rFonts w:hint="eastAsia" w:ascii="仿宋" w:hAnsi="仿宋" w:eastAsia="仿宋" w:cs="仿宋_GB2312"/>
          <w:snapToGrid w:val="0"/>
          <w:color w:val="000000"/>
          <w:spacing w:val="5"/>
          <w:kern w:val="0"/>
          <w:sz w:val="32"/>
          <w:szCs w:val="32"/>
        </w:rPr>
        <w:t>开展食品、药品、化妆品、保健食品、农产品、水产品、畜产品、兽药饲料、渔药及渔用饲料，人及动物疫病防控、公共卫生等领域技术咨询服务、委托检验检测、科学研究及检验人员技术培训等工作。</w:t>
      </w:r>
    </w:p>
    <w:p w14:paraId="700875B3">
      <w:pPr>
        <w:spacing w:line="600" w:lineRule="exact"/>
        <w:ind w:firstLine="666" w:firstLineChars="200"/>
        <w:rPr>
          <w:rFonts w:ascii="仿宋" w:hAnsi="仿宋" w:eastAsia="仿宋" w:cs="仿宋_GB2312"/>
          <w:snapToGrid w:val="0"/>
          <w:color w:val="000000"/>
          <w:spacing w:val="5"/>
          <w:kern w:val="0"/>
          <w:sz w:val="32"/>
          <w:szCs w:val="32"/>
        </w:rPr>
      </w:pPr>
      <w:r>
        <w:rPr>
          <w:rFonts w:hint="eastAsia" w:ascii="仿宋" w:hAnsi="仿宋" w:eastAsia="仿宋" w:cs="仿宋_GB2312"/>
          <w:snapToGrid w:val="0"/>
          <w:color w:val="000000"/>
          <w:spacing w:val="5"/>
          <w:kern w:val="0"/>
          <w:sz w:val="32"/>
          <w:szCs w:val="32"/>
        </w:rPr>
        <w:t>（</w:t>
      </w:r>
      <w:r>
        <w:rPr>
          <w:rFonts w:hint="eastAsia" w:ascii="仿宋" w:hAnsi="仿宋" w:eastAsia="仿宋" w:cs="仿宋_GB2312"/>
          <w:snapToGrid w:val="0"/>
          <w:color w:val="000000"/>
          <w:spacing w:val="5"/>
          <w:kern w:val="0"/>
          <w:sz w:val="32"/>
          <w:szCs w:val="32"/>
          <w:lang w:val="en-US" w:eastAsia="zh-CN"/>
        </w:rPr>
        <w:t>七</w:t>
      </w:r>
      <w:r>
        <w:rPr>
          <w:rFonts w:hint="eastAsia" w:ascii="仿宋" w:hAnsi="仿宋" w:eastAsia="仿宋" w:cs="仿宋_GB2312"/>
          <w:snapToGrid w:val="0"/>
          <w:color w:val="000000"/>
          <w:spacing w:val="5"/>
          <w:kern w:val="0"/>
          <w:sz w:val="32"/>
          <w:szCs w:val="32"/>
        </w:rPr>
        <w:t>）负责本部门、本行业数据搜集、挖掘、整理、分析、研究、评估和预测上报工作；负责与市智慧城市运行管理中心（市大数据管理中心）建立数据对接等工作。</w:t>
      </w:r>
    </w:p>
    <w:p w14:paraId="37A0F279">
      <w:pPr>
        <w:spacing w:line="600" w:lineRule="exact"/>
        <w:ind w:firstLine="666" w:firstLineChars="200"/>
        <w:rPr>
          <w:rFonts w:hint="eastAsia" w:ascii="仿宋_GB2312" w:hAnsi="仿宋_GB2312" w:eastAsia="仿宋_GB2312" w:cs="仿宋_GB2312"/>
          <w:snapToGrid w:val="0"/>
          <w:color w:val="000000"/>
          <w:spacing w:val="5"/>
          <w:kern w:val="0"/>
          <w:sz w:val="32"/>
          <w:szCs w:val="32"/>
        </w:rPr>
      </w:pPr>
      <w:r>
        <w:rPr>
          <w:rFonts w:hint="eastAsia" w:ascii="仿宋" w:hAnsi="仿宋" w:eastAsia="仿宋" w:cs="仿宋_GB2312"/>
          <w:snapToGrid w:val="0"/>
          <w:color w:val="000000"/>
          <w:spacing w:val="5"/>
          <w:kern w:val="0"/>
          <w:sz w:val="32"/>
          <w:szCs w:val="32"/>
        </w:rPr>
        <w:t>（</w:t>
      </w:r>
      <w:r>
        <w:rPr>
          <w:rFonts w:hint="eastAsia" w:ascii="仿宋" w:hAnsi="仿宋" w:eastAsia="仿宋" w:cs="仿宋_GB2312"/>
          <w:snapToGrid w:val="0"/>
          <w:color w:val="000000"/>
          <w:spacing w:val="5"/>
          <w:kern w:val="0"/>
          <w:sz w:val="32"/>
          <w:szCs w:val="32"/>
          <w:lang w:val="en-US" w:eastAsia="zh-CN"/>
        </w:rPr>
        <w:t>八</w:t>
      </w:r>
      <w:r>
        <w:rPr>
          <w:rFonts w:hint="eastAsia" w:ascii="仿宋" w:hAnsi="仿宋" w:eastAsia="仿宋" w:cs="仿宋_GB2312"/>
          <w:snapToGrid w:val="0"/>
          <w:color w:val="000000"/>
          <w:spacing w:val="5"/>
          <w:kern w:val="0"/>
          <w:sz w:val="32"/>
          <w:szCs w:val="32"/>
        </w:rPr>
        <w:t>）承担市委、市政府交办的其他工作。</w:t>
      </w:r>
    </w:p>
    <w:p w14:paraId="4360CFEC">
      <w:pPr>
        <w:numPr>
          <w:ilvl w:val="0"/>
          <w:numId w:val="4"/>
        </w:numPr>
        <w:spacing w:line="540" w:lineRule="exact"/>
        <w:ind w:firstLine="646" w:firstLineChars="200"/>
        <w:jc w:val="left"/>
        <w:rPr>
          <w:rFonts w:ascii="黑体" w:eastAsia="黑体"/>
          <w:sz w:val="32"/>
          <w:szCs w:val="32"/>
        </w:rPr>
      </w:pPr>
      <w:r>
        <w:rPr>
          <w:rFonts w:ascii="黑体" w:eastAsia="黑体"/>
          <w:sz w:val="32"/>
          <w:szCs w:val="32"/>
        </w:rPr>
        <w:t>机构设置</w:t>
      </w:r>
    </w:p>
    <w:p w14:paraId="0FDBDA6B">
      <w:pPr>
        <w:spacing w:line="540" w:lineRule="exact"/>
        <w:jc w:val="left"/>
        <w:rPr>
          <w:rFonts w:hint="eastAsia" w:ascii="黑体" w:eastAsia="黑体"/>
          <w:sz w:val="32"/>
          <w:szCs w:val="32"/>
        </w:rPr>
      </w:pPr>
      <w:r>
        <w:rPr>
          <w:rFonts w:hint="eastAsia" w:ascii="黑体" w:eastAsia="黑体"/>
          <w:sz w:val="32"/>
          <w:szCs w:val="32"/>
        </w:rPr>
        <w:t xml:space="preserve">    </w:t>
      </w:r>
      <w:r>
        <w:rPr>
          <w:rFonts w:hint="eastAsia" w:ascii="仿宋" w:hAnsi="仿宋" w:eastAsia="仿宋"/>
          <w:sz w:val="32"/>
          <w:szCs w:val="32"/>
        </w:rPr>
        <w:t>根据本部门主要职责，内设机构如下：</w:t>
      </w:r>
    </w:p>
    <w:p w14:paraId="5A3A93C6">
      <w:pPr>
        <w:spacing w:line="600" w:lineRule="exact"/>
        <w:rPr>
          <w:rFonts w:ascii="楷体" w:hAnsi="楷体" w:eastAsia="楷体" w:cs="楷体"/>
          <w:snapToGrid w:val="0"/>
          <w:color w:val="000000"/>
          <w:spacing w:val="5"/>
          <w:kern w:val="0"/>
          <w:sz w:val="32"/>
          <w:szCs w:val="32"/>
        </w:rPr>
      </w:pPr>
    </w:p>
    <w:p w14:paraId="10A27DB9">
      <w:pPr>
        <w:spacing w:line="600" w:lineRule="exact"/>
        <w:ind w:firstLine="680"/>
        <w:rPr>
          <w:rFonts w:ascii="仿宋" w:hAnsi="仿宋" w:eastAsia="仿宋" w:cs="仿宋_GB2312"/>
          <w:snapToGrid w:val="0"/>
          <w:color w:val="000000"/>
          <w:spacing w:val="5"/>
          <w:kern w:val="0"/>
          <w:sz w:val="32"/>
          <w:szCs w:val="32"/>
        </w:rPr>
      </w:pPr>
      <w:r>
        <w:rPr>
          <w:rFonts w:hint="eastAsia" w:ascii="仿宋" w:hAnsi="仿宋" w:eastAsia="仿宋" w:cs="仿宋_GB2312"/>
          <w:snapToGrid w:val="0"/>
          <w:color w:val="000000"/>
          <w:spacing w:val="5"/>
          <w:kern w:val="0"/>
          <w:sz w:val="32"/>
          <w:szCs w:val="32"/>
        </w:rPr>
        <w:t>根据上述职责，盘锦检验检测中心设</w:t>
      </w:r>
      <w:r>
        <w:rPr>
          <w:rFonts w:hint="eastAsia" w:ascii="仿宋" w:hAnsi="仿宋" w:eastAsia="仿宋" w:cs="仿宋_GB2312"/>
          <w:snapToGrid w:val="0"/>
          <w:color w:val="000000"/>
          <w:spacing w:val="5"/>
          <w:kern w:val="0"/>
          <w:sz w:val="32"/>
          <w:szCs w:val="32"/>
          <w:lang w:val="en-US" w:eastAsia="zh-CN"/>
        </w:rPr>
        <w:t>4</w:t>
      </w:r>
      <w:r>
        <w:rPr>
          <w:rFonts w:hint="eastAsia" w:ascii="仿宋" w:hAnsi="仿宋" w:eastAsia="仿宋" w:cs="仿宋_GB2312"/>
          <w:snapToGrid w:val="0"/>
          <w:color w:val="000000"/>
          <w:spacing w:val="5"/>
          <w:kern w:val="0"/>
          <w:sz w:val="32"/>
          <w:szCs w:val="32"/>
        </w:rPr>
        <w:t>个内设机构（相当于正科级）：</w:t>
      </w:r>
    </w:p>
    <w:p w14:paraId="7EF38606">
      <w:pPr>
        <w:spacing w:line="600" w:lineRule="exact"/>
        <w:ind w:firstLine="680"/>
        <w:rPr>
          <w:rFonts w:ascii="仿宋" w:hAnsi="仿宋" w:eastAsia="仿宋" w:cs="仿宋_GB2312"/>
          <w:snapToGrid w:val="0"/>
          <w:color w:val="000000"/>
          <w:spacing w:val="5"/>
          <w:kern w:val="0"/>
          <w:sz w:val="32"/>
          <w:szCs w:val="32"/>
        </w:rPr>
      </w:pPr>
      <w:r>
        <w:rPr>
          <w:rFonts w:hint="eastAsia" w:ascii="仿宋" w:hAnsi="仿宋" w:eastAsia="仿宋" w:cs="仿宋_GB2312"/>
          <w:snapToGrid w:val="0"/>
          <w:color w:val="000000"/>
          <w:spacing w:val="5"/>
          <w:kern w:val="0"/>
          <w:sz w:val="32"/>
          <w:szCs w:val="32"/>
          <w:lang w:eastAsia="zh-CN"/>
        </w:rPr>
        <w:t>（</w:t>
      </w:r>
      <w:r>
        <w:rPr>
          <w:rFonts w:hint="eastAsia" w:ascii="仿宋" w:hAnsi="仿宋" w:eastAsia="仿宋" w:cs="仿宋_GB2312"/>
          <w:snapToGrid w:val="0"/>
          <w:color w:val="000000"/>
          <w:spacing w:val="5"/>
          <w:kern w:val="0"/>
          <w:sz w:val="32"/>
          <w:szCs w:val="32"/>
        </w:rPr>
        <w:t>1</w:t>
      </w:r>
      <w:r>
        <w:rPr>
          <w:rFonts w:hint="eastAsia" w:ascii="仿宋" w:hAnsi="仿宋" w:eastAsia="仿宋" w:cs="仿宋_GB2312"/>
          <w:snapToGrid w:val="0"/>
          <w:color w:val="000000"/>
          <w:spacing w:val="5"/>
          <w:kern w:val="0"/>
          <w:sz w:val="32"/>
          <w:szCs w:val="32"/>
          <w:lang w:eastAsia="zh-CN"/>
        </w:rPr>
        <w:t>）</w:t>
      </w:r>
      <w:r>
        <w:rPr>
          <w:rFonts w:hint="eastAsia" w:ascii="仿宋" w:hAnsi="仿宋" w:eastAsia="仿宋" w:cs="仿宋_GB2312"/>
          <w:snapToGrid w:val="0"/>
          <w:color w:val="000000"/>
          <w:spacing w:val="5"/>
          <w:kern w:val="0"/>
          <w:sz w:val="32"/>
          <w:szCs w:val="32"/>
        </w:rPr>
        <w:t>综合管理科</w:t>
      </w:r>
    </w:p>
    <w:p w14:paraId="61035528">
      <w:pPr>
        <w:spacing w:line="600" w:lineRule="exact"/>
        <w:ind w:firstLine="680"/>
        <w:rPr>
          <w:rFonts w:ascii="仿宋" w:hAnsi="仿宋" w:eastAsia="仿宋" w:cs="仿宋_GB2312"/>
          <w:snapToGrid w:val="0"/>
          <w:color w:val="000000"/>
          <w:spacing w:val="5"/>
          <w:kern w:val="0"/>
          <w:sz w:val="32"/>
          <w:szCs w:val="32"/>
        </w:rPr>
      </w:pPr>
      <w:r>
        <w:rPr>
          <w:rFonts w:hint="eastAsia" w:ascii="仿宋" w:hAnsi="仿宋" w:eastAsia="仿宋" w:cs="仿宋_GB2312"/>
          <w:snapToGrid w:val="0"/>
          <w:color w:val="000000"/>
          <w:spacing w:val="5"/>
          <w:kern w:val="0"/>
          <w:sz w:val="32"/>
          <w:szCs w:val="32"/>
        </w:rPr>
        <w:t>负责党群和纪检工作；负责文电、会务、信息、财务、用品采购、设备维修、后勤保障、新闻宣传和健康教育等工作;负责各类突发应急处置的组织和调度工作;</w:t>
      </w:r>
      <w:bookmarkStart w:id="0" w:name="_Hlk521271243"/>
      <w:r>
        <w:rPr>
          <w:rFonts w:hint="eastAsia" w:ascii="仿宋" w:hAnsi="仿宋" w:eastAsia="仿宋" w:cs="仿宋_GB2312"/>
          <w:snapToGrid w:val="0"/>
          <w:color w:val="000000"/>
          <w:spacing w:val="5"/>
          <w:kern w:val="0"/>
          <w:sz w:val="32"/>
          <w:szCs w:val="32"/>
        </w:rPr>
        <w:t>负责机构编制、人事管理、离退休干部服务等工作。</w:t>
      </w:r>
    </w:p>
    <w:bookmarkEnd w:id="0"/>
    <w:p w14:paraId="4ACACE81">
      <w:pPr>
        <w:spacing w:line="600" w:lineRule="exact"/>
        <w:ind w:firstLine="680"/>
        <w:rPr>
          <w:rFonts w:ascii="仿宋" w:hAnsi="仿宋" w:eastAsia="仿宋" w:cs="仿宋_GB2312"/>
          <w:snapToGrid w:val="0"/>
          <w:color w:val="000000"/>
          <w:spacing w:val="5"/>
          <w:kern w:val="0"/>
          <w:sz w:val="32"/>
          <w:szCs w:val="32"/>
        </w:rPr>
      </w:pPr>
      <w:r>
        <w:rPr>
          <w:rFonts w:hint="eastAsia" w:ascii="仿宋" w:hAnsi="仿宋" w:eastAsia="仿宋" w:cs="仿宋_GB2312"/>
          <w:snapToGrid w:val="0"/>
          <w:color w:val="000000"/>
          <w:spacing w:val="5"/>
          <w:kern w:val="0"/>
          <w:sz w:val="32"/>
          <w:szCs w:val="32"/>
          <w:lang w:eastAsia="zh-CN"/>
        </w:rPr>
        <w:t>（</w:t>
      </w:r>
      <w:r>
        <w:rPr>
          <w:rFonts w:hint="eastAsia" w:ascii="仿宋" w:hAnsi="仿宋" w:eastAsia="仿宋" w:cs="仿宋_GB2312"/>
          <w:snapToGrid w:val="0"/>
          <w:color w:val="000000"/>
          <w:spacing w:val="5"/>
          <w:kern w:val="0"/>
          <w:sz w:val="32"/>
          <w:szCs w:val="32"/>
        </w:rPr>
        <w:t>2</w:t>
      </w:r>
      <w:r>
        <w:rPr>
          <w:rFonts w:hint="eastAsia" w:ascii="仿宋" w:hAnsi="仿宋" w:eastAsia="仿宋" w:cs="仿宋_GB2312"/>
          <w:snapToGrid w:val="0"/>
          <w:color w:val="000000"/>
          <w:spacing w:val="5"/>
          <w:kern w:val="0"/>
          <w:sz w:val="32"/>
          <w:szCs w:val="32"/>
          <w:lang w:eastAsia="zh-CN"/>
        </w:rPr>
        <w:t>）</w:t>
      </w:r>
      <w:r>
        <w:rPr>
          <w:rFonts w:hint="eastAsia" w:ascii="仿宋" w:hAnsi="仿宋" w:eastAsia="仿宋" w:cs="仿宋_GB2312"/>
          <w:snapToGrid w:val="0"/>
          <w:color w:val="000000"/>
          <w:spacing w:val="5"/>
          <w:kern w:val="0"/>
          <w:sz w:val="32"/>
          <w:szCs w:val="32"/>
        </w:rPr>
        <w:t>科研服务科</w:t>
      </w:r>
    </w:p>
    <w:p w14:paraId="29CE22B7">
      <w:pPr>
        <w:spacing w:line="600" w:lineRule="exact"/>
        <w:ind w:firstLine="680"/>
        <w:rPr>
          <w:rFonts w:ascii="仿宋" w:hAnsi="仿宋" w:eastAsia="仿宋" w:cs="仿宋_GB2312"/>
          <w:snapToGrid w:val="0"/>
          <w:color w:val="000000"/>
          <w:spacing w:val="5"/>
          <w:kern w:val="0"/>
          <w:sz w:val="32"/>
          <w:szCs w:val="32"/>
        </w:rPr>
      </w:pPr>
      <w:r>
        <w:rPr>
          <w:rFonts w:hint="eastAsia" w:ascii="仿宋" w:hAnsi="仿宋" w:eastAsia="仿宋" w:cs="仿宋_GB2312"/>
          <w:snapToGrid w:val="0"/>
          <w:color w:val="000000"/>
          <w:spacing w:val="5"/>
          <w:kern w:val="0"/>
          <w:sz w:val="32"/>
          <w:szCs w:val="32"/>
        </w:rPr>
        <w:t>负责与相关业务主管部门沟通,制定检验检测计划,完成各部门指令性检测任务;负责科研项目和科研专题的规划和实施工作;负责检验检测业务市场的开拓工作;负责与共建高校的科研合作工作;负责业务培训工作</w:t>
      </w:r>
    </w:p>
    <w:p w14:paraId="73F42EC9">
      <w:pPr>
        <w:spacing w:line="600" w:lineRule="exact"/>
        <w:ind w:firstLine="680"/>
        <w:rPr>
          <w:rFonts w:ascii="仿宋" w:hAnsi="仿宋" w:eastAsia="仿宋" w:cs="仿宋_GB2312"/>
          <w:snapToGrid w:val="0"/>
          <w:color w:val="000000"/>
          <w:spacing w:val="5"/>
          <w:kern w:val="0"/>
          <w:sz w:val="32"/>
          <w:szCs w:val="32"/>
        </w:rPr>
      </w:pPr>
      <w:r>
        <w:rPr>
          <w:rFonts w:hint="eastAsia" w:ascii="仿宋" w:hAnsi="仿宋" w:eastAsia="仿宋" w:cs="仿宋_GB2312"/>
          <w:snapToGrid w:val="0"/>
          <w:color w:val="000000"/>
          <w:spacing w:val="5"/>
          <w:kern w:val="0"/>
          <w:sz w:val="32"/>
          <w:szCs w:val="32"/>
          <w:lang w:eastAsia="zh-CN"/>
        </w:rPr>
        <w:t>（</w:t>
      </w:r>
      <w:r>
        <w:rPr>
          <w:rFonts w:hint="eastAsia" w:ascii="仿宋" w:hAnsi="仿宋" w:eastAsia="仿宋" w:cs="仿宋_GB2312"/>
          <w:snapToGrid w:val="0"/>
          <w:color w:val="000000"/>
          <w:spacing w:val="5"/>
          <w:kern w:val="0"/>
          <w:sz w:val="32"/>
          <w:szCs w:val="32"/>
        </w:rPr>
        <w:t>3</w:t>
      </w:r>
      <w:r>
        <w:rPr>
          <w:rFonts w:hint="eastAsia" w:ascii="仿宋" w:hAnsi="仿宋" w:eastAsia="仿宋" w:cs="仿宋_GB2312"/>
          <w:snapToGrid w:val="0"/>
          <w:color w:val="000000"/>
          <w:spacing w:val="5"/>
          <w:kern w:val="0"/>
          <w:sz w:val="32"/>
          <w:szCs w:val="32"/>
          <w:lang w:eastAsia="zh-CN"/>
        </w:rPr>
        <w:t>）</w:t>
      </w:r>
      <w:r>
        <w:rPr>
          <w:rFonts w:hint="eastAsia" w:ascii="仿宋" w:hAnsi="仿宋" w:eastAsia="仿宋" w:cs="仿宋_GB2312"/>
          <w:snapToGrid w:val="0"/>
          <w:color w:val="000000"/>
          <w:spacing w:val="5"/>
          <w:kern w:val="0"/>
          <w:sz w:val="32"/>
          <w:szCs w:val="32"/>
        </w:rPr>
        <w:t>质量管理科</w:t>
      </w:r>
    </w:p>
    <w:p w14:paraId="1549C016">
      <w:pPr>
        <w:spacing w:line="600" w:lineRule="exact"/>
        <w:ind w:firstLine="680"/>
        <w:rPr>
          <w:rFonts w:hint="eastAsia" w:ascii="仿宋" w:hAnsi="仿宋" w:eastAsia="仿宋" w:cs="仿宋_GB2312"/>
          <w:snapToGrid w:val="0"/>
          <w:color w:val="000000"/>
          <w:spacing w:val="5"/>
          <w:kern w:val="0"/>
          <w:sz w:val="32"/>
          <w:szCs w:val="32"/>
        </w:rPr>
      </w:pPr>
      <w:r>
        <w:rPr>
          <w:rFonts w:hint="eastAsia" w:ascii="仿宋" w:hAnsi="仿宋" w:eastAsia="仿宋" w:cs="仿宋_GB2312"/>
          <w:snapToGrid w:val="0"/>
          <w:color w:val="000000"/>
          <w:spacing w:val="5"/>
          <w:kern w:val="0"/>
          <w:sz w:val="32"/>
          <w:szCs w:val="32"/>
        </w:rPr>
        <w:t>负责建立并有效运行检验检测质量管理体系工作;负责处理检验检测相关的各类申诉工作;负责各类样品受理、分配、调度及检测报告的编制、审核和发放工作。</w:t>
      </w:r>
    </w:p>
    <w:p w14:paraId="7779F177">
      <w:pPr>
        <w:pStyle w:val="9"/>
        <w:rPr>
          <w:rFonts w:hint="eastAsia" w:ascii="仿宋" w:hAnsi="仿宋" w:eastAsia="仿宋" w:cs="仿宋"/>
          <w:sz w:val="32"/>
          <w:szCs w:val="32"/>
          <w:lang w:val="en-US" w:eastAsia="zh-CN"/>
        </w:rPr>
      </w:pPr>
      <w:r>
        <w:rPr>
          <w:rFonts w:hint="eastAsia" w:ascii="仿宋" w:hAnsi="仿宋" w:eastAsia="仿宋" w:cs="仿宋_GB2312"/>
          <w:snapToGrid w:val="0"/>
          <w:color w:val="000000"/>
          <w:spacing w:val="5"/>
          <w:kern w:val="0"/>
          <w:sz w:val="32"/>
          <w:szCs w:val="32"/>
          <w:lang w:val="en-US" w:eastAsia="zh-CN"/>
        </w:rPr>
        <w:t xml:space="preserve">    （</w:t>
      </w:r>
      <w:r>
        <w:rPr>
          <w:rFonts w:hint="eastAsia" w:ascii="仿宋" w:hAnsi="仿宋" w:eastAsia="仿宋" w:cs="仿宋_GB2312"/>
          <w:b w:val="0"/>
          <w:bCs/>
          <w:snapToGrid w:val="0"/>
          <w:color w:val="000000"/>
          <w:spacing w:val="5"/>
          <w:kern w:val="0"/>
          <w:sz w:val="32"/>
          <w:szCs w:val="32"/>
          <w:lang w:val="en-US" w:eastAsia="zh-CN"/>
        </w:rPr>
        <w:t>4）</w:t>
      </w:r>
      <w:r>
        <w:rPr>
          <w:rFonts w:hint="eastAsia" w:ascii="仿宋" w:hAnsi="仿宋" w:eastAsia="仿宋" w:cs="仿宋"/>
          <w:b w:val="0"/>
          <w:bCs/>
          <w:snapToGrid w:val="0"/>
          <w:color w:val="000000"/>
          <w:spacing w:val="5"/>
          <w:kern w:val="0"/>
          <w:sz w:val="32"/>
          <w:szCs w:val="32"/>
          <w:lang w:val="en-US" w:eastAsia="zh-CN"/>
        </w:rPr>
        <w:t>对外联络科</w:t>
      </w:r>
    </w:p>
    <w:p w14:paraId="6F3DB0E4">
      <w:pPr>
        <w:pStyle w:val="9"/>
        <w:numPr>
          <w:ilvl w:val="0"/>
          <w:numId w:val="0"/>
        </w:numPr>
        <w:ind w:firstLine="646" w:firstLineChars="200"/>
        <w:rPr>
          <w:rFonts w:hint="eastAsia" w:ascii="仿宋" w:hAnsi="仿宋" w:eastAsia="仿宋" w:cs="仿宋"/>
          <w:b w:val="0"/>
          <w:bCs/>
          <w:sz w:val="32"/>
          <w:szCs w:val="32"/>
          <w:lang w:val="en-US" w:eastAsia="zh-CN"/>
        </w:rPr>
      </w:pPr>
      <w:r>
        <w:rPr>
          <w:rFonts w:hint="eastAsia" w:ascii="仿宋" w:hAnsi="仿宋" w:eastAsia="仿宋" w:cs="仿宋"/>
          <w:b w:val="0"/>
          <w:bCs/>
          <w:sz w:val="32"/>
          <w:szCs w:val="32"/>
          <w:lang w:val="en-US" w:eastAsia="zh-CN"/>
        </w:rPr>
        <w:t>负责了解检验检测市场服务需求，分析市场竞争走势，对中心发展与竞争战略提出建议；负责与业务主管部门沟通，并加强市场开拓等工作；负责中心对外检验检测服务投标工作；负责建立重点客户档案，对客户信息进行管理。</w:t>
      </w:r>
    </w:p>
    <w:p w14:paraId="488FDF30">
      <w:pPr>
        <w:pStyle w:val="9"/>
        <w:numPr>
          <w:ilvl w:val="0"/>
          <w:numId w:val="0"/>
        </w:numPr>
        <w:ind w:firstLine="666" w:firstLineChars="200"/>
        <w:rPr>
          <w:rFonts w:hint="eastAsia" w:ascii="仿宋" w:hAnsi="仿宋" w:eastAsia="仿宋" w:cs="仿宋_GB2312"/>
          <w:b w:val="0"/>
          <w:bCs/>
          <w:snapToGrid w:val="0"/>
          <w:color w:val="000000"/>
          <w:spacing w:val="5"/>
          <w:kern w:val="0"/>
          <w:sz w:val="32"/>
          <w:szCs w:val="32"/>
        </w:rPr>
      </w:pPr>
      <w:r>
        <w:rPr>
          <w:rFonts w:hint="eastAsia" w:ascii="仿宋" w:hAnsi="仿宋" w:eastAsia="仿宋" w:cs="仿宋_GB2312"/>
          <w:b w:val="0"/>
          <w:bCs/>
          <w:snapToGrid w:val="0"/>
          <w:color w:val="000000"/>
          <w:spacing w:val="5"/>
          <w:kern w:val="0"/>
          <w:sz w:val="32"/>
          <w:szCs w:val="32"/>
        </w:rPr>
        <w:t>科长职数</w:t>
      </w:r>
      <w:r>
        <w:rPr>
          <w:rFonts w:hint="eastAsia" w:ascii="仿宋" w:hAnsi="仿宋" w:eastAsia="仿宋" w:cs="仿宋_GB2312"/>
          <w:b w:val="0"/>
          <w:bCs/>
          <w:snapToGrid w:val="0"/>
          <w:color w:val="000000"/>
          <w:spacing w:val="5"/>
          <w:kern w:val="0"/>
          <w:sz w:val="32"/>
          <w:szCs w:val="32"/>
          <w:lang w:val="en-US" w:eastAsia="zh-CN"/>
        </w:rPr>
        <w:t>4</w:t>
      </w:r>
      <w:r>
        <w:rPr>
          <w:rFonts w:hint="eastAsia" w:ascii="仿宋" w:hAnsi="仿宋" w:eastAsia="仿宋" w:cs="仿宋_GB2312"/>
          <w:b w:val="0"/>
          <w:bCs/>
          <w:snapToGrid w:val="0"/>
          <w:color w:val="000000"/>
          <w:spacing w:val="5"/>
          <w:kern w:val="0"/>
          <w:sz w:val="32"/>
          <w:szCs w:val="32"/>
        </w:rPr>
        <w:t>名、副科长职数</w:t>
      </w:r>
      <w:r>
        <w:rPr>
          <w:rFonts w:hint="eastAsia" w:ascii="仿宋" w:hAnsi="仿宋" w:eastAsia="仿宋" w:cs="仿宋_GB2312"/>
          <w:b w:val="0"/>
          <w:bCs/>
          <w:snapToGrid w:val="0"/>
          <w:color w:val="000000"/>
          <w:spacing w:val="5"/>
          <w:kern w:val="0"/>
          <w:sz w:val="32"/>
          <w:szCs w:val="32"/>
          <w:lang w:val="en-US" w:eastAsia="zh-CN"/>
        </w:rPr>
        <w:t>4</w:t>
      </w:r>
      <w:r>
        <w:rPr>
          <w:rFonts w:hint="eastAsia" w:ascii="仿宋" w:hAnsi="仿宋" w:eastAsia="仿宋" w:cs="仿宋_GB2312"/>
          <w:b w:val="0"/>
          <w:bCs/>
          <w:snapToGrid w:val="0"/>
          <w:color w:val="000000"/>
          <w:spacing w:val="5"/>
          <w:kern w:val="0"/>
          <w:sz w:val="32"/>
          <w:szCs w:val="32"/>
        </w:rPr>
        <w:t>名。</w:t>
      </w:r>
    </w:p>
    <w:p w14:paraId="4ADE7A23">
      <w:pPr>
        <w:pStyle w:val="9"/>
        <w:numPr>
          <w:ilvl w:val="0"/>
          <w:numId w:val="0"/>
        </w:numPr>
        <w:ind w:firstLine="646" w:firstLineChars="200"/>
        <w:rPr>
          <w:rFonts w:hint="eastAsia" w:ascii="仿宋" w:hAnsi="仿宋" w:eastAsia="仿宋" w:cs="仿宋"/>
          <w:sz w:val="32"/>
        </w:rPr>
      </w:pPr>
      <w:r>
        <w:rPr>
          <w:rFonts w:hint="eastAsia" w:ascii="仿宋" w:hAnsi="仿宋" w:eastAsia="仿宋" w:cs="仿宋"/>
          <w:sz w:val="32"/>
        </w:rPr>
        <w:t>中心无下属二级单位。</w:t>
      </w:r>
    </w:p>
    <w:p w14:paraId="79BD5068">
      <w:pPr>
        <w:spacing w:line="560" w:lineRule="exact"/>
        <w:jc w:val="both"/>
        <w:rPr>
          <w:rFonts w:hint="eastAsia" w:ascii="宋体" w:hAnsi="宋体"/>
          <w:b/>
          <w:sz w:val="36"/>
          <w:szCs w:val="36"/>
        </w:rPr>
      </w:pPr>
    </w:p>
    <w:p w14:paraId="26B09876">
      <w:pPr>
        <w:spacing w:line="560" w:lineRule="exact"/>
        <w:jc w:val="both"/>
        <w:rPr>
          <w:rFonts w:hint="eastAsia" w:ascii="宋体" w:hAnsi="宋体"/>
          <w:b/>
          <w:sz w:val="36"/>
          <w:szCs w:val="36"/>
        </w:rPr>
      </w:pPr>
    </w:p>
    <w:p w14:paraId="2CEEBC0C">
      <w:pPr>
        <w:spacing w:line="560" w:lineRule="exact"/>
        <w:ind w:firstLine="1089" w:firstLineChars="300"/>
        <w:jc w:val="both"/>
        <w:rPr>
          <w:rFonts w:ascii="宋体" w:hAnsi="宋体"/>
          <w:b/>
          <w:sz w:val="36"/>
          <w:szCs w:val="36"/>
        </w:rPr>
      </w:pPr>
      <w:r>
        <w:rPr>
          <w:rFonts w:hint="eastAsia" w:ascii="宋体" w:hAnsi="宋体"/>
          <w:b/>
          <w:sz w:val="36"/>
          <w:szCs w:val="36"/>
        </w:rPr>
        <w:t>第三部</w:t>
      </w:r>
      <w:r>
        <w:rPr>
          <w:rFonts w:hint="eastAsia" w:ascii="宋体" w:hAnsi="宋体"/>
          <w:b/>
          <w:sz w:val="36"/>
          <w:szCs w:val="36"/>
          <w:lang w:val="en-US" w:eastAsia="zh-CN"/>
        </w:rPr>
        <w:t>分  盘锦检验检测中心2025</w:t>
      </w:r>
      <w:r>
        <w:rPr>
          <w:rFonts w:hint="eastAsia" w:ascii="宋体" w:hAnsi="宋体"/>
          <w:b/>
          <w:sz w:val="36"/>
          <w:szCs w:val="36"/>
        </w:rPr>
        <w:t>年部门预算情况说明</w:t>
      </w:r>
    </w:p>
    <w:p w14:paraId="68C15CF7">
      <w:pPr>
        <w:spacing w:line="560" w:lineRule="exact"/>
        <w:jc w:val="center"/>
        <w:rPr>
          <w:rFonts w:ascii="宋体" w:hAnsi="宋体"/>
          <w:b/>
          <w:sz w:val="36"/>
          <w:szCs w:val="36"/>
        </w:rPr>
      </w:pPr>
    </w:p>
    <w:p w14:paraId="522E826F">
      <w:pPr>
        <w:spacing w:line="560" w:lineRule="exact"/>
        <w:ind w:firstLine="632" w:firstLineChars="196"/>
        <w:rPr>
          <w:rFonts w:ascii="黑体" w:hAnsi="黑体" w:eastAsia="黑体"/>
          <w:sz w:val="32"/>
          <w:szCs w:val="32"/>
          <w:highlight w:val="none"/>
        </w:rPr>
      </w:pPr>
      <w:r>
        <w:rPr>
          <w:rFonts w:hint="eastAsia" w:ascii="黑体" w:hAnsi="黑体" w:eastAsia="黑体"/>
          <w:sz w:val="32"/>
          <w:szCs w:val="32"/>
          <w:highlight w:val="none"/>
        </w:rPr>
        <w:t>一、综合预算收支指标情况</w:t>
      </w:r>
    </w:p>
    <w:p w14:paraId="393D00E7">
      <w:pPr>
        <w:spacing w:line="560" w:lineRule="exact"/>
        <w:ind w:firstLine="660"/>
        <w:rPr>
          <w:rFonts w:ascii="仿宋_GB2312" w:hAnsi="宋体" w:eastAsia="仿宋_GB2312"/>
          <w:sz w:val="32"/>
          <w:szCs w:val="32"/>
          <w:highlight w:val="none"/>
        </w:rPr>
      </w:pPr>
      <w:r>
        <w:rPr>
          <w:rFonts w:hint="eastAsia" w:ascii="楷体" w:hAnsi="楷体" w:eastAsia="楷体"/>
          <w:b/>
          <w:sz w:val="32"/>
          <w:szCs w:val="32"/>
          <w:highlight w:val="none"/>
        </w:rPr>
        <w:t>（一）收入预算</w:t>
      </w:r>
      <w:r>
        <w:rPr>
          <w:rFonts w:hint="eastAsia" w:ascii="楷体" w:hAnsi="楷体" w:eastAsia="楷体"/>
          <w:b/>
          <w:sz w:val="32"/>
          <w:szCs w:val="32"/>
          <w:highlight w:val="none"/>
          <w:lang w:val="en-US" w:eastAsia="zh-CN"/>
        </w:rPr>
        <w:t>3136.67</w:t>
      </w:r>
      <w:r>
        <w:rPr>
          <w:rFonts w:hint="eastAsia" w:ascii="楷体" w:hAnsi="楷体" w:eastAsia="楷体"/>
          <w:b/>
          <w:sz w:val="32"/>
          <w:szCs w:val="32"/>
          <w:highlight w:val="none"/>
        </w:rPr>
        <w:t>万元，</w:t>
      </w:r>
      <w:r>
        <w:rPr>
          <w:rFonts w:hint="eastAsia" w:ascii="仿宋_GB2312" w:hAnsi="宋体" w:eastAsia="仿宋_GB2312"/>
          <w:sz w:val="32"/>
          <w:szCs w:val="32"/>
          <w:highlight w:val="none"/>
        </w:rPr>
        <w:t>其中：</w:t>
      </w:r>
    </w:p>
    <w:p w14:paraId="2C787CA0">
      <w:pPr>
        <w:spacing w:line="560" w:lineRule="exact"/>
        <w:ind w:firstLine="660"/>
        <w:rPr>
          <w:rFonts w:ascii="仿宋_GB2312" w:hAnsi="宋体" w:eastAsia="仿宋_GB2312"/>
          <w:sz w:val="32"/>
          <w:szCs w:val="32"/>
          <w:highlight w:val="none"/>
        </w:rPr>
      </w:pPr>
      <w:r>
        <w:rPr>
          <w:rFonts w:hint="eastAsia" w:ascii="仿宋_GB2312" w:hAnsi="宋体" w:eastAsia="仿宋_GB2312"/>
          <w:sz w:val="32"/>
          <w:szCs w:val="32"/>
          <w:highlight w:val="none"/>
        </w:rPr>
        <w:t>1.一般公共预算拨款收入</w:t>
      </w:r>
      <w:r>
        <w:rPr>
          <w:rFonts w:hint="eastAsia" w:ascii="仿宋_GB2312" w:hAnsi="宋体" w:eastAsia="仿宋_GB2312"/>
          <w:sz w:val="32"/>
          <w:szCs w:val="32"/>
          <w:highlight w:val="none"/>
          <w:lang w:val="en-US" w:eastAsia="zh-CN"/>
        </w:rPr>
        <w:t>1075.12</w:t>
      </w:r>
      <w:r>
        <w:rPr>
          <w:rFonts w:hint="eastAsia" w:ascii="仿宋_GB2312" w:hAnsi="宋体" w:eastAsia="仿宋_GB2312"/>
          <w:sz w:val="32"/>
          <w:szCs w:val="32"/>
          <w:highlight w:val="none"/>
        </w:rPr>
        <w:t>万元；</w:t>
      </w:r>
    </w:p>
    <w:p w14:paraId="3DD26AE8">
      <w:pPr>
        <w:spacing w:line="560" w:lineRule="exact"/>
        <w:ind w:firstLine="660"/>
        <w:rPr>
          <w:rFonts w:ascii="仿宋_GB2312" w:hAnsi="宋体" w:eastAsia="仿宋_GB2312"/>
          <w:sz w:val="32"/>
          <w:szCs w:val="32"/>
          <w:highlight w:val="none"/>
        </w:rPr>
      </w:pPr>
      <w:r>
        <w:rPr>
          <w:rFonts w:hint="eastAsia" w:ascii="仿宋_GB2312" w:hAnsi="宋体" w:eastAsia="仿宋_GB2312"/>
          <w:sz w:val="32"/>
          <w:szCs w:val="32"/>
          <w:highlight w:val="none"/>
        </w:rPr>
        <w:t>2.政府性基金预算拨款收入</w:t>
      </w:r>
      <w:r>
        <w:rPr>
          <w:rFonts w:hint="eastAsia" w:ascii="仿宋_GB2312" w:hAnsi="宋体" w:eastAsia="仿宋_GB2312"/>
          <w:sz w:val="32"/>
          <w:szCs w:val="32"/>
          <w:highlight w:val="none"/>
          <w:lang w:val="en-US" w:eastAsia="zh-CN"/>
        </w:rPr>
        <w:t>0</w:t>
      </w:r>
      <w:r>
        <w:rPr>
          <w:rFonts w:hint="eastAsia" w:ascii="仿宋_GB2312" w:hAnsi="宋体" w:eastAsia="仿宋_GB2312"/>
          <w:sz w:val="32"/>
          <w:szCs w:val="32"/>
          <w:highlight w:val="none"/>
        </w:rPr>
        <w:t>万元；</w:t>
      </w:r>
    </w:p>
    <w:p w14:paraId="086FA1C3">
      <w:pPr>
        <w:spacing w:line="560" w:lineRule="exact"/>
        <w:ind w:left="647" w:leftChars="304" w:firstLine="16" w:firstLineChars="5"/>
        <w:rPr>
          <w:rFonts w:ascii="仿宋_GB2312" w:hAnsi="宋体" w:eastAsia="仿宋_GB2312"/>
          <w:sz w:val="32"/>
          <w:szCs w:val="32"/>
          <w:highlight w:val="none"/>
        </w:rPr>
      </w:pPr>
      <w:r>
        <w:rPr>
          <w:rFonts w:hint="eastAsia" w:ascii="仿宋_GB2312" w:hAnsi="宋体" w:eastAsia="仿宋_GB2312"/>
          <w:sz w:val="32"/>
          <w:szCs w:val="32"/>
          <w:highlight w:val="none"/>
        </w:rPr>
        <w:t>3.国有资本经营预算拨款收入</w:t>
      </w:r>
      <w:r>
        <w:rPr>
          <w:rFonts w:hint="eastAsia" w:ascii="仿宋_GB2312" w:hAnsi="宋体" w:eastAsia="仿宋_GB2312"/>
          <w:sz w:val="32"/>
          <w:szCs w:val="32"/>
          <w:highlight w:val="none"/>
          <w:lang w:val="en-US" w:eastAsia="zh-CN"/>
        </w:rPr>
        <w:t>0</w:t>
      </w:r>
      <w:r>
        <w:rPr>
          <w:rFonts w:hint="eastAsia" w:ascii="仿宋_GB2312" w:hAnsi="宋体" w:eastAsia="仿宋_GB2312"/>
          <w:sz w:val="32"/>
          <w:szCs w:val="32"/>
          <w:highlight w:val="none"/>
        </w:rPr>
        <w:t>万元；</w:t>
      </w:r>
    </w:p>
    <w:p w14:paraId="42659E25">
      <w:pPr>
        <w:spacing w:line="560" w:lineRule="exact"/>
        <w:ind w:left="647" w:leftChars="304" w:firstLine="16" w:firstLineChars="5"/>
        <w:rPr>
          <w:rFonts w:ascii="仿宋_GB2312" w:hAnsi="宋体" w:eastAsia="仿宋_GB2312"/>
          <w:sz w:val="32"/>
          <w:szCs w:val="32"/>
          <w:highlight w:val="none"/>
        </w:rPr>
      </w:pPr>
      <w:r>
        <w:rPr>
          <w:rFonts w:hint="eastAsia" w:ascii="仿宋_GB2312" w:hAnsi="宋体" w:eastAsia="仿宋_GB2312"/>
          <w:sz w:val="32"/>
          <w:szCs w:val="32"/>
          <w:highlight w:val="none"/>
        </w:rPr>
        <w:t>4.财政专户管理资金收入</w:t>
      </w:r>
      <w:r>
        <w:rPr>
          <w:rFonts w:hint="eastAsia" w:ascii="仿宋_GB2312" w:hAnsi="宋体" w:eastAsia="仿宋_GB2312"/>
          <w:sz w:val="32"/>
          <w:szCs w:val="32"/>
          <w:highlight w:val="none"/>
          <w:lang w:val="en-US" w:eastAsia="zh-CN"/>
        </w:rPr>
        <w:t>0</w:t>
      </w:r>
      <w:r>
        <w:rPr>
          <w:rFonts w:hint="eastAsia" w:ascii="仿宋_GB2312" w:hAnsi="宋体" w:eastAsia="仿宋_GB2312"/>
          <w:sz w:val="32"/>
          <w:szCs w:val="32"/>
          <w:highlight w:val="none"/>
        </w:rPr>
        <w:t>万元；</w:t>
      </w:r>
    </w:p>
    <w:p w14:paraId="426DF41E">
      <w:pPr>
        <w:spacing w:line="560" w:lineRule="exact"/>
        <w:ind w:firstLine="646" w:firstLineChars="200"/>
        <w:rPr>
          <w:rFonts w:ascii="仿宋_GB2312" w:eastAsia="仿宋_GB2312"/>
          <w:sz w:val="32"/>
          <w:szCs w:val="32"/>
          <w:highlight w:val="none"/>
        </w:rPr>
      </w:pPr>
      <w:r>
        <w:rPr>
          <w:rFonts w:hint="eastAsia" w:ascii="仿宋_GB2312" w:eastAsia="仿宋_GB2312" w:cs="仿宋_GB2312"/>
          <w:sz w:val="32"/>
          <w:szCs w:val="32"/>
          <w:highlight w:val="none"/>
        </w:rPr>
        <w:t>5.</w:t>
      </w:r>
      <w:r>
        <w:rPr>
          <w:rFonts w:hint="eastAsia" w:ascii="仿宋_GB2312" w:eastAsia="仿宋_GB2312"/>
          <w:sz w:val="32"/>
          <w:szCs w:val="32"/>
          <w:highlight w:val="none"/>
        </w:rPr>
        <w:t>单位资金收入</w:t>
      </w:r>
      <w:r>
        <w:rPr>
          <w:rFonts w:hint="eastAsia" w:ascii="仿宋_GB2312" w:eastAsia="仿宋_GB2312"/>
          <w:sz w:val="32"/>
          <w:szCs w:val="32"/>
          <w:highlight w:val="none"/>
          <w:lang w:val="en-US" w:eastAsia="zh-CN"/>
        </w:rPr>
        <w:t>2061.55</w:t>
      </w:r>
      <w:r>
        <w:rPr>
          <w:rFonts w:hint="eastAsia" w:ascii="仿宋_GB2312" w:eastAsia="仿宋_GB2312"/>
          <w:sz w:val="32"/>
          <w:szCs w:val="32"/>
          <w:highlight w:val="none"/>
        </w:rPr>
        <w:t>万元</w:t>
      </w:r>
      <w:r>
        <w:rPr>
          <w:rFonts w:hint="eastAsia" w:ascii="仿宋_GB2312" w:eastAsia="仿宋_GB2312" w:cs="仿宋_GB2312"/>
          <w:sz w:val="32"/>
          <w:szCs w:val="32"/>
          <w:highlight w:val="none"/>
        </w:rPr>
        <w:t>，其中：事业收入</w:t>
      </w:r>
      <w:r>
        <w:rPr>
          <w:rFonts w:hint="eastAsia" w:ascii="仿宋_GB2312" w:eastAsia="仿宋_GB2312" w:cs="仿宋_GB2312"/>
          <w:sz w:val="32"/>
          <w:szCs w:val="32"/>
          <w:highlight w:val="none"/>
          <w:lang w:val="en-US" w:eastAsia="zh-CN"/>
        </w:rPr>
        <w:t>0</w:t>
      </w:r>
      <w:r>
        <w:rPr>
          <w:rFonts w:hint="eastAsia" w:ascii="仿宋_GB2312" w:eastAsia="仿宋_GB2312" w:cs="仿宋_GB2312"/>
          <w:sz w:val="32"/>
          <w:szCs w:val="32"/>
          <w:highlight w:val="none"/>
        </w:rPr>
        <w:t>万元，事业单位经营收入</w:t>
      </w:r>
      <w:r>
        <w:rPr>
          <w:rFonts w:hint="eastAsia" w:ascii="仿宋_GB2312" w:eastAsia="仿宋_GB2312" w:cs="仿宋_GB2312"/>
          <w:sz w:val="32"/>
          <w:szCs w:val="32"/>
          <w:highlight w:val="none"/>
          <w:lang w:val="en-US" w:eastAsia="zh-CN"/>
        </w:rPr>
        <w:t>2061.55</w:t>
      </w:r>
      <w:r>
        <w:rPr>
          <w:rFonts w:hint="eastAsia" w:ascii="仿宋_GB2312" w:eastAsia="仿宋_GB2312" w:cs="仿宋_GB2312"/>
          <w:sz w:val="32"/>
          <w:szCs w:val="32"/>
          <w:highlight w:val="none"/>
        </w:rPr>
        <w:t>万元，上级补助收入</w:t>
      </w:r>
      <w:r>
        <w:rPr>
          <w:rFonts w:hint="eastAsia" w:ascii="仿宋_GB2312" w:eastAsia="仿宋_GB2312" w:cs="仿宋_GB2312"/>
          <w:sz w:val="32"/>
          <w:szCs w:val="32"/>
          <w:highlight w:val="none"/>
          <w:lang w:val="en-US" w:eastAsia="zh-CN"/>
        </w:rPr>
        <w:t>0</w:t>
      </w:r>
      <w:r>
        <w:rPr>
          <w:rFonts w:hint="eastAsia" w:ascii="仿宋_GB2312" w:eastAsia="仿宋_GB2312" w:cs="仿宋_GB2312"/>
          <w:sz w:val="32"/>
          <w:szCs w:val="32"/>
          <w:highlight w:val="none"/>
        </w:rPr>
        <w:t>万元，附属单位上缴收入</w:t>
      </w:r>
      <w:r>
        <w:rPr>
          <w:rFonts w:hint="eastAsia" w:ascii="仿宋_GB2312" w:eastAsia="仿宋_GB2312" w:cs="仿宋_GB2312"/>
          <w:sz w:val="32"/>
          <w:szCs w:val="32"/>
          <w:highlight w:val="none"/>
          <w:lang w:val="en-US" w:eastAsia="zh-CN"/>
        </w:rPr>
        <w:t>0</w:t>
      </w:r>
      <w:r>
        <w:rPr>
          <w:rFonts w:hint="eastAsia" w:ascii="仿宋_GB2312" w:eastAsia="仿宋_GB2312" w:cs="仿宋_GB2312"/>
          <w:sz w:val="32"/>
          <w:szCs w:val="32"/>
          <w:highlight w:val="none"/>
        </w:rPr>
        <w:t>万元，其他收入</w:t>
      </w:r>
      <w:r>
        <w:rPr>
          <w:rFonts w:hint="eastAsia" w:ascii="仿宋_GB2312" w:eastAsia="仿宋_GB2312" w:cs="仿宋_GB2312"/>
          <w:sz w:val="32"/>
          <w:szCs w:val="32"/>
          <w:highlight w:val="none"/>
          <w:lang w:val="en-US" w:eastAsia="zh-CN"/>
        </w:rPr>
        <w:t>0</w:t>
      </w:r>
      <w:r>
        <w:rPr>
          <w:rFonts w:hint="eastAsia" w:ascii="仿宋_GB2312" w:eastAsia="仿宋_GB2312" w:cs="仿宋_GB2312"/>
          <w:sz w:val="32"/>
          <w:szCs w:val="32"/>
          <w:highlight w:val="none"/>
        </w:rPr>
        <w:t>万元；</w:t>
      </w:r>
    </w:p>
    <w:p w14:paraId="3EDAF888">
      <w:pPr>
        <w:spacing w:line="560" w:lineRule="exact"/>
        <w:ind w:firstLine="646" w:firstLineChars="200"/>
        <w:rPr>
          <w:rFonts w:ascii="仿宋_GB2312" w:hAnsi="宋体" w:eastAsia="仿宋_GB2312"/>
          <w:sz w:val="32"/>
          <w:szCs w:val="32"/>
          <w:highlight w:val="none"/>
        </w:rPr>
      </w:pPr>
      <w:r>
        <w:rPr>
          <w:rFonts w:hint="eastAsia" w:ascii="仿宋_GB2312" w:eastAsia="仿宋_GB2312" w:cs="仿宋_GB2312"/>
          <w:sz w:val="32"/>
          <w:szCs w:val="32"/>
          <w:highlight w:val="none"/>
        </w:rPr>
        <w:t>6.</w:t>
      </w:r>
      <w:r>
        <w:rPr>
          <w:rFonts w:hint="eastAsia" w:ascii="仿宋_GB2312" w:eastAsia="仿宋_GB2312"/>
          <w:sz w:val="32"/>
          <w:szCs w:val="32"/>
          <w:highlight w:val="none"/>
        </w:rPr>
        <w:t>上年结转结余</w:t>
      </w:r>
      <w:r>
        <w:rPr>
          <w:rFonts w:hint="eastAsia" w:ascii="仿宋_GB2312" w:eastAsia="仿宋_GB2312"/>
          <w:sz w:val="32"/>
          <w:szCs w:val="32"/>
          <w:highlight w:val="none"/>
          <w:lang w:val="en-US" w:eastAsia="zh-CN"/>
        </w:rPr>
        <w:t>0</w:t>
      </w:r>
      <w:r>
        <w:rPr>
          <w:rFonts w:hint="eastAsia" w:ascii="仿宋_GB2312" w:eastAsia="仿宋_GB2312"/>
          <w:sz w:val="32"/>
          <w:szCs w:val="32"/>
          <w:highlight w:val="none"/>
        </w:rPr>
        <w:t>万元</w:t>
      </w:r>
      <w:r>
        <w:rPr>
          <w:rFonts w:hint="eastAsia" w:ascii="仿宋_GB2312" w:eastAsia="仿宋_GB2312" w:cs="仿宋_GB2312"/>
          <w:sz w:val="32"/>
          <w:szCs w:val="32"/>
          <w:highlight w:val="none"/>
        </w:rPr>
        <w:t>，其中上年</w:t>
      </w:r>
      <w:r>
        <w:rPr>
          <w:rFonts w:hint="eastAsia" w:ascii="仿宋_GB2312" w:eastAsia="仿宋_GB2312"/>
          <w:sz w:val="32"/>
          <w:szCs w:val="32"/>
          <w:highlight w:val="none"/>
        </w:rPr>
        <w:t>财政专户管理资金超收收入</w:t>
      </w:r>
      <w:r>
        <w:rPr>
          <w:rFonts w:hint="eastAsia" w:ascii="仿宋_GB2312" w:eastAsia="仿宋_GB2312"/>
          <w:sz w:val="32"/>
          <w:szCs w:val="32"/>
          <w:highlight w:val="none"/>
          <w:lang w:val="en-US" w:eastAsia="zh-CN"/>
        </w:rPr>
        <w:t>0</w:t>
      </w:r>
      <w:r>
        <w:rPr>
          <w:rFonts w:hint="eastAsia" w:ascii="仿宋_GB2312" w:eastAsia="仿宋_GB2312" w:cs="仿宋_GB2312"/>
          <w:sz w:val="32"/>
          <w:szCs w:val="32"/>
          <w:highlight w:val="none"/>
        </w:rPr>
        <w:t>万元，政府性基金预算超收收入</w:t>
      </w:r>
      <w:r>
        <w:rPr>
          <w:rFonts w:hint="eastAsia" w:ascii="仿宋_GB2312" w:eastAsia="仿宋_GB2312" w:cs="仿宋_GB2312"/>
          <w:sz w:val="32"/>
          <w:szCs w:val="32"/>
          <w:highlight w:val="none"/>
          <w:lang w:val="en-US" w:eastAsia="zh-CN"/>
        </w:rPr>
        <w:t>0</w:t>
      </w:r>
      <w:r>
        <w:rPr>
          <w:rFonts w:hint="eastAsia" w:ascii="仿宋_GB2312" w:eastAsia="仿宋_GB2312" w:cs="仿宋_GB2312"/>
          <w:sz w:val="32"/>
          <w:szCs w:val="32"/>
          <w:highlight w:val="none"/>
        </w:rPr>
        <w:t>万元</w:t>
      </w:r>
      <w:r>
        <w:rPr>
          <w:rFonts w:hint="eastAsia" w:ascii="仿宋_GB2312" w:eastAsia="仿宋_GB2312" w:cs="仿宋_GB2312"/>
          <w:sz w:val="32"/>
          <w:szCs w:val="32"/>
          <w:highlight w:val="none"/>
          <w:lang w:eastAsia="zh-CN"/>
        </w:rPr>
        <w:t>，</w:t>
      </w:r>
      <w:r>
        <w:rPr>
          <w:rFonts w:hint="eastAsia" w:ascii="Times New Roman" w:hAnsi="Times New Roman" w:eastAsia="仿宋_GB2312" w:cs="Times New Roman"/>
          <w:kern w:val="2"/>
          <w:sz w:val="32"/>
          <w:szCs w:val="32"/>
          <w:highlight w:val="none"/>
          <w:lang w:val="en-US" w:eastAsia="zh-CN" w:bidi="ar"/>
        </w:rPr>
        <w:t>单位资金超收收入</w:t>
      </w:r>
      <w:r>
        <w:rPr>
          <w:rFonts w:hint="eastAsia" w:eastAsia="仿宋_GB2312" w:cs="Times New Roman"/>
          <w:kern w:val="2"/>
          <w:sz w:val="32"/>
          <w:szCs w:val="32"/>
          <w:highlight w:val="none"/>
          <w:lang w:val="en-US" w:eastAsia="zh-CN" w:bidi="ar"/>
        </w:rPr>
        <w:t>0</w:t>
      </w:r>
      <w:r>
        <w:rPr>
          <w:rFonts w:hint="eastAsia" w:ascii="Times New Roman" w:hAnsi="Times New Roman" w:eastAsia="仿宋_GB2312" w:cs="Times New Roman"/>
          <w:kern w:val="2"/>
          <w:sz w:val="32"/>
          <w:szCs w:val="32"/>
          <w:highlight w:val="none"/>
          <w:lang w:val="en-US" w:eastAsia="zh-CN" w:bidi="ar"/>
        </w:rPr>
        <w:t>万元</w:t>
      </w:r>
      <w:r>
        <w:rPr>
          <w:rFonts w:hint="eastAsia" w:ascii="仿宋_GB2312" w:hAnsi="仿宋_GB2312" w:eastAsia="仿宋_GB2312" w:cs="仿宋_GB2312"/>
          <w:sz w:val="32"/>
          <w:szCs w:val="32"/>
          <w:highlight w:val="none"/>
        </w:rPr>
        <w:t>。</w:t>
      </w:r>
    </w:p>
    <w:p w14:paraId="4E9F2EB9">
      <w:pPr>
        <w:spacing w:line="560" w:lineRule="exact"/>
        <w:ind w:left="647" w:leftChars="304" w:firstLine="16" w:firstLineChars="5"/>
        <w:rPr>
          <w:rFonts w:ascii="仿宋_GB2312" w:hAnsi="宋体" w:eastAsia="仿宋_GB2312"/>
          <w:sz w:val="32"/>
          <w:szCs w:val="32"/>
          <w:highlight w:val="none"/>
        </w:rPr>
      </w:pPr>
      <w:r>
        <w:rPr>
          <w:rFonts w:hint="eastAsia" w:ascii="楷体" w:hAnsi="楷体" w:eastAsia="楷体"/>
          <w:b/>
          <w:sz w:val="32"/>
          <w:szCs w:val="32"/>
          <w:highlight w:val="none"/>
        </w:rPr>
        <w:t>（二）支出预算</w:t>
      </w:r>
      <w:r>
        <w:rPr>
          <w:rFonts w:hint="eastAsia" w:ascii="楷体" w:hAnsi="楷体" w:eastAsia="楷体"/>
          <w:b/>
          <w:sz w:val="32"/>
          <w:szCs w:val="32"/>
          <w:highlight w:val="none"/>
          <w:lang w:val="en-US" w:eastAsia="zh-CN"/>
        </w:rPr>
        <w:t>3136.67</w:t>
      </w:r>
      <w:r>
        <w:rPr>
          <w:rFonts w:hint="eastAsia" w:ascii="楷体" w:hAnsi="楷体" w:eastAsia="楷体"/>
          <w:b/>
          <w:sz w:val="32"/>
          <w:szCs w:val="32"/>
          <w:highlight w:val="none"/>
        </w:rPr>
        <w:t>万元，</w:t>
      </w:r>
      <w:r>
        <w:rPr>
          <w:rFonts w:hint="eastAsia" w:ascii="仿宋_GB2312" w:hAnsi="宋体" w:eastAsia="仿宋_GB2312"/>
          <w:sz w:val="32"/>
          <w:szCs w:val="32"/>
          <w:highlight w:val="none"/>
        </w:rPr>
        <w:t>其中：</w:t>
      </w:r>
    </w:p>
    <w:p w14:paraId="7C071E3B">
      <w:pPr>
        <w:autoSpaceDE w:val="0"/>
        <w:spacing w:line="560" w:lineRule="exact"/>
        <w:ind w:firstLine="646" w:firstLineChars="200"/>
        <w:rPr>
          <w:rFonts w:ascii="仿宋_GB2312" w:eastAsia="仿宋_GB2312"/>
          <w:sz w:val="32"/>
          <w:szCs w:val="32"/>
          <w:highlight w:val="none"/>
        </w:rPr>
      </w:pPr>
      <w:r>
        <w:rPr>
          <w:rFonts w:hint="eastAsia" w:ascii="仿宋_GB2312" w:eastAsia="仿宋_GB2312"/>
          <w:sz w:val="32"/>
          <w:szCs w:val="32"/>
          <w:highlight w:val="none"/>
        </w:rPr>
        <w:t>1.基本支出</w:t>
      </w:r>
      <w:r>
        <w:rPr>
          <w:rFonts w:hint="eastAsia" w:ascii="仿宋_GB2312" w:eastAsia="仿宋_GB2312"/>
          <w:sz w:val="32"/>
          <w:szCs w:val="32"/>
          <w:highlight w:val="none"/>
          <w:lang w:val="en-US" w:eastAsia="zh-CN"/>
        </w:rPr>
        <w:t>1973.43</w:t>
      </w:r>
      <w:r>
        <w:rPr>
          <w:rFonts w:hint="eastAsia" w:ascii="仿宋_GB2312" w:hAnsi="宋体" w:eastAsia="仿宋_GB2312"/>
          <w:sz w:val="32"/>
          <w:szCs w:val="32"/>
          <w:highlight w:val="none"/>
        </w:rPr>
        <w:t>万元</w:t>
      </w:r>
      <w:r>
        <w:rPr>
          <w:rFonts w:hint="eastAsia" w:ascii="仿宋_GB2312" w:eastAsia="仿宋_GB2312"/>
          <w:sz w:val="32"/>
          <w:szCs w:val="32"/>
          <w:highlight w:val="none"/>
        </w:rPr>
        <w:t>；</w:t>
      </w:r>
    </w:p>
    <w:p w14:paraId="5374289B">
      <w:pPr>
        <w:autoSpaceDE w:val="0"/>
        <w:spacing w:line="560" w:lineRule="exact"/>
        <w:ind w:firstLine="646" w:firstLineChars="200"/>
        <w:rPr>
          <w:rFonts w:ascii="仿宋_GB2312" w:eastAsia="仿宋_GB2312"/>
          <w:sz w:val="32"/>
          <w:szCs w:val="32"/>
          <w:highlight w:val="none"/>
        </w:rPr>
      </w:pPr>
      <w:r>
        <w:rPr>
          <w:rFonts w:hint="eastAsia" w:ascii="仿宋_GB2312" w:eastAsia="仿宋_GB2312"/>
          <w:sz w:val="32"/>
          <w:szCs w:val="32"/>
          <w:highlight w:val="none"/>
        </w:rPr>
        <w:t>2.项目支出</w:t>
      </w:r>
      <w:r>
        <w:rPr>
          <w:rFonts w:hint="eastAsia" w:ascii="仿宋_GB2312" w:eastAsia="仿宋_GB2312"/>
          <w:sz w:val="32"/>
          <w:szCs w:val="32"/>
          <w:highlight w:val="none"/>
          <w:lang w:val="en-US" w:eastAsia="zh-CN"/>
        </w:rPr>
        <w:t>1163.24</w:t>
      </w:r>
      <w:r>
        <w:rPr>
          <w:rFonts w:hint="eastAsia" w:ascii="仿宋_GB2312" w:eastAsia="仿宋_GB2312"/>
          <w:sz w:val="32"/>
          <w:szCs w:val="32"/>
          <w:highlight w:val="none"/>
        </w:rPr>
        <w:t>万元。</w:t>
      </w:r>
    </w:p>
    <w:p w14:paraId="3A45FBA5">
      <w:pPr>
        <w:spacing w:line="560" w:lineRule="exact"/>
        <w:ind w:firstLine="646" w:firstLineChars="200"/>
        <w:jc w:val="distribute"/>
        <w:rPr>
          <w:rFonts w:ascii="仿宋_GB2312" w:eastAsia="仿宋_GB2312" w:cs="仿宋_GB2312"/>
          <w:sz w:val="32"/>
          <w:szCs w:val="32"/>
          <w:highlight w:val="none"/>
        </w:rPr>
      </w:pPr>
      <w:r>
        <w:rPr>
          <w:rFonts w:hint="eastAsia" w:ascii="仿宋_GB2312" w:eastAsia="仿宋_GB2312" w:cs="仿宋_GB2312"/>
          <w:sz w:val="32"/>
          <w:szCs w:val="32"/>
          <w:highlight w:val="none"/>
        </w:rPr>
        <w:t>在支出预算中债务支出</w:t>
      </w:r>
      <w:r>
        <w:rPr>
          <w:rFonts w:hint="eastAsia" w:ascii="仿宋_GB2312" w:eastAsia="仿宋_GB2312" w:cs="仿宋_GB2312"/>
          <w:sz w:val="32"/>
          <w:szCs w:val="32"/>
          <w:highlight w:val="none"/>
          <w:lang w:val="en-US" w:eastAsia="zh-CN"/>
        </w:rPr>
        <w:t>0</w:t>
      </w:r>
      <w:r>
        <w:rPr>
          <w:rFonts w:hint="eastAsia" w:ascii="仿宋_GB2312" w:eastAsia="仿宋_GB2312" w:cs="仿宋_GB2312"/>
          <w:sz w:val="32"/>
          <w:szCs w:val="32"/>
          <w:highlight w:val="none"/>
        </w:rPr>
        <w:t>万元；政府采购支出</w:t>
      </w:r>
    </w:p>
    <w:p w14:paraId="53119AAE">
      <w:pPr>
        <w:spacing w:line="560" w:lineRule="exact"/>
        <w:rPr>
          <w:rFonts w:ascii="仿宋_GB2312" w:eastAsia="仿宋_GB2312" w:cs="仿宋_GB2312"/>
          <w:sz w:val="32"/>
          <w:szCs w:val="32"/>
          <w:highlight w:val="none"/>
        </w:rPr>
      </w:pPr>
      <w:r>
        <w:rPr>
          <w:rFonts w:hint="eastAsia" w:ascii="仿宋_GB2312" w:eastAsia="仿宋_GB2312" w:cs="仿宋_GB2312"/>
          <w:sz w:val="32"/>
          <w:szCs w:val="32"/>
          <w:highlight w:val="none"/>
          <w:lang w:val="en-US" w:eastAsia="zh-CN"/>
        </w:rPr>
        <w:t>414.50</w:t>
      </w:r>
      <w:r>
        <w:rPr>
          <w:rFonts w:hint="eastAsia" w:ascii="仿宋_GB2312" w:eastAsia="仿宋_GB2312" w:cs="仿宋_GB2312"/>
          <w:sz w:val="32"/>
          <w:szCs w:val="32"/>
          <w:highlight w:val="none"/>
        </w:rPr>
        <w:t>万元；政府购买服务支出</w:t>
      </w:r>
      <w:r>
        <w:rPr>
          <w:rFonts w:hint="eastAsia" w:ascii="仿宋_GB2312" w:eastAsia="仿宋_GB2312" w:cs="仿宋_GB2312"/>
          <w:sz w:val="32"/>
          <w:szCs w:val="32"/>
          <w:highlight w:val="none"/>
          <w:lang w:val="en-US" w:eastAsia="zh-CN"/>
        </w:rPr>
        <w:t>0</w:t>
      </w:r>
      <w:r>
        <w:rPr>
          <w:rFonts w:hint="eastAsia" w:ascii="仿宋_GB2312" w:eastAsia="仿宋_GB2312" w:cs="仿宋_GB2312"/>
          <w:sz w:val="32"/>
          <w:szCs w:val="32"/>
          <w:highlight w:val="none"/>
        </w:rPr>
        <w:t>万元；</w:t>
      </w:r>
      <w:r>
        <w:rPr>
          <w:rFonts w:hint="eastAsia" w:ascii="仿宋_GB2312" w:eastAsia="仿宋_GB2312" w:cs="仿宋_GB2312"/>
          <w:color w:val="auto"/>
          <w:sz w:val="32"/>
          <w:szCs w:val="32"/>
          <w:highlight w:val="none"/>
        </w:rPr>
        <w:t>纳入预算绩效管理的特定目标类</w:t>
      </w:r>
      <w:r>
        <w:rPr>
          <w:rFonts w:hint="eastAsia" w:ascii="仿宋_GB2312" w:eastAsia="仿宋_GB2312" w:cs="仿宋_GB2312"/>
          <w:color w:val="auto"/>
          <w:sz w:val="32"/>
          <w:szCs w:val="32"/>
          <w:highlight w:val="none"/>
          <w:lang w:eastAsia="zh-CN"/>
        </w:rPr>
        <w:t>和其他运转类</w:t>
      </w:r>
      <w:r>
        <w:rPr>
          <w:rFonts w:hint="eastAsia" w:ascii="仿宋_GB2312" w:eastAsia="仿宋_GB2312" w:cs="仿宋_GB2312"/>
          <w:color w:val="auto"/>
          <w:sz w:val="32"/>
          <w:szCs w:val="32"/>
          <w:highlight w:val="none"/>
        </w:rPr>
        <w:t>项目共</w:t>
      </w:r>
      <w:r>
        <w:rPr>
          <w:rFonts w:hint="eastAsia" w:ascii="仿宋_GB2312" w:eastAsia="仿宋_GB2312" w:cs="仿宋_GB2312"/>
          <w:color w:val="auto"/>
          <w:sz w:val="32"/>
          <w:szCs w:val="32"/>
          <w:highlight w:val="none"/>
          <w:lang w:val="en-US" w:eastAsia="zh-CN"/>
        </w:rPr>
        <w:t>10</w:t>
      </w:r>
      <w:r>
        <w:rPr>
          <w:rFonts w:hint="eastAsia" w:ascii="仿宋_GB2312" w:eastAsia="仿宋_GB2312" w:cs="仿宋_GB2312"/>
          <w:color w:val="auto"/>
          <w:sz w:val="32"/>
          <w:szCs w:val="32"/>
          <w:highlight w:val="none"/>
        </w:rPr>
        <w:t>个</w:t>
      </w:r>
      <w:r>
        <w:rPr>
          <w:rFonts w:hint="eastAsia" w:ascii="仿宋_GB2312" w:eastAsia="仿宋_GB2312" w:cs="仿宋_GB2312"/>
          <w:sz w:val="32"/>
          <w:szCs w:val="32"/>
          <w:highlight w:val="none"/>
        </w:rPr>
        <w:t>，涉及资金</w:t>
      </w:r>
      <w:r>
        <w:rPr>
          <w:rFonts w:hint="eastAsia" w:ascii="仿宋_GB2312" w:eastAsia="仿宋_GB2312" w:cs="仿宋_GB2312"/>
          <w:sz w:val="32"/>
          <w:szCs w:val="32"/>
          <w:highlight w:val="none"/>
          <w:lang w:val="en-US" w:eastAsia="zh-CN"/>
        </w:rPr>
        <w:t>1163.24</w:t>
      </w:r>
      <w:r>
        <w:rPr>
          <w:rFonts w:hint="eastAsia" w:ascii="仿宋_GB2312" w:eastAsia="仿宋_GB2312" w:cs="仿宋_GB2312"/>
          <w:sz w:val="32"/>
          <w:szCs w:val="32"/>
          <w:highlight w:val="none"/>
        </w:rPr>
        <w:t xml:space="preserve">万元。 </w:t>
      </w:r>
    </w:p>
    <w:p w14:paraId="5AE55154">
      <w:pPr>
        <w:spacing w:line="560" w:lineRule="exact"/>
        <w:ind w:firstLine="646" w:firstLineChars="200"/>
        <w:rPr>
          <w:rFonts w:ascii="黑体" w:hAnsi="黑体" w:eastAsia="黑体"/>
          <w:sz w:val="32"/>
          <w:szCs w:val="32"/>
          <w:highlight w:val="none"/>
        </w:rPr>
      </w:pPr>
      <w:r>
        <w:rPr>
          <w:rFonts w:hint="eastAsia" w:ascii="黑体" w:hAnsi="黑体" w:eastAsia="黑体"/>
          <w:sz w:val="32"/>
          <w:szCs w:val="32"/>
          <w:highlight w:val="none"/>
          <w:lang w:val="en-US" w:eastAsia="zh-CN"/>
        </w:rPr>
        <w:t>2025</w:t>
      </w:r>
      <w:r>
        <w:rPr>
          <w:rFonts w:hint="eastAsia" w:ascii="黑体" w:hAnsi="黑体" w:eastAsia="黑体"/>
          <w:sz w:val="32"/>
          <w:szCs w:val="32"/>
          <w:highlight w:val="none"/>
        </w:rPr>
        <w:t>年预算收支比</w:t>
      </w:r>
      <w:r>
        <w:rPr>
          <w:rFonts w:hint="eastAsia" w:ascii="黑体" w:hAnsi="黑体" w:eastAsia="黑体"/>
          <w:sz w:val="32"/>
          <w:szCs w:val="32"/>
          <w:highlight w:val="none"/>
          <w:lang w:eastAsia="zh-CN"/>
        </w:rPr>
        <w:t>上</w:t>
      </w:r>
      <w:r>
        <w:rPr>
          <w:rFonts w:hint="eastAsia" w:ascii="黑体" w:hAnsi="黑体" w:eastAsia="黑体"/>
          <w:sz w:val="32"/>
          <w:szCs w:val="32"/>
          <w:highlight w:val="none"/>
        </w:rPr>
        <w:t>年减少</w:t>
      </w:r>
      <w:r>
        <w:rPr>
          <w:rFonts w:hint="eastAsia" w:ascii="黑体" w:hAnsi="黑体" w:eastAsia="黑体"/>
          <w:sz w:val="32"/>
          <w:szCs w:val="32"/>
          <w:highlight w:val="none"/>
          <w:lang w:val="en-US" w:eastAsia="zh-CN"/>
        </w:rPr>
        <w:t>169.57</w:t>
      </w:r>
      <w:r>
        <w:rPr>
          <w:rFonts w:hint="eastAsia" w:ascii="黑体" w:hAnsi="黑体" w:eastAsia="黑体"/>
          <w:sz w:val="32"/>
          <w:szCs w:val="32"/>
          <w:highlight w:val="none"/>
        </w:rPr>
        <w:t>万元，减</w:t>
      </w:r>
      <w:r>
        <w:rPr>
          <w:rFonts w:hint="eastAsia" w:ascii="黑体" w:hAnsi="黑体" w:eastAsia="黑体"/>
          <w:sz w:val="32"/>
          <w:szCs w:val="32"/>
          <w:highlight w:val="none"/>
          <w:lang w:val="en-US" w:eastAsia="zh-CN"/>
        </w:rPr>
        <w:t>少</w:t>
      </w:r>
      <w:r>
        <w:rPr>
          <w:rFonts w:hint="eastAsia" w:ascii="黑体" w:hAnsi="黑体" w:eastAsia="黑体"/>
          <w:sz w:val="32"/>
          <w:szCs w:val="32"/>
          <w:highlight w:val="none"/>
        </w:rPr>
        <w:t>变化的主要原因为</w:t>
      </w:r>
      <w:r>
        <w:rPr>
          <w:rFonts w:hint="eastAsia" w:ascii="黑体" w:hAnsi="黑体" w:eastAsia="黑体"/>
          <w:sz w:val="32"/>
          <w:szCs w:val="32"/>
          <w:highlight w:val="none"/>
          <w:lang w:eastAsia="zh-CN"/>
        </w:rPr>
        <w:t>：</w:t>
      </w:r>
      <w:r>
        <w:rPr>
          <w:rFonts w:hint="eastAsia" w:ascii="黑体" w:hAnsi="黑体" w:eastAsia="黑体"/>
          <w:sz w:val="32"/>
          <w:szCs w:val="32"/>
          <w:highlight w:val="none"/>
          <w:lang w:val="en-US" w:eastAsia="zh-CN"/>
        </w:rPr>
        <w:t>1、人员减少，其中：退休2人调转2人辞职1人；2、压减项目支出成本</w:t>
      </w:r>
      <w:r>
        <w:rPr>
          <w:rFonts w:hint="eastAsia" w:ascii="黑体" w:hAnsi="黑体" w:eastAsia="黑体"/>
          <w:sz w:val="32"/>
          <w:szCs w:val="32"/>
          <w:highlight w:val="none"/>
        </w:rPr>
        <w:t>。</w:t>
      </w:r>
    </w:p>
    <w:p w14:paraId="748B7273">
      <w:pPr>
        <w:spacing w:line="560" w:lineRule="exact"/>
        <w:ind w:firstLine="646" w:firstLineChars="200"/>
        <w:rPr>
          <w:rFonts w:ascii="黑体" w:hAnsi="黑体" w:eastAsia="黑体"/>
          <w:sz w:val="32"/>
          <w:szCs w:val="32"/>
        </w:rPr>
      </w:pPr>
      <w:r>
        <w:rPr>
          <w:rFonts w:hint="eastAsia" w:ascii="黑体" w:hAnsi="黑体" w:eastAsia="黑体"/>
          <w:sz w:val="32"/>
          <w:szCs w:val="32"/>
        </w:rPr>
        <w:t>二、部门管理专项资金情况</w:t>
      </w:r>
    </w:p>
    <w:p w14:paraId="1601738E">
      <w:pPr>
        <w:spacing w:line="560" w:lineRule="exact"/>
        <w:ind w:firstLine="646"/>
        <w:rPr>
          <w:rFonts w:ascii="黑体" w:hAnsi="黑体" w:eastAsia="黑体" w:cs="黑体"/>
          <w:spacing w:val="-2"/>
          <w:kern w:val="0"/>
          <w:sz w:val="32"/>
          <w:szCs w:val="32"/>
          <w:highlight w:val="green"/>
        </w:rPr>
      </w:pPr>
      <w:r>
        <w:rPr>
          <w:rFonts w:hint="eastAsia" w:ascii="仿宋_GB2312" w:hAnsi="宋体" w:eastAsia="仿宋_GB2312"/>
          <w:sz w:val="32"/>
          <w:szCs w:val="32"/>
          <w:lang w:val="en-US" w:eastAsia="zh-CN"/>
        </w:rPr>
        <w:t>2025</w:t>
      </w:r>
      <w:r>
        <w:rPr>
          <w:rFonts w:hint="eastAsia" w:ascii="仿宋_GB2312" w:hAnsi="宋体" w:eastAsia="仿宋_GB2312"/>
          <w:sz w:val="32"/>
          <w:szCs w:val="32"/>
        </w:rPr>
        <w:t>年，</w:t>
      </w:r>
      <w:r>
        <w:rPr>
          <w:rFonts w:hint="eastAsia" w:ascii="仿宋_GB2312" w:hAnsi="宋体" w:eastAsia="仿宋_GB2312"/>
          <w:sz w:val="32"/>
          <w:szCs w:val="32"/>
          <w:lang w:val="en-US" w:eastAsia="zh-CN"/>
        </w:rPr>
        <w:t>盘锦检验检测中心</w:t>
      </w:r>
      <w:r>
        <w:rPr>
          <w:rFonts w:hint="eastAsia" w:ascii="仿宋_GB2312" w:hAnsi="宋体" w:eastAsia="仿宋_GB2312"/>
          <w:sz w:val="32"/>
          <w:szCs w:val="32"/>
        </w:rPr>
        <w:t>管理专项资金共</w:t>
      </w:r>
      <w:r>
        <w:rPr>
          <w:rFonts w:hint="eastAsia" w:ascii="仿宋_GB2312" w:hAnsi="宋体" w:eastAsia="仿宋_GB2312"/>
          <w:sz w:val="32"/>
          <w:szCs w:val="32"/>
          <w:lang w:val="en-US" w:eastAsia="zh-CN"/>
        </w:rPr>
        <w:t>0</w:t>
      </w:r>
      <w:r>
        <w:rPr>
          <w:rFonts w:hint="eastAsia" w:ascii="仿宋_GB2312" w:hAnsi="宋体" w:eastAsia="仿宋_GB2312"/>
          <w:sz w:val="32"/>
          <w:szCs w:val="32"/>
        </w:rPr>
        <w:t>个，</w:t>
      </w:r>
      <w:r>
        <w:rPr>
          <w:rFonts w:hint="eastAsia" w:ascii="仿宋_GB2312" w:hAnsi="仿宋_GB2312" w:eastAsia="仿宋_GB2312"/>
          <w:spacing w:val="-2"/>
          <w:kern w:val="0"/>
          <w:sz w:val="32"/>
          <w:szCs w:val="32"/>
        </w:rPr>
        <w:t>涉及资金</w:t>
      </w:r>
      <w:r>
        <w:rPr>
          <w:rFonts w:hint="eastAsia" w:ascii="仿宋_GB2312" w:hAnsi="仿宋_GB2312" w:eastAsia="仿宋_GB2312"/>
          <w:spacing w:val="-2"/>
          <w:kern w:val="0"/>
          <w:sz w:val="32"/>
          <w:szCs w:val="32"/>
          <w:lang w:val="en-US" w:eastAsia="zh-CN"/>
        </w:rPr>
        <w:t>0</w:t>
      </w:r>
      <w:r>
        <w:rPr>
          <w:rFonts w:hint="eastAsia" w:ascii="仿宋_GB2312" w:hAnsi="仿宋_GB2312" w:eastAsia="仿宋_GB2312"/>
          <w:spacing w:val="-2"/>
          <w:kern w:val="0"/>
          <w:sz w:val="32"/>
          <w:szCs w:val="32"/>
        </w:rPr>
        <w:t>万元。</w:t>
      </w:r>
    </w:p>
    <w:p w14:paraId="2BFC8280">
      <w:pPr>
        <w:spacing w:line="560" w:lineRule="exact"/>
        <w:ind w:firstLine="645"/>
        <w:rPr>
          <w:rFonts w:ascii="黑体" w:hAnsi="宋体" w:eastAsia="黑体"/>
          <w:sz w:val="32"/>
          <w:szCs w:val="32"/>
        </w:rPr>
      </w:pPr>
      <w:r>
        <w:rPr>
          <w:rFonts w:hint="eastAsia" w:ascii="黑体" w:hAnsi="宋体" w:eastAsia="黑体"/>
          <w:sz w:val="32"/>
          <w:szCs w:val="32"/>
        </w:rPr>
        <w:t>三、机关运行经费安排情况</w:t>
      </w:r>
    </w:p>
    <w:p w14:paraId="022BDC9C">
      <w:pPr>
        <w:spacing w:line="600" w:lineRule="exact"/>
        <w:ind w:firstLine="629" w:firstLineChars="195"/>
        <w:rPr>
          <w:rFonts w:hint="eastAsia" w:ascii="仿宋_GB2312" w:hAnsi="仿宋_GB2312" w:eastAsia="仿宋_GB2312" w:cs="仿宋_GB2312"/>
          <w:sz w:val="32"/>
          <w:highlight w:val="none"/>
        </w:rPr>
      </w:pPr>
      <w:r>
        <w:rPr>
          <w:rFonts w:hint="eastAsia" w:ascii="仿宋_GB2312" w:hAnsi="仿宋_GB2312" w:eastAsia="仿宋_GB2312" w:cs="仿宋_GB2312"/>
          <w:sz w:val="32"/>
        </w:rPr>
        <w:t>盘锦检验检测中心为公益事业单位，无机关运行经费。</w:t>
      </w:r>
      <w:bookmarkStart w:id="1" w:name="_GoBack"/>
      <w:bookmarkEnd w:id="1"/>
    </w:p>
    <w:p w14:paraId="0FF5AC6A">
      <w:pPr>
        <w:spacing w:line="560" w:lineRule="exact"/>
        <w:ind w:firstLine="660"/>
        <w:rPr>
          <w:rFonts w:ascii="黑体" w:hAnsi="黑体" w:eastAsia="黑体"/>
          <w:sz w:val="32"/>
          <w:szCs w:val="32"/>
        </w:rPr>
      </w:pPr>
      <w:r>
        <w:rPr>
          <w:rFonts w:hint="eastAsia" w:ascii="黑体" w:hAnsi="黑体" w:eastAsia="黑体"/>
          <w:sz w:val="32"/>
          <w:szCs w:val="32"/>
        </w:rPr>
        <w:t>四、政府采购情况</w:t>
      </w:r>
    </w:p>
    <w:p w14:paraId="5BBC5168">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646"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2025年盘锦检验检测中心安排政府采购预算414.50万元，具体为货物198万元，服务216.5万元，工程0万元；预留面向中小企业采购份额0万元，其中预留给小微企业0万元。</w:t>
      </w:r>
    </w:p>
    <w:p w14:paraId="6EBBC99A">
      <w:pPr>
        <w:spacing w:line="560" w:lineRule="exact"/>
        <w:ind w:firstLine="660"/>
        <w:rPr>
          <w:rFonts w:ascii="黑体" w:hAnsi="黑体" w:eastAsia="黑体"/>
          <w:sz w:val="32"/>
          <w:szCs w:val="32"/>
        </w:rPr>
      </w:pPr>
      <w:r>
        <w:rPr>
          <w:rFonts w:hint="eastAsia" w:ascii="黑体" w:hAnsi="黑体" w:eastAsia="黑体"/>
          <w:sz w:val="32"/>
          <w:szCs w:val="32"/>
        </w:rPr>
        <w:t>五、“三公”经费预算情况</w:t>
      </w:r>
    </w:p>
    <w:p w14:paraId="72B9BD6D">
      <w:pPr>
        <w:spacing w:line="560" w:lineRule="exact"/>
        <w:ind w:firstLine="660"/>
        <w:rPr>
          <w:rFonts w:ascii="仿宋_GB2312" w:eastAsia="仿宋_GB2312"/>
          <w:sz w:val="32"/>
          <w:szCs w:val="32"/>
        </w:rPr>
      </w:pPr>
      <w:r>
        <w:rPr>
          <w:rFonts w:hint="eastAsia" w:ascii="仿宋_GB2312" w:eastAsia="仿宋_GB2312"/>
          <w:sz w:val="32"/>
          <w:szCs w:val="32"/>
          <w:lang w:val="en-US" w:eastAsia="zh-CN"/>
        </w:rPr>
        <w:t>2025</w:t>
      </w:r>
      <w:r>
        <w:rPr>
          <w:rFonts w:hint="eastAsia" w:ascii="仿宋_GB2312" w:eastAsia="仿宋_GB2312"/>
          <w:sz w:val="32"/>
          <w:szCs w:val="32"/>
        </w:rPr>
        <w:t>年，</w:t>
      </w:r>
      <w:r>
        <w:rPr>
          <w:rFonts w:hint="eastAsia" w:ascii="仿宋_GB2312" w:eastAsia="仿宋_GB2312"/>
          <w:sz w:val="32"/>
          <w:szCs w:val="32"/>
          <w:lang w:val="en-US" w:eastAsia="zh-CN"/>
        </w:rPr>
        <w:t>盘锦检验检测中心</w:t>
      </w:r>
      <w:r>
        <w:rPr>
          <w:rFonts w:hint="eastAsia" w:ascii="仿宋_GB2312" w:eastAsia="仿宋_GB2312"/>
          <w:sz w:val="32"/>
          <w:szCs w:val="32"/>
          <w:lang w:eastAsia="zh-CN"/>
        </w:rPr>
        <w:t>财政拨款</w:t>
      </w:r>
      <w:r>
        <w:rPr>
          <w:rFonts w:hint="eastAsia" w:ascii="仿宋_GB2312" w:eastAsia="仿宋_GB2312"/>
          <w:sz w:val="32"/>
          <w:szCs w:val="32"/>
        </w:rPr>
        <w:t>预算安排的 “三公”经费预算为</w:t>
      </w:r>
      <w:r>
        <w:rPr>
          <w:rFonts w:hint="eastAsia" w:ascii="仿宋_GB2312" w:eastAsia="仿宋_GB2312"/>
          <w:sz w:val="32"/>
          <w:szCs w:val="32"/>
          <w:lang w:val="en-US" w:eastAsia="zh-CN"/>
        </w:rPr>
        <w:t>10</w:t>
      </w:r>
      <w:r>
        <w:rPr>
          <w:rFonts w:hint="eastAsia" w:ascii="仿宋_GB2312" w:eastAsia="仿宋_GB2312"/>
          <w:sz w:val="32"/>
          <w:szCs w:val="32"/>
        </w:rPr>
        <w:t>万元，</w:t>
      </w:r>
      <w:r>
        <w:rPr>
          <w:rFonts w:hint="eastAsia" w:ascii="仿宋_GB2312" w:eastAsia="仿宋_GB2312"/>
          <w:sz w:val="32"/>
          <w:szCs w:val="32"/>
          <w:lang w:val="en-US" w:eastAsia="zh-CN"/>
        </w:rPr>
        <w:t>与上年持平</w:t>
      </w:r>
      <w:r>
        <w:rPr>
          <w:rFonts w:hint="eastAsia" w:ascii="仿宋_GB2312" w:eastAsia="仿宋_GB2312"/>
          <w:sz w:val="32"/>
          <w:szCs w:val="32"/>
        </w:rPr>
        <w:t>。其中：</w:t>
      </w:r>
    </w:p>
    <w:p w14:paraId="475EB6C3">
      <w:pPr>
        <w:spacing w:line="560" w:lineRule="exact"/>
        <w:ind w:firstLine="660"/>
        <w:rPr>
          <w:rFonts w:ascii="仿宋_GB2312" w:eastAsia="仿宋_GB2312"/>
          <w:sz w:val="32"/>
          <w:szCs w:val="32"/>
        </w:rPr>
      </w:pPr>
      <w:r>
        <w:rPr>
          <w:rFonts w:hint="eastAsia" w:ascii="仿宋_GB2312" w:eastAsia="仿宋_GB2312"/>
          <w:sz w:val="32"/>
          <w:szCs w:val="32"/>
        </w:rPr>
        <w:t>1.因公出国（境）费</w:t>
      </w:r>
      <w:r>
        <w:rPr>
          <w:rFonts w:hint="eastAsia" w:ascii="仿宋_GB2312" w:eastAsia="仿宋_GB2312"/>
          <w:sz w:val="32"/>
          <w:szCs w:val="32"/>
          <w:lang w:val="en-US" w:eastAsia="zh-CN"/>
        </w:rPr>
        <w:t>0</w:t>
      </w:r>
      <w:r>
        <w:rPr>
          <w:rFonts w:hint="eastAsia" w:ascii="仿宋_GB2312" w:eastAsia="仿宋_GB2312"/>
          <w:sz w:val="32"/>
          <w:szCs w:val="32"/>
        </w:rPr>
        <w:t>万元，比</w:t>
      </w:r>
      <w:r>
        <w:rPr>
          <w:rFonts w:hint="eastAsia" w:ascii="仿宋_GB2312" w:eastAsia="仿宋_GB2312"/>
          <w:sz w:val="32"/>
          <w:szCs w:val="32"/>
          <w:lang w:eastAsia="zh-CN"/>
        </w:rPr>
        <w:t>上</w:t>
      </w:r>
      <w:r>
        <w:rPr>
          <w:rFonts w:hint="eastAsia" w:ascii="仿宋_GB2312" w:eastAsia="仿宋_GB2312"/>
          <w:sz w:val="32"/>
          <w:szCs w:val="32"/>
        </w:rPr>
        <w:t>年减少（增加）</w:t>
      </w:r>
      <w:r>
        <w:rPr>
          <w:rFonts w:hint="eastAsia" w:ascii="仿宋_GB2312" w:eastAsia="仿宋_GB2312"/>
          <w:sz w:val="32"/>
          <w:szCs w:val="32"/>
          <w:lang w:val="en-US" w:eastAsia="zh-CN"/>
        </w:rPr>
        <w:t>0</w:t>
      </w:r>
      <w:r>
        <w:rPr>
          <w:rFonts w:hint="eastAsia" w:ascii="仿宋_GB2312" w:eastAsia="仿宋_GB2312"/>
          <w:sz w:val="32"/>
          <w:szCs w:val="32"/>
        </w:rPr>
        <w:t>万元，下降（增长）</w:t>
      </w:r>
      <w:r>
        <w:rPr>
          <w:rFonts w:hint="eastAsia" w:ascii="仿宋_GB2312" w:eastAsia="仿宋_GB2312"/>
          <w:sz w:val="32"/>
          <w:szCs w:val="32"/>
          <w:lang w:val="en-US" w:eastAsia="zh-CN"/>
        </w:rPr>
        <w:t>0</w:t>
      </w:r>
      <w:r>
        <w:rPr>
          <w:rFonts w:hint="eastAsia" w:ascii="仿宋_GB2312" w:eastAsia="仿宋_GB2312"/>
          <w:sz w:val="32"/>
          <w:szCs w:val="32"/>
        </w:rPr>
        <w:t>%。</w:t>
      </w:r>
    </w:p>
    <w:p w14:paraId="130049FC">
      <w:pPr>
        <w:spacing w:line="560" w:lineRule="exact"/>
        <w:ind w:firstLine="660"/>
        <w:rPr>
          <w:rFonts w:ascii="仿宋_GB2312" w:eastAsia="仿宋_GB2312"/>
          <w:sz w:val="32"/>
          <w:szCs w:val="32"/>
        </w:rPr>
      </w:pPr>
      <w:r>
        <w:rPr>
          <w:rFonts w:hint="eastAsia" w:ascii="仿宋_GB2312" w:eastAsia="仿宋_GB2312"/>
          <w:sz w:val="32"/>
          <w:szCs w:val="32"/>
        </w:rPr>
        <w:t>2.公务接待费</w:t>
      </w:r>
      <w:r>
        <w:rPr>
          <w:rFonts w:hint="eastAsia" w:ascii="仿宋_GB2312" w:eastAsia="仿宋_GB2312"/>
          <w:sz w:val="32"/>
          <w:szCs w:val="32"/>
          <w:lang w:val="en-US" w:eastAsia="zh-CN"/>
        </w:rPr>
        <w:t>0</w:t>
      </w:r>
      <w:r>
        <w:rPr>
          <w:rFonts w:hint="eastAsia" w:ascii="仿宋_GB2312" w:eastAsia="仿宋_GB2312"/>
          <w:sz w:val="32"/>
          <w:szCs w:val="32"/>
        </w:rPr>
        <w:t>万元，比</w:t>
      </w:r>
      <w:r>
        <w:rPr>
          <w:rFonts w:hint="eastAsia" w:ascii="仿宋_GB2312" w:eastAsia="仿宋_GB2312"/>
          <w:sz w:val="32"/>
          <w:szCs w:val="32"/>
          <w:lang w:eastAsia="zh-CN"/>
        </w:rPr>
        <w:t>上</w:t>
      </w:r>
      <w:r>
        <w:rPr>
          <w:rFonts w:hint="eastAsia" w:ascii="仿宋_GB2312" w:eastAsia="仿宋_GB2312"/>
          <w:sz w:val="32"/>
          <w:szCs w:val="32"/>
        </w:rPr>
        <w:t>年减少（增加）</w:t>
      </w:r>
      <w:r>
        <w:rPr>
          <w:rFonts w:hint="eastAsia" w:ascii="仿宋_GB2312" w:eastAsia="仿宋_GB2312"/>
          <w:sz w:val="32"/>
          <w:szCs w:val="32"/>
          <w:lang w:val="en-US" w:eastAsia="zh-CN"/>
        </w:rPr>
        <w:t>0</w:t>
      </w:r>
      <w:r>
        <w:rPr>
          <w:rFonts w:hint="eastAsia" w:ascii="仿宋_GB2312" w:eastAsia="仿宋_GB2312"/>
          <w:sz w:val="32"/>
          <w:szCs w:val="32"/>
        </w:rPr>
        <w:t>万元，下降（增长）</w:t>
      </w:r>
      <w:r>
        <w:rPr>
          <w:rFonts w:hint="eastAsia" w:ascii="仿宋_GB2312" w:eastAsia="仿宋_GB2312"/>
          <w:sz w:val="32"/>
          <w:szCs w:val="32"/>
          <w:lang w:val="en-US" w:eastAsia="zh-CN"/>
        </w:rPr>
        <w:t>0</w:t>
      </w:r>
      <w:r>
        <w:rPr>
          <w:rFonts w:hint="eastAsia" w:ascii="仿宋_GB2312" w:eastAsia="仿宋_GB2312"/>
          <w:sz w:val="32"/>
          <w:szCs w:val="32"/>
        </w:rPr>
        <w:t>%。</w:t>
      </w:r>
    </w:p>
    <w:p w14:paraId="4B3BB4D6">
      <w:pPr>
        <w:spacing w:line="560" w:lineRule="exact"/>
        <w:ind w:firstLine="660"/>
        <w:rPr>
          <w:rFonts w:ascii="仿宋_GB2312" w:eastAsia="仿宋_GB2312"/>
          <w:sz w:val="32"/>
          <w:szCs w:val="32"/>
        </w:rPr>
      </w:pPr>
      <w:r>
        <w:rPr>
          <w:rFonts w:hint="eastAsia" w:ascii="仿宋_GB2312" w:eastAsia="仿宋_GB2312"/>
          <w:sz w:val="32"/>
          <w:szCs w:val="32"/>
        </w:rPr>
        <w:t>3.公务用车购置及运行费</w:t>
      </w:r>
      <w:r>
        <w:rPr>
          <w:rFonts w:hint="eastAsia" w:ascii="仿宋_GB2312" w:eastAsia="仿宋_GB2312"/>
          <w:sz w:val="32"/>
          <w:szCs w:val="32"/>
          <w:lang w:val="en-US" w:eastAsia="zh-CN"/>
        </w:rPr>
        <w:t>10</w:t>
      </w:r>
      <w:r>
        <w:rPr>
          <w:rFonts w:hint="eastAsia" w:ascii="仿宋_GB2312" w:eastAsia="仿宋_GB2312"/>
          <w:sz w:val="32"/>
          <w:szCs w:val="32"/>
        </w:rPr>
        <w:t>万元（其中：公务用车购置费</w:t>
      </w:r>
      <w:r>
        <w:rPr>
          <w:rFonts w:hint="eastAsia" w:ascii="仿宋_GB2312" w:eastAsia="仿宋_GB2312"/>
          <w:sz w:val="32"/>
          <w:szCs w:val="32"/>
          <w:lang w:val="en-US" w:eastAsia="zh-CN"/>
        </w:rPr>
        <w:t>0</w:t>
      </w:r>
      <w:r>
        <w:rPr>
          <w:rFonts w:hint="eastAsia" w:ascii="仿宋_GB2312" w:eastAsia="仿宋_GB2312"/>
          <w:sz w:val="32"/>
          <w:szCs w:val="32"/>
        </w:rPr>
        <w:t>万元，比</w:t>
      </w:r>
      <w:r>
        <w:rPr>
          <w:rFonts w:hint="eastAsia" w:ascii="仿宋_GB2312" w:eastAsia="仿宋_GB2312"/>
          <w:sz w:val="32"/>
          <w:szCs w:val="32"/>
          <w:lang w:eastAsia="zh-CN"/>
        </w:rPr>
        <w:t>上</w:t>
      </w:r>
      <w:r>
        <w:rPr>
          <w:rFonts w:hint="eastAsia" w:ascii="仿宋_GB2312" w:eastAsia="仿宋_GB2312"/>
          <w:sz w:val="32"/>
          <w:szCs w:val="32"/>
        </w:rPr>
        <w:t>年减少（增加）</w:t>
      </w:r>
      <w:r>
        <w:rPr>
          <w:rFonts w:hint="eastAsia" w:ascii="仿宋_GB2312" w:eastAsia="仿宋_GB2312"/>
          <w:sz w:val="32"/>
          <w:szCs w:val="32"/>
          <w:lang w:val="en-US" w:eastAsia="zh-CN"/>
        </w:rPr>
        <w:t>0</w:t>
      </w:r>
      <w:r>
        <w:rPr>
          <w:rFonts w:hint="eastAsia" w:ascii="仿宋_GB2312" w:eastAsia="仿宋_GB2312"/>
          <w:sz w:val="32"/>
          <w:szCs w:val="32"/>
        </w:rPr>
        <w:t>万元，下降（增长）</w:t>
      </w:r>
      <w:r>
        <w:rPr>
          <w:rFonts w:hint="eastAsia" w:ascii="仿宋_GB2312" w:eastAsia="仿宋_GB2312"/>
          <w:sz w:val="32"/>
          <w:szCs w:val="32"/>
          <w:lang w:val="en-US" w:eastAsia="zh-CN"/>
        </w:rPr>
        <w:t>0</w:t>
      </w:r>
      <w:r>
        <w:rPr>
          <w:rFonts w:hint="eastAsia" w:ascii="仿宋_GB2312" w:eastAsia="仿宋_GB2312"/>
          <w:sz w:val="32"/>
          <w:szCs w:val="32"/>
        </w:rPr>
        <w:t>%；公务用车运行费</w:t>
      </w:r>
      <w:r>
        <w:rPr>
          <w:rFonts w:hint="eastAsia" w:ascii="仿宋_GB2312" w:eastAsia="仿宋_GB2312"/>
          <w:sz w:val="32"/>
          <w:szCs w:val="32"/>
          <w:lang w:val="en-US" w:eastAsia="zh-CN"/>
        </w:rPr>
        <w:t>10</w:t>
      </w:r>
      <w:r>
        <w:rPr>
          <w:rFonts w:hint="eastAsia" w:ascii="仿宋_GB2312" w:eastAsia="仿宋_GB2312"/>
          <w:sz w:val="32"/>
          <w:szCs w:val="32"/>
        </w:rPr>
        <w:t>万元，</w:t>
      </w:r>
      <w:r>
        <w:rPr>
          <w:rFonts w:hint="eastAsia" w:ascii="仿宋_GB2312" w:eastAsia="仿宋_GB2312"/>
          <w:sz w:val="32"/>
          <w:szCs w:val="32"/>
          <w:lang w:val="en-US" w:eastAsia="zh-CN"/>
        </w:rPr>
        <w:t>与上年持平</w:t>
      </w:r>
      <w:r>
        <w:rPr>
          <w:rFonts w:hint="eastAsia" w:ascii="仿宋_GB2312" w:eastAsia="仿宋_GB2312"/>
          <w:sz w:val="32"/>
          <w:szCs w:val="32"/>
        </w:rPr>
        <w:t>。</w:t>
      </w:r>
    </w:p>
    <w:p w14:paraId="6DB2CC19">
      <w:pPr>
        <w:pStyle w:val="2"/>
      </w:pPr>
    </w:p>
    <w:p w14:paraId="1B549C9E"/>
    <w:p w14:paraId="5CAF2FCA">
      <w:pPr>
        <w:pStyle w:val="2"/>
      </w:pPr>
    </w:p>
    <w:tbl>
      <w:tblPr>
        <w:tblStyle w:val="6"/>
        <w:tblW w:w="8835" w:type="dxa"/>
        <w:tblInd w:w="93" w:type="dxa"/>
        <w:tblLayout w:type="fixed"/>
        <w:tblCellMar>
          <w:top w:w="15" w:type="dxa"/>
          <w:left w:w="108" w:type="dxa"/>
          <w:bottom w:w="15" w:type="dxa"/>
          <w:right w:w="108" w:type="dxa"/>
        </w:tblCellMar>
      </w:tblPr>
      <w:tblGrid>
        <w:gridCol w:w="3423"/>
        <w:gridCol w:w="2026"/>
        <w:gridCol w:w="803"/>
        <w:gridCol w:w="2583"/>
      </w:tblGrid>
      <w:tr w14:paraId="1B258BA6">
        <w:tblPrEx>
          <w:tblCellMar>
            <w:top w:w="15" w:type="dxa"/>
            <w:left w:w="108" w:type="dxa"/>
            <w:bottom w:w="15" w:type="dxa"/>
            <w:right w:w="108" w:type="dxa"/>
          </w:tblCellMar>
        </w:tblPrEx>
        <w:trPr>
          <w:trHeight w:val="570" w:hRule="atLeast"/>
        </w:trPr>
        <w:tc>
          <w:tcPr>
            <w:tcW w:w="8835" w:type="dxa"/>
            <w:gridSpan w:val="4"/>
            <w:vAlign w:val="center"/>
          </w:tcPr>
          <w:p w14:paraId="1D29FEE5">
            <w:pPr>
              <w:widowControl/>
              <w:spacing w:line="560" w:lineRule="exact"/>
              <w:jc w:val="center"/>
              <w:rPr>
                <w:rFonts w:ascii="宋体" w:hAnsi="宋体" w:cs="宋体"/>
                <w:b/>
                <w:bCs/>
                <w:color w:val="000000"/>
                <w:kern w:val="0"/>
                <w:sz w:val="30"/>
                <w:szCs w:val="30"/>
              </w:rPr>
            </w:pPr>
            <w:r>
              <w:rPr>
                <w:rFonts w:hint="eastAsia" w:ascii="宋体" w:hAnsi="宋体" w:cs="宋体"/>
                <w:b/>
                <w:bCs/>
                <w:color w:val="000000"/>
                <w:kern w:val="0"/>
                <w:sz w:val="30"/>
                <w:szCs w:val="30"/>
                <w:lang w:eastAsia="zh-CN"/>
              </w:rPr>
              <w:t>财政拨款</w:t>
            </w:r>
            <w:r>
              <w:rPr>
                <w:rFonts w:hint="eastAsia" w:ascii="宋体" w:hAnsi="宋体" w:cs="宋体"/>
                <w:b/>
                <w:bCs/>
                <w:color w:val="000000"/>
                <w:kern w:val="0"/>
                <w:sz w:val="30"/>
                <w:szCs w:val="30"/>
              </w:rPr>
              <w:t>预算“三公”经费支出表</w:t>
            </w:r>
          </w:p>
        </w:tc>
      </w:tr>
      <w:tr w14:paraId="1B18F3C3">
        <w:tblPrEx>
          <w:tblCellMar>
            <w:top w:w="15" w:type="dxa"/>
            <w:left w:w="108" w:type="dxa"/>
            <w:bottom w:w="15" w:type="dxa"/>
            <w:right w:w="108" w:type="dxa"/>
          </w:tblCellMar>
        </w:tblPrEx>
        <w:trPr>
          <w:trHeight w:val="480" w:hRule="atLeast"/>
        </w:trPr>
        <w:tc>
          <w:tcPr>
            <w:tcW w:w="3423" w:type="dxa"/>
            <w:vAlign w:val="center"/>
          </w:tcPr>
          <w:p w14:paraId="3C52BE87">
            <w:pPr>
              <w:widowControl/>
              <w:spacing w:line="560" w:lineRule="exact"/>
              <w:jc w:val="left"/>
              <w:rPr>
                <w:rFonts w:ascii="宋体" w:hAnsi="宋体" w:cs="宋体"/>
                <w:color w:val="000000"/>
                <w:kern w:val="0"/>
                <w:sz w:val="24"/>
              </w:rPr>
            </w:pPr>
          </w:p>
        </w:tc>
        <w:tc>
          <w:tcPr>
            <w:tcW w:w="2026" w:type="dxa"/>
            <w:vAlign w:val="center"/>
          </w:tcPr>
          <w:p w14:paraId="7606E3E2">
            <w:pPr>
              <w:widowControl/>
              <w:spacing w:line="560" w:lineRule="exact"/>
              <w:jc w:val="left"/>
              <w:rPr>
                <w:rFonts w:ascii="宋体" w:hAnsi="宋体" w:cs="宋体"/>
                <w:color w:val="000000"/>
                <w:kern w:val="0"/>
                <w:sz w:val="24"/>
              </w:rPr>
            </w:pPr>
          </w:p>
        </w:tc>
        <w:tc>
          <w:tcPr>
            <w:tcW w:w="3386" w:type="dxa"/>
            <w:gridSpan w:val="2"/>
            <w:vAlign w:val="center"/>
          </w:tcPr>
          <w:p w14:paraId="42AC1DF9">
            <w:pPr>
              <w:widowControl/>
              <w:spacing w:line="560" w:lineRule="exact"/>
              <w:jc w:val="right"/>
              <w:rPr>
                <w:rFonts w:ascii="宋体" w:hAnsi="宋体" w:cs="宋体"/>
                <w:color w:val="000000"/>
                <w:kern w:val="0"/>
                <w:sz w:val="24"/>
              </w:rPr>
            </w:pPr>
            <w:r>
              <w:rPr>
                <w:rFonts w:hint="eastAsia" w:ascii="宋体" w:hAnsi="宋体" w:cs="宋体"/>
                <w:color w:val="000000"/>
                <w:kern w:val="0"/>
                <w:sz w:val="24"/>
              </w:rPr>
              <w:t>单位：万元</w:t>
            </w:r>
          </w:p>
        </w:tc>
      </w:tr>
      <w:tr w14:paraId="34691A69">
        <w:tblPrEx>
          <w:tblCellMar>
            <w:top w:w="15" w:type="dxa"/>
            <w:left w:w="108" w:type="dxa"/>
            <w:bottom w:w="15" w:type="dxa"/>
            <w:right w:w="108" w:type="dxa"/>
          </w:tblCellMar>
        </w:tblPrEx>
        <w:trPr>
          <w:trHeight w:val="420" w:hRule="atLeast"/>
        </w:trPr>
        <w:tc>
          <w:tcPr>
            <w:tcW w:w="3423" w:type="dxa"/>
            <w:vMerge w:val="restart"/>
            <w:tcBorders>
              <w:top w:val="single" w:color="000000" w:sz="4" w:space="0"/>
              <w:left w:val="single" w:color="000000" w:sz="4" w:space="0"/>
              <w:bottom w:val="single" w:color="000000" w:sz="4" w:space="0"/>
              <w:right w:val="single" w:color="000000" w:sz="4" w:space="0"/>
            </w:tcBorders>
            <w:vAlign w:val="center"/>
          </w:tcPr>
          <w:p w14:paraId="55332B8C">
            <w:pPr>
              <w:widowControl/>
              <w:spacing w:line="560" w:lineRule="exact"/>
              <w:jc w:val="center"/>
              <w:rPr>
                <w:rFonts w:ascii="宋体" w:hAnsi="宋体" w:cs="宋体"/>
                <w:b/>
                <w:bCs/>
                <w:color w:val="000000"/>
                <w:kern w:val="0"/>
                <w:sz w:val="24"/>
              </w:rPr>
            </w:pPr>
            <w:r>
              <w:rPr>
                <w:rFonts w:hint="eastAsia" w:ascii="宋体" w:hAnsi="宋体" w:cs="宋体"/>
                <w:b/>
                <w:bCs/>
                <w:color w:val="000000"/>
                <w:kern w:val="0"/>
                <w:sz w:val="24"/>
              </w:rPr>
              <w:t>项目</w:t>
            </w:r>
          </w:p>
        </w:tc>
        <w:tc>
          <w:tcPr>
            <w:tcW w:w="5412" w:type="dxa"/>
            <w:gridSpan w:val="3"/>
            <w:tcBorders>
              <w:top w:val="single" w:color="000000" w:sz="4" w:space="0"/>
              <w:left w:val="single" w:color="000000" w:sz="4" w:space="0"/>
              <w:bottom w:val="single" w:color="000000" w:sz="4" w:space="0"/>
              <w:right w:val="single" w:color="000000" w:sz="4" w:space="0"/>
            </w:tcBorders>
            <w:vAlign w:val="center"/>
          </w:tcPr>
          <w:p w14:paraId="03E7827D">
            <w:pPr>
              <w:widowControl/>
              <w:spacing w:line="560" w:lineRule="exact"/>
              <w:jc w:val="center"/>
              <w:rPr>
                <w:rFonts w:ascii="宋体" w:hAnsi="宋体" w:cs="宋体"/>
                <w:b/>
                <w:bCs/>
                <w:color w:val="000000"/>
                <w:kern w:val="0"/>
                <w:sz w:val="24"/>
              </w:rPr>
            </w:pPr>
            <w:r>
              <w:rPr>
                <w:rFonts w:hint="eastAsia" w:ascii="宋体" w:hAnsi="宋体" w:cs="宋体"/>
                <w:b/>
                <w:bCs/>
                <w:color w:val="000000"/>
                <w:kern w:val="0"/>
                <w:sz w:val="24"/>
              </w:rPr>
              <w:t>金额</w:t>
            </w:r>
          </w:p>
        </w:tc>
      </w:tr>
      <w:tr w14:paraId="2972C838">
        <w:tblPrEx>
          <w:tblCellMar>
            <w:top w:w="15" w:type="dxa"/>
            <w:left w:w="108" w:type="dxa"/>
            <w:bottom w:w="15" w:type="dxa"/>
            <w:right w:w="108" w:type="dxa"/>
          </w:tblCellMar>
        </w:tblPrEx>
        <w:trPr>
          <w:trHeight w:val="420" w:hRule="atLeast"/>
        </w:trPr>
        <w:tc>
          <w:tcPr>
            <w:tcW w:w="3423" w:type="dxa"/>
            <w:vMerge w:val="continue"/>
            <w:tcBorders>
              <w:top w:val="single" w:color="000000" w:sz="4" w:space="0"/>
              <w:left w:val="single" w:color="000000" w:sz="4" w:space="0"/>
              <w:bottom w:val="single" w:color="000000" w:sz="4" w:space="0"/>
              <w:right w:val="single" w:color="000000" w:sz="4" w:space="0"/>
            </w:tcBorders>
            <w:vAlign w:val="center"/>
          </w:tcPr>
          <w:p w14:paraId="187E66BF">
            <w:pPr>
              <w:widowControl/>
              <w:spacing w:line="560" w:lineRule="exact"/>
              <w:jc w:val="left"/>
              <w:rPr>
                <w:rFonts w:ascii="宋体" w:hAnsi="宋体" w:cs="宋体"/>
                <w:b/>
                <w:bCs/>
                <w:color w:val="000000"/>
                <w:kern w:val="0"/>
                <w:sz w:val="24"/>
              </w:rPr>
            </w:pPr>
          </w:p>
        </w:tc>
        <w:tc>
          <w:tcPr>
            <w:tcW w:w="2829" w:type="dxa"/>
            <w:gridSpan w:val="2"/>
            <w:tcBorders>
              <w:top w:val="single" w:color="000000" w:sz="4" w:space="0"/>
              <w:left w:val="single" w:color="000000" w:sz="4" w:space="0"/>
              <w:bottom w:val="single" w:color="000000" w:sz="4" w:space="0"/>
              <w:right w:val="single" w:color="000000" w:sz="4" w:space="0"/>
            </w:tcBorders>
            <w:vAlign w:val="center"/>
          </w:tcPr>
          <w:p w14:paraId="0CD86358">
            <w:pPr>
              <w:widowControl/>
              <w:spacing w:line="560" w:lineRule="exact"/>
              <w:jc w:val="center"/>
              <w:rPr>
                <w:rFonts w:ascii="宋体" w:hAnsi="宋体" w:cs="宋体"/>
                <w:b/>
                <w:bCs/>
                <w:color w:val="000000"/>
                <w:kern w:val="0"/>
                <w:sz w:val="24"/>
              </w:rPr>
            </w:pPr>
            <w:r>
              <w:rPr>
                <w:rFonts w:hint="eastAsia" w:ascii="宋体" w:hAnsi="宋体" w:cs="宋体"/>
                <w:b/>
                <w:bCs/>
                <w:color w:val="000000"/>
                <w:kern w:val="0"/>
                <w:sz w:val="24"/>
                <w:lang w:val="en-US" w:eastAsia="zh-CN"/>
              </w:rPr>
              <w:t>（2024）</w:t>
            </w:r>
            <w:r>
              <w:rPr>
                <w:rFonts w:hint="eastAsia" w:ascii="宋体" w:hAnsi="宋体" w:cs="宋体"/>
                <w:b/>
                <w:bCs/>
                <w:color w:val="000000"/>
                <w:kern w:val="0"/>
                <w:sz w:val="24"/>
              </w:rPr>
              <w:t>年</w:t>
            </w:r>
          </w:p>
        </w:tc>
        <w:tc>
          <w:tcPr>
            <w:tcW w:w="2583" w:type="dxa"/>
            <w:tcBorders>
              <w:top w:val="single" w:color="000000" w:sz="4" w:space="0"/>
              <w:left w:val="single" w:color="000000" w:sz="4" w:space="0"/>
              <w:bottom w:val="single" w:color="000000" w:sz="4" w:space="0"/>
              <w:right w:val="single" w:color="000000" w:sz="4" w:space="0"/>
            </w:tcBorders>
            <w:vAlign w:val="center"/>
          </w:tcPr>
          <w:p w14:paraId="73C81541">
            <w:pPr>
              <w:widowControl/>
              <w:spacing w:line="560" w:lineRule="exact"/>
              <w:jc w:val="center"/>
              <w:rPr>
                <w:rFonts w:ascii="宋体" w:hAnsi="宋体" w:cs="宋体"/>
                <w:b/>
                <w:bCs/>
                <w:color w:val="000000"/>
                <w:kern w:val="0"/>
                <w:sz w:val="24"/>
              </w:rPr>
            </w:pPr>
            <w:r>
              <w:rPr>
                <w:rFonts w:hint="eastAsia" w:ascii="宋体" w:hAnsi="宋体" w:cs="宋体"/>
                <w:b/>
                <w:bCs/>
                <w:color w:val="000000"/>
                <w:kern w:val="0"/>
                <w:sz w:val="24"/>
                <w:lang w:val="en-US" w:eastAsia="zh-CN"/>
              </w:rPr>
              <w:t>2025</w:t>
            </w:r>
            <w:r>
              <w:rPr>
                <w:rFonts w:hint="eastAsia" w:ascii="宋体" w:hAnsi="宋体" w:cs="宋体"/>
                <w:b/>
                <w:bCs/>
                <w:color w:val="000000"/>
                <w:kern w:val="0"/>
                <w:sz w:val="24"/>
              </w:rPr>
              <w:t>年</w:t>
            </w:r>
          </w:p>
        </w:tc>
      </w:tr>
      <w:tr w14:paraId="09182C0D">
        <w:tblPrEx>
          <w:tblCellMar>
            <w:top w:w="15" w:type="dxa"/>
            <w:left w:w="108" w:type="dxa"/>
            <w:bottom w:w="15" w:type="dxa"/>
            <w:right w:w="108" w:type="dxa"/>
          </w:tblCellMar>
        </w:tblPrEx>
        <w:trPr>
          <w:trHeight w:val="420" w:hRule="atLeast"/>
        </w:trPr>
        <w:tc>
          <w:tcPr>
            <w:tcW w:w="3423" w:type="dxa"/>
            <w:tcBorders>
              <w:top w:val="single" w:color="000000" w:sz="4" w:space="0"/>
              <w:left w:val="single" w:color="000000" w:sz="4" w:space="0"/>
              <w:bottom w:val="single" w:color="000000" w:sz="4" w:space="0"/>
              <w:right w:val="single" w:color="000000" w:sz="4" w:space="0"/>
            </w:tcBorders>
            <w:vAlign w:val="center"/>
          </w:tcPr>
          <w:p w14:paraId="03085969">
            <w:pPr>
              <w:widowControl/>
              <w:spacing w:line="560" w:lineRule="exact"/>
              <w:jc w:val="center"/>
              <w:rPr>
                <w:rFonts w:ascii="宋体" w:hAnsi="宋体" w:cs="宋体"/>
                <w:b/>
                <w:bCs/>
                <w:color w:val="000000"/>
                <w:kern w:val="0"/>
                <w:sz w:val="24"/>
              </w:rPr>
            </w:pPr>
            <w:r>
              <w:rPr>
                <w:rFonts w:hint="eastAsia" w:ascii="宋体" w:hAnsi="宋体" w:cs="宋体"/>
                <w:b/>
                <w:bCs/>
                <w:color w:val="000000"/>
                <w:kern w:val="0"/>
                <w:sz w:val="24"/>
              </w:rPr>
              <w:t>合计</w:t>
            </w:r>
          </w:p>
        </w:tc>
        <w:tc>
          <w:tcPr>
            <w:tcW w:w="2829" w:type="dxa"/>
            <w:gridSpan w:val="2"/>
            <w:tcBorders>
              <w:top w:val="single" w:color="000000" w:sz="4" w:space="0"/>
              <w:left w:val="single" w:color="000000" w:sz="4" w:space="0"/>
              <w:bottom w:val="single" w:color="000000" w:sz="4" w:space="0"/>
              <w:right w:val="single" w:color="000000" w:sz="4" w:space="0"/>
            </w:tcBorders>
            <w:vAlign w:val="center"/>
          </w:tcPr>
          <w:p w14:paraId="2939A6FC">
            <w:pPr>
              <w:widowControl/>
              <w:spacing w:line="560" w:lineRule="exact"/>
              <w:jc w:val="center"/>
              <w:rPr>
                <w:rFonts w:ascii="宋体" w:hAnsi="宋体" w:cs="宋体"/>
                <w:b/>
                <w:bCs/>
                <w:color w:val="000000"/>
                <w:kern w:val="0"/>
                <w:sz w:val="24"/>
              </w:rPr>
            </w:pPr>
          </w:p>
        </w:tc>
        <w:tc>
          <w:tcPr>
            <w:tcW w:w="2583" w:type="dxa"/>
            <w:tcBorders>
              <w:top w:val="single" w:color="000000" w:sz="4" w:space="0"/>
              <w:left w:val="single" w:color="000000" w:sz="4" w:space="0"/>
              <w:bottom w:val="single" w:color="000000" w:sz="4" w:space="0"/>
              <w:right w:val="single" w:color="000000" w:sz="4" w:space="0"/>
            </w:tcBorders>
            <w:vAlign w:val="center"/>
          </w:tcPr>
          <w:p w14:paraId="6223CDEF">
            <w:pPr>
              <w:widowControl/>
              <w:spacing w:line="560" w:lineRule="exact"/>
              <w:jc w:val="center"/>
              <w:rPr>
                <w:rFonts w:ascii="宋体" w:hAnsi="宋体" w:cs="宋体"/>
                <w:b/>
                <w:bCs/>
                <w:color w:val="000000"/>
                <w:kern w:val="0"/>
                <w:sz w:val="24"/>
              </w:rPr>
            </w:pPr>
          </w:p>
        </w:tc>
      </w:tr>
      <w:tr w14:paraId="74D9C1EF">
        <w:tblPrEx>
          <w:tblCellMar>
            <w:top w:w="15" w:type="dxa"/>
            <w:left w:w="108" w:type="dxa"/>
            <w:bottom w:w="15" w:type="dxa"/>
            <w:right w:w="108" w:type="dxa"/>
          </w:tblCellMar>
        </w:tblPrEx>
        <w:trPr>
          <w:trHeight w:val="420" w:hRule="atLeast"/>
        </w:trPr>
        <w:tc>
          <w:tcPr>
            <w:tcW w:w="3423" w:type="dxa"/>
            <w:tcBorders>
              <w:top w:val="single" w:color="000000" w:sz="4" w:space="0"/>
              <w:left w:val="single" w:color="000000" w:sz="4" w:space="0"/>
              <w:bottom w:val="single" w:color="000000" w:sz="4" w:space="0"/>
              <w:right w:val="single" w:color="000000" w:sz="4" w:space="0"/>
            </w:tcBorders>
            <w:vAlign w:val="center"/>
          </w:tcPr>
          <w:p w14:paraId="463855EA">
            <w:pPr>
              <w:widowControl/>
              <w:spacing w:line="560" w:lineRule="exact"/>
              <w:jc w:val="left"/>
              <w:rPr>
                <w:rFonts w:ascii="宋体" w:hAnsi="宋体" w:cs="宋体"/>
                <w:color w:val="000000"/>
                <w:kern w:val="0"/>
                <w:sz w:val="24"/>
              </w:rPr>
            </w:pPr>
            <w:r>
              <w:rPr>
                <w:rFonts w:hint="eastAsia" w:ascii="宋体" w:hAnsi="宋体" w:cs="宋体"/>
                <w:color w:val="000000"/>
                <w:kern w:val="0"/>
                <w:sz w:val="24"/>
              </w:rPr>
              <w:t>1.因公出国（境）费</w:t>
            </w:r>
          </w:p>
        </w:tc>
        <w:tc>
          <w:tcPr>
            <w:tcW w:w="2829" w:type="dxa"/>
            <w:gridSpan w:val="2"/>
            <w:tcBorders>
              <w:top w:val="single" w:color="000000" w:sz="4" w:space="0"/>
              <w:left w:val="single" w:color="000000" w:sz="4" w:space="0"/>
              <w:bottom w:val="single" w:color="000000" w:sz="4" w:space="0"/>
              <w:right w:val="single" w:color="000000" w:sz="4" w:space="0"/>
            </w:tcBorders>
            <w:vAlign w:val="center"/>
          </w:tcPr>
          <w:p w14:paraId="682AFD89">
            <w:pPr>
              <w:widowControl/>
              <w:spacing w:line="560" w:lineRule="exact"/>
              <w:jc w:val="left"/>
              <w:rPr>
                <w:rFonts w:ascii="宋体" w:hAnsi="宋体" w:cs="宋体"/>
                <w:color w:val="000000"/>
                <w:kern w:val="0"/>
                <w:sz w:val="24"/>
              </w:rPr>
            </w:pPr>
          </w:p>
        </w:tc>
        <w:tc>
          <w:tcPr>
            <w:tcW w:w="2583" w:type="dxa"/>
            <w:tcBorders>
              <w:top w:val="single" w:color="000000" w:sz="4" w:space="0"/>
              <w:left w:val="single" w:color="000000" w:sz="4" w:space="0"/>
              <w:bottom w:val="single" w:color="000000" w:sz="4" w:space="0"/>
              <w:right w:val="single" w:color="000000" w:sz="4" w:space="0"/>
            </w:tcBorders>
            <w:vAlign w:val="center"/>
          </w:tcPr>
          <w:p w14:paraId="3F9DE7B2">
            <w:pPr>
              <w:widowControl/>
              <w:spacing w:line="560" w:lineRule="exact"/>
              <w:jc w:val="left"/>
              <w:rPr>
                <w:rFonts w:ascii="宋体" w:hAnsi="宋体" w:cs="宋体"/>
                <w:color w:val="000000"/>
                <w:kern w:val="0"/>
                <w:sz w:val="24"/>
              </w:rPr>
            </w:pPr>
          </w:p>
        </w:tc>
      </w:tr>
      <w:tr w14:paraId="3A922D50">
        <w:tblPrEx>
          <w:tblCellMar>
            <w:top w:w="15" w:type="dxa"/>
            <w:left w:w="108" w:type="dxa"/>
            <w:bottom w:w="15" w:type="dxa"/>
            <w:right w:w="108" w:type="dxa"/>
          </w:tblCellMar>
        </w:tblPrEx>
        <w:trPr>
          <w:trHeight w:val="420" w:hRule="atLeast"/>
        </w:trPr>
        <w:tc>
          <w:tcPr>
            <w:tcW w:w="3423" w:type="dxa"/>
            <w:tcBorders>
              <w:top w:val="single" w:color="000000" w:sz="4" w:space="0"/>
              <w:left w:val="single" w:color="000000" w:sz="4" w:space="0"/>
              <w:bottom w:val="single" w:color="000000" w:sz="4" w:space="0"/>
              <w:right w:val="single" w:color="000000" w:sz="4" w:space="0"/>
            </w:tcBorders>
            <w:vAlign w:val="center"/>
          </w:tcPr>
          <w:p w14:paraId="7BEC55C8">
            <w:pPr>
              <w:widowControl/>
              <w:spacing w:line="560" w:lineRule="exact"/>
              <w:jc w:val="left"/>
              <w:rPr>
                <w:rFonts w:ascii="宋体" w:hAnsi="宋体" w:cs="宋体"/>
                <w:color w:val="000000"/>
                <w:kern w:val="0"/>
                <w:sz w:val="24"/>
              </w:rPr>
            </w:pPr>
            <w:r>
              <w:rPr>
                <w:rFonts w:hint="eastAsia" w:ascii="宋体" w:hAnsi="宋体" w:cs="宋体"/>
                <w:color w:val="000000"/>
                <w:kern w:val="0"/>
                <w:sz w:val="24"/>
              </w:rPr>
              <w:t>2.公务接待费</w:t>
            </w:r>
          </w:p>
        </w:tc>
        <w:tc>
          <w:tcPr>
            <w:tcW w:w="2829" w:type="dxa"/>
            <w:gridSpan w:val="2"/>
            <w:tcBorders>
              <w:top w:val="single" w:color="000000" w:sz="4" w:space="0"/>
              <w:left w:val="single" w:color="000000" w:sz="4" w:space="0"/>
              <w:bottom w:val="single" w:color="000000" w:sz="4" w:space="0"/>
              <w:right w:val="single" w:color="000000" w:sz="4" w:space="0"/>
            </w:tcBorders>
            <w:vAlign w:val="center"/>
          </w:tcPr>
          <w:p w14:paraId="15D776CD">
            <w:pPr>
              <w:widowControl/>
              <w:spacing w:line="560" w:lineRule="exact"/>
              <w:jc w:val="left"/>
              <w:rPr>
                <w:rFonts w:ascii="宋体" w:hAnsi="宋体" w:cs="宋体"/>
                <w:color w:val="000000"/>
                <w:kern w:val="0"/>
                <w:sz w:val="24"/>
              </w:rPr>
            </w:pPr>
          </w:p>
        </w:tc>
        <w:tc>
          <w:tcPr>
            <w:tcW w:w="2583" w:type="dxa"/>
            <w:tcBorders>
              <w:top w:val="single" w:color="000000" w:sz="4" w:space="0"/>
              <w:left w:val="single" w:color="000000" w:sz="4" w:space="0"/>
              <w:bottom w:val="single" w:color="000000" w:sz="4" w:space="0"/>
              <w:right w:val="single" w:color="000000" w:sz="4" w:space="0"/>
            </w:tcBorders>
            <w:vAlign w:val="center"/>
          </w:tcPr>
          <w:p w14:paraId="03BDAEA3">
            <w:pPr>
              <w:widowControl/>
              <w:spacing w:line="560" w:lineRule="exact"/>
              <w:jc w:val="left"/>
              <w:rPr>
                <w:rFonts w:ascii="宋体" w:hAnsi="宋体" w:cs="宋体"/>
                <w:color w:val="000000"/>
                <w:kern w:val="0"/>
                <w:sz w:val="24"/>
              </w:rPr>
            </w:pPr>
          </w:p>
        </w:tc>
      </w:tr>
      <w:tr w14:paraId="6495ED15">
        <w:tblPrEx>
          <w:tblCellMar>
            <w:top w:w="15" w:type="dxa"/>
            <w:left w:w="108" w:type="dxa"/>
            <w:bottom w:w="15" w:type="dxa"/>
            <w:right w:w="108" w:type="dxa"/>
          </w:tblCellMar>
        </w:tblPrEx>
        <w:trPr>
          <w:trHeight w:val="420" w:hRule="atLeast"/>
        </w:trPr>
        <w:tc>
          <w:tcPr>
            <w:tcW w:w="3423" w:type="dxa"/>
            <w:tcBorders>
              <w:top w:val="single" w:color="000000" w:sz="4" w:space="0"/>
              <w:left w:val="single" w:color="000000" w:sz="4" w:space="0"/>
              <w:bottom w:val="single" w:color="000000" w:sz="4" w:space="0"/>
              <w:right w:val="single" w:color="000000" w:sz="4" w:space="0"/>
            </w:tcBorders>
            <w:vAlign w:val="center"/>
          </w:tcPr>
          <w:p w14:paraId="76082AF0">
            <w:pPr>
              <w:widowControl/>
              <w:spacing w:line="560" w:lineRule="exact"/>
              <w:jc w:val="left"/>
              <w:rPr>
                <w:rFonts w:ascii="宋体" w:hAnsi="宋体" w:cs="宋体"/>
                <w:color w:val="000000"/>
                <w:kern w:val="0"/>
                <w:sz w:val="24"/>
              </w:rPr>
            </w:pPr>
            <w:r>
              <w:rPr>
                <w:rFonts w:hint="eastAsia" w:ascii="宋体" w:hAnsi="宋体" w:cs="宋体"/>
                <w:color w:val="000000"/>
                <w:kern w:val="0"/>
                <w:sz w:val="24"/>
              </w:rPr>
              <w:t>3.公务用车购置及运行费</w:t>
            </w:r>
          </w:p>
        </w:tc>
        <w:tc>
          <w:tcPr>
            <w:tcW w:w="2829" w:type="dxa"/>
            <w:gridSpan w:val="2"/>
            <w:tcBorders>
              <w:top w:val="single" w:color="000000" w:sz="4" w:space="0"/>
              <w:left w:val="single" w:color="000000" w:sz="4" w:space="0"/>
              <w:bottom w:val="single" w:color="000000" w:sz="4" w:space="0"/>
              <w:right w:val="single" w:color="000000" w:sz="4" w:space="0"/>
            </w:tcBorders>
            <w:vAlign w:val="center"/>
          </w:tcPr>
          <w:p w14:paraId="26022E00">
            <w:pPr>
              <w:widowControl/>
              <w:spacing w:line="560" w:lineRule="exact"/>
              <w:jc w:val="left"/>
              <w:rPr>
                <w:rFonts w:hint="default" w:ascii="宋体" w:hAnsi="宋体" w:eastAsia="宋体" w:cs="宋体"/>
                <w:color w:val="000000"/>
                <w:kern w:val="0"/>
                <w:sz w:val="24"/>
                <w:lang w:val="en-US" w:eastAsia="zh-CN"/>
              </w:rPr>
            </w:pPr>
            <w:r>
              <w:rPr>
                <w:rFonts w:hint="eastAsia" w:ascii="宋体" w:hAnsi="宋体" w:cs="宋体"/>
                <w:color w:val="000000"/>
                <w:kern w:val="0"/>
                <w:sz w:val="24"/>
                <w:lang w:val="en-US" w:eastAsia="zh-CN"/>
              </w:rPr>
              <w:t>10</w:t>
            </w:r>
          </w:p>
        </w:tc>
        <w:tc>
          <w:tcPr>
            <w:tcW w:w="2583" w:type="dxa"/>
            <w:tcBorders>
              <w:top w:val="single" w:color="000000" w:sz="4" w:space="0"/>
              <w:left w:val="single" w:color="000000" w:sz="4" w:space="0"/>
              <w:bottom w:val="single" w:color="000000" w:sz="4" w:space="0"/>
              <w:right w:val="single" w:color="000000" w:sz="4" w:space="0"/>
            </w:tcBorders>
            <w:vAlign w:val="center"/>
          </w:tcPr>
          <w:p w14:paraId="3BAF5CAC">
            <w:pPr>
              <w:widowControl/>
              <w:spacing w:line="560" w:lineRule="exact"/>
              <w:jc w:val="left"/>
              <w:rPr>
                <w:rFonts w:hint="default" w:ascii="宋体" w:hAnsi="宋体" w:eastAsia="宋体" w:cs="宋体"/>
                <w:color w:val="000000"/>
                <w:kern w:val="0"/>
                <w:sz w:val="24"/>
                <w:lang w:val="en-US" w:eastAsia="zh-CN"/>
              </w:rPr>
            </w:pPr>
            <w:r>
              <w:rPr>
                <w:rFonts w:hint="eastAsia" w:ascii="宋体" w:hAnsi="宋体" w:cs="宋体"/>
                <w:color w:val="000000"/>
                <w:kern w:val="0"/>
                <w:sz w:val="24"/>
                <w:lang w:val="en-US" w:eastAsia="zh-CN"/>
              </w:rPr>
              <w:t>10</w:t>
            </w:r>
          </w:p>
        </w:tc>
      </w:tr>
      <w:tr w14:paraId="6E9772FA">
        <w:tblPrEx>
          <w:tblCellMar>
            <w:top w:w="15" w:type="dxa"/>
            <w:left w:w="108" w:type="dxa"/>
            <w:bottom w:w="15" w:type="dxa"/>
            <w:right w:w="108" w:type="dxa"/>
          </w:tblCellMar>
        </w:tblPrEx>
        <w:trPr>
          <w:trHeight w:val="420" w:hRule="atLeast"/>
        </w:trPr>
        <w:tc>
          <w:tcPr>
            <w:tcW w:w="3423" w:type="dxa"/>
            <w:tcBorders>
              <w:top w:val="single" w:color="000000" w:sz="4" w:space="0"/>
              <w:left w:val="single" w:color="000000" w:sz="4" w:space="0"/>
              <w:bottom w:val="single" w:color="000000" w:sz="4" w:space="0"/>
              <w:right w:val="single" w:color="000000" w:sz="4" w:space="0"/>
            </w:tcBorders>
            <w:vAlign w:val="center"/>
          </w:tcPr>
          <w:p w14:paraId="5FB7D3E5">
            <w:pPr>
              <w:widowControl/>
              <w:spacing w:line="560" w:lineRule="exact"/>
              <w:jc w:val="left"/>
              <w:rPr>
                <w:rFonts w:ascii="宋体" w:hAnsi="宋体" w:cs="宋体"/>
                <w:color w:val="000000"/>
                <w:kern w:val="0"/>
                <w:sz w:val="24"/>
              </w:rPr>
            </w:pPr>
            <w:r>
              <w:rPr>
                <w:rFonts w:hint="eastAsia" w:ascii="宋体" w:hAnsi="宋体" w:cs="宋体"/>
                <w:color w:val="000000"/>
                <w:kern w:val="0"/>
                <w:sz w:val="24"/>
              </w:rPr>
              <w:t xml:space="preserve"> 其中：公务用车购置费</w:t>
            </w:r>
          </w:p>
        </w:tc>
        <w:tc>
          <w:tcPr>
            <w:tcW w:w="2829" w:type="dxa"/>
            <w:gridSpan w:val="2"/>
            <w:tcBorders>
              <w:top w:val="single" w:color="000000" w:sz="4" w:space="0"/>
              <w:left w:val="single" w:color="000000" w:sz="4" w:space="0"/>
              <w:bottom w:val="single" w:color="000000" w:sz="4" w:space="0"/>
              <w:right w:val="single" w:color="000000" w:sz="4" w:space="0"/>
            </w:tcBorders>
            <w:vAlign w:val="center"/>
          </w:tcPr>
          <w:p w14:paraId="7BDB36F8">
            <w:pPr>
              <w:widowControl/>
              <w:spacing w:line="560" w:lineRule="exact"/>
              <w:jc w:val="left"/>
              <w:rPr>
                <w:rFonts w:ascii="宋体" w:hAnsi="宋体" w:cs="宋体"/>
                <w:color w:val="000000"/>
                <w:kern w:val="0"/>
                <w:sz w:val="24"/>
              </w:rPr>
            </w:pPr>
          </w:p>
        </w:tc>
        <w:tc>
          <w:tcPr>
            <w:tcW w:w="2583" w:type="dxa"/>
            <w:tcBorders>
              <w:top w:val="single" w:color="000000" w:sz="4" w:space="0"/>
              <w:left w:val="single" w:color="000000" w:sz="4" w:space="0"/>
              <w:bottom w:val="single" w:color="000000" w:sz="4" w:space="0"/>
              <w:right w:val="single" w:color="000000" w:sz="4" w:space="0"/>
            </w:tcBorders>
            <w:vAlign w:val="center"/>
          </w:tcPr>
          <w:p w14:paraId="4BCFAA43">
            <w:pPr>
              <w:widowControl/>
              <w:spacing w:line="560" w:lineRule="exact"/>
              <w:jc w:val="left"/>
              <w:rPr>
                <w:rFonts w:ascii="宋体" w:hAnsi="宋体" w:cs="宋体"/>
                <w:color w:val="000000"/>
                <w:kern w:val="0"/>
                <w:sz w:val="24"/>
              </w:rPr>
            </w:pPr>
          </w:p>
        </w:tc>
      </w:tr>
      <w:tr w14:paraId="6207C80C">
        <w:tblPrEx>
          <w:tblCellMar>
            <w:top w:w="15" w:type="dxa"/>
            <w:left w:w="108" w:type="dxa"/>
            <w:bottom w:w="15" w:type="dxa"/>
            <w:right w:w="108" w:type="dxa"/>
          </w:tblCellMar>
        </w:tblPrEx>
        <w:trPr>
          <w:trHeight w:val="420" w:hRule="atLeast"/>
        </w:trPr>
        <w:tc>
          <w:tcPr>
            <w:tcW w:w="3423" w:type="dxa"/>
            <w:tcBorders>
              <w:top w:val="single" w:color="000000" w:sz="4" w:space="0"/>
              <w:left w:val="single" w:color="000000" w:sz="4" w:space="0"/>
              <w:bottom w:val="single" w:color="000000" w:sz="4" w:space="0"/>
              <w:right w:val="single" w:color="000000" w:sz="4" w:space="0"/>
            </w:tcBorders>
            <w:vAlign w:val="center"/>
          </w:tcPr>
          <w:p w14:paraId="300CA3DB">
            <w:pPr>
              <w:widowControl/>
              <w:spacing w:line="560" w:lineRule="exact"/>
              <w:jc w:val="left"/>
              <w:rPr>
                <w:rFonts w:ascii="宋体" w:hAnsi="宋体" w:cs="宋体"/>
                <w:color w:val="000000"/>
                <w:kern w:val="0"/>
                <w:sz w:val="24"/>
              </w:rPr>
            </w:pPr>
            <w:r>
              <w:rPr>
                <w:rFonts w:hint="eastAsia" w:ascii="宋体" w:hAnsi="宋体" w:cs="宋体"/>
                <w:color w:val="000000"/>
                <w:kern w:val="0"/>
                <w:sz w:val="24"/>
              </w:rPr>
              <w:t xml:space="preserve">       公务用车运行费</w:t>
            </w:r>
          </w:p>
        </w:tc>
        <w:tc>
          <w:tcPr>
            <w:tcW w:w="2829" w:type="dxa"/>
            <w:gridSpan w:val="2"/>
            <w:tcBorders>
              <w:top w:val="single" w:color="000000" w:sz="4" w:space="0"/>
              <w:left w:val="single" w:color="000000" w:sz="4" w:space="0"/>
              <w:bottom w:val="single" w:color="000000" w:sz="4" w:space="0"/>
              <w:right w:val="single" w:color="000000" w:sz="4" w:space="0"/>
            </w:tcBorders>
            <w:vAlign w:val="center"/>
          </w:tcPr>
          <w:p w14:paraId="5C1CD02D">
            <w:pPr>
              <w:widowControl/>
              <w:spacing w:line="560" w:lineRule="exact"/>
              <w:jc w:val="left"/>
              <w:rPr>
                <w:rFonts w:hint="default" w:ascii="宋体" w:hAnsi="宋体" w:eastAsia="宋体" w:cs="宋体"/>
                <w:color w:val="000000"/>
                <w:kern w:val="0"/>
                <w:sz w:val="24"/>
                <w:lang w:val="en-US" w:eastAsia="zh-CN"/>
              </w:rPr>
            </w:pPr>
            <w:r>
              <w:rPr>
                <w:rFonts w:hint="eastAsia" w:ascii="宋体" w:hAnsi="宋体" w:cs="宋体"/>
                <w:color w:val="000000"/>
                <w:kern w:val="0"/>
                <w:sz w:val="24"/>
                <w:lang w:val="en-US" w:eastAsia="zh-CN"/>
              </w:rPr>
              <w:t>10</w:t>
            </w:r>
          </w:p>
        </w:tc>
        <w:tc>
          <w:tcPr>
            <w:tcW w:w="2583" w:type="dxa"/>
            <w:tcBorders>
              <w:top w:val="single" w:color="000000" w:sz="4" w:space="0"/>
              <w:left w:val="single" w:color="000000" w:sz="4" w:space="0"/>
              <w:bottom w:val="single" w:color="000000" w:sz="4" w:space="0"/>
              <w:right w:val="single" w:color="000000" w:sz="4" w:space="0"/>
            </w:tcBorders>
            <w:vAlign w:val="center"/>
          </w:tcPr>
          <w:p w14:paraId="0AB28C97">
            <w:pPr>
              <w:widowControl/>
              <w:spacing w:line="560" w:lineRule="exact"/>
              <w:jc w:val="left"/>
              <w:rPr>
                <w:rFonts w:hint="default" w:ascii="宋体" w:hAnsi="宋体" w:eastAsia="宋体" w:cs="宋体"/>
                <w:color w:val="000000"/>
                <w:kern w:val="0"/>
                <w:sz w:val="24"/>
                <w:lang w:val="en-US" w:eastAsia="zh-CN"/>
              </w:rPr>
            </w:pPr>
            <w:r>
              <w:rPr>
                <w:rFonts w:hint="eastAsia" w:ascii="宋体" w:hAnsi="宋体" w:cs="宋体"/>
                <w:color w:val="000000"/>
                <w:kern w:val="0"/>
                <w:sz w:val="24"/>
                <w:lang w:val="en-US" w:eastAsia="zh-CN"/>
              </w:rPr>
              <w:t>10</w:t>
            </w:r>
          </w:p>
        </w:tc>
      </w:tr>
    </w:tbl>
    <w:p w14:paraId="7AD01484">
      <w:pPr>
        <w:spacing w:line="560" w:lineRule="exact"/>
        <w:ind w:firstLine="646" w:firstLineChars="200"/>
        <w:rPr>
          <w:rFonts w:ascii="仿宋_GB2312" w:hAnsi="宋体" w:eastAsia="仿宋_GB2312"/>
          <w:sz w:val="32"/>
          <w:szCs w:val="32"/>
        </w:rPr>
      </w:pPr>
      <w:r>
        <w:rPr>
          <w:rFonts w:hint="eastAsia" w:ascii="黑体" w:hAnsi="黑体" w:eastAsia="黑体"/>
          <w:sz w:val="32"/>
          <w:szCs w:val="32"/>
        </w:rPr>
        <w:t>六、国有资产占用情况</w:t>
      </w:r>
    </w:p>
    <w:p w14:paraId="5E7EADE1">
      <w:pPr>
        <w:spacing w:line="560" w:lineRule="exact"/>
        <w:ind w:firstLine="646" w:firstLineChars="200"/>
        <w:rPr>
          <w:rFonts w:ascii="仿宋_GB2312" w:hAnsi="宋体" w:eastAsia="仿宋_GB2312"/>
          <w:sz w:val="32"/>
          <w:szCs w:val="32"/>
        </w:rPr>
      </w:pPr>
      <w:r>
        <w:rPr>
          <w:rFonts w:hint="eastAsia" w:ascii="仿宋_GB2312" w:hAnsi="宋体" w:eastAsia="仿宋_GB2312"/>
          <w:sz w:val="32"/>
          <w:szCs w:val="32"/>
          <w:lang w:val="en-US" w:eastAsia="zh-CN"/>
        </w:rPr>
        <w:t>盘锦检验检测中心2025</w:t>
      </w:r>
      <w:r>
        <w:rPr>
          <w:rFonts w:hint="eastAsia" w:ascii="仿宋_GB2312" w:hAnsi="宋体" w:eastAsia="仿宋_GB2312"/>
          <w:sz w:val="32"/>
          <w:szCs w:val="32"/>
        </w:rPr>
        <w:t>年年初预算购置车辆</w:t>
      </w:r>
      <w:r>
        <w:rPr>
          <w:rFonts w:hint="eastAsia" w:ascii="仿宋_GB2312" w:hAnsi="宋体" w:eastAsia="仿宋_GB2312"/>
          <w:sz w:val="32"/>
          <w:szCs w:val="32"/>
          <w:lang w:val="en-US" w:eastAsia="zh-CN"/>
        </w:rPr>
        <w:t>0</w:t>
      </w:r>
      <w:r>
        <w:rPr>
          <w:rFonts w:hint="eastAsia" w:ascii="仿宋_GB2312" w:hAnsi="宋体" w:eastAsia="仿宋_GB2312"/>
          <w:sz w:val="32"/>
          <w:szCs w:val="32"/>
        </w:rPr>
        <w:t>台，金额</w:t>
      </w:r>
      <w:r>
        <w:rPr>
          <w:rFonts w:hint="eastAsia" w:ascii="仿宋_GB2312" w:hAnsi="宋体" w:eastAsia="仿宋_GB2312"/>
          <w:sz w:val="32"/>
          <w:szCs w:val="32"/>
          <w:lang w:val="en-US" w:eastAsia="zh-CN"/>
        </w:rPr>
        <w:t>0</w:t>
      </w:r>
      <w:r>
        <w:rPr>
          <w:rFonts w:hint="eastAsia" w:ascii="仿宋_GB2312" w:hAnsi="宋体" w:eastAsia="仿宋_GB2312"/>
          <w:sz w:val="32"/>
          <w:szCs w:val="32"/>
        </w:rPr>
        <w:t>万元，单位价值50万元以上的通用设备</w:t>
      </w:r>
      <w:r>
        <w:rPr>
          <w:rFonts w:hint="eastAsia" w:ascii="仿宋_GB2312" w:hAnsi="宋体" w:eastAsia="仿宋_GB2312"/>
          <w:sz w:val="32"/>
          <w:szCs w:val="32"/>
          <w:lang w:val="en-US" w:eastAsia="zh-CN"/>
        </w:rPr>
        <w:t>0</w:t>
      </w:r>
      <w:r>
        <w:rPr>
          <w:rFonts w:hint="eastAsia" w:ascii="仿宋_GB2312" w:hAnsi="宋体" w:eastAsia="仿宋_GB2312"/>
          <w:sz w:val="32"/>
          <w:szCs w:val="32"/>
        </w:rPr>
        <w:t>台，单位价值100万元以上的专用设备</w:t>
      </w:r>
      <w:r>
        <w:rPr>
          <w:rFonts w:hint="eastAsia" w:ascii="仿宋_GB2312" w:hAnsi="宋体" w:eastAsia="仿宋_GB2312"/>
          <w:sz w:val="32"/>
          <w:szCs w:val="32"/>
          <w:lang w:val="en-US" w:eastAsia="zh-CN"/>
        </w:rPr>
        <w:t>0</w:t>
      </w:r>
      <w:r>
        <w:rPr>
          <w:rFonts w:hint="eastAsia" w:ascii="仿宋_GB2312" w:hAnsi="宋体" w:eastAsia="仿宋_GB2312"/>
          <w:sz w:val="32"/>
          <w:szCs w:val="32"/>
        </w:rPr>
        <w:t>台。</w:t>
      </w:r>
    </w:p>
    <w:p w14:paraId="349734E7">
      <w:pPr>
        <w:spacing w:line="560" w:lineRule="exact"/>
        <w:ind w:firstLine="646" w:firstLineChars="200"/>
        <w:rPr>
          <w:rFonts w:ascii="黑体" w:hAnsi="黑体" w:eastAsia="黑体"/>
          <w:sz w:val="32"/>
          <w:szCs w:val="32"/>
        </w:rPr>
      </w:pPr>
      <w:r>
        <w:rPr>
          <w:rFonts w:hint="eastAsia" w:ascii="黑体" w:hAnsi="黑体" w:eastAsia="黑体"/>
          <w:sz w:val="32"/>
          <w:szCs w:val="32"/>
        </w:rPr>
        <w:t>七、预算绩效目标情况</w:t>
      </w:r>
    </w:p>
    <w:p w14:paraId="4D9937BA">
      <w:pPr>
        <w:spacing w:line="560" w:lineRule="exact"/>
        <w:ind w:firstLine="632" w:firstLineChars="196"/>
        <w:rPr>
          <w:rFonts w:hint="eastAsia" w:ascii="宋体" w:hAnsi="宋体"/>
          <w:b/>
          <w:sz w:val="36"/>
          <w:szCs w:val="36"/>
        </w:rPr>
      </w:pPr>
      <w:r>
        <w:rPr>
          <w:rFonts w:hint="eastAsia" w:ascii="仿宋_GB2312" w:hAnsi="宋体" w:eastAsia="仿宋_GB2312"/>
          <w:sz w:val="32"/>
          <w:szCs w:val="32"/>
        </w:rPr>
        <w:t>根据预算绩效管理要求，</w:t>
      </w:r>
      <w:r>
        <w:rPr>
          <w:rFonts w:hint="eastAsia" w:ascii="仿宋_GB2312" w:hAnsi="宋体" w:eastAsia="仿宋_GB2312"/>
          <w:sz w:val="32"/>
          <w:szCs w:val="32"/>
          <w:lang w:val="en-US" w:eastAsia="zh-CN"/>
        </w:rPr>
        <w:t>盘锦检验检测中心2025</w:t>
      </w:r>
      <w:r>
        <w:rPr>
          <w:rFonts w:hint="eastAsia" w:ascii="仿宋_GB2312" w:hAnsi="宋体" w:eastAsia="仿宋_GB2312"/>
          <w:sz w:val="32"/>
          <w:szCs w:val="32"/>
        </w:rPr>
        <w:t>年应编制部门（单位）整体绩效目标共</w:t>
      </w:r>
      <w:r>
        <w:rPr>
          <w:rFonts w:hint="eastAsia" w:ascii="仿宋_GB2312" w:hAnsi="宋体" w:eastAsia="仿宋_GB2312"/>
          <w:sz w:val="32"/>
          <w:szCs w:val="32"/>
          <w:lang w:val="en-US" w:eastAsia="zh-CN"/>
        </w:rPr>
        <w:t>1</w:t>
      </w:r>
      <w:r>
        <w:rPr>
          <w:rFonts w:hint="eastAsia" w:ascii="仿宋_GB2312" w:hAnsi="宋体" w:eastAsia="仿宋_GB2312"/>
          <w:sz w:val="32"/>
          <w:szCs w:val="32"/>
        </w:rPr>
        <w:t>个，实际编制部门（单位）整体绩效目标共</w:t>
      </w:r>
      <w:r>
        <w:rPr>
          <w:rFonts w:hint="eastAsia" w:ascii="仿宋_GB2312" w:hAnsi="宋体" w:eastAsia="仿宋_GB2312"/>
          <w:sz w:val="32"/>
          <w:szCs w:val="32"/>
          <w:lang w:val="en-US" w:eastAsia="zh-CN"/>
        </w:rPr>
        <w:t>1</w:t>
      </w:r>
      <w:r>
        <w:rPr>
          <w:rFonts w:hint="eastAsia" w:ascii="仿宋_GB2312" w:hAnsi="宋体" w:eastAsia="仿宋_GB2312"/>
          <w:sz w:val="32"/>
          <w:szCs w:val="32"/>
        </w:rPr>
        <w:t>个，编制部门（单位）整体绩效目标覆盖率（实际编制绩效目标的</w:t>
      </w:r>
      <w:r>
        <w:rPr>
          <w:rFonts w:hint="eastAsia" w:ascii="仿宋_GB2312" w:hAnsi="宋体" w:eastAsia="仿宋_GB2312"/>
          <w:color w:val="auto"/>
          <w:sz w:val="32"/>
          <w:szCs w:val="32"/>
          <w:highlight w:val="none"/>
        </w:rPr>
        <w:t>数量/应编制绩效目标的数量）为</w:t>
      </w:r>
      <w:r>
        <w:rPr>
          <w:rFonts w:hint="eastAsia" w:ascii="仿宋_GB2312" w:hAnsi="宋体" w:eastAsia="仿宋_GB2312"/>
          <w:color w:val="auto"/>
          <w:sz w:val="32"/>
          <w:szCs w:val="32"/>
          <w:highlight w:val="none"/>
          <w:lang w:val="en-US" w:eastAsia="zh-CN"/>
        </w:rPr>
        <w:t>100</w:t>
      </w:r>
      <w:r>
        <w:rPr>
          <w:rFonts w:hint="eastAsia" w:ascii="仿宋_GB2312" w:hAnsi="宋体" w:eastAsia="仿宋_GB2312"/>
          <w:color w:val="auto"/>
          <w:sz w:val="32"/>
          <w:szCs w:val="32"/>
          <w:highlight w:val="none"/>
        </w:rPr>
        <w:t>%。</w:t>
      </w:r>
      <w:r>
        <w:rPr>
          <w:rFonts w:hint="eastAsia" w:ascii="仿宋_GB2312" w:hAnsi="宋体" w:eastAsia="仿宋_GB2312"/>
          <w:color w:val="auto"/>
          <w:sz w:val="32"/>
          <w:szCs w:val="32"/>
          <w:highlight w:val="none"/>
          <w:lang w:val="en-US" w:eastAsia="zh-CN"/>
        </w:rPr>
        <w:t>2025</w:t>
      </w:r>
      <w:r>
        <w:rPr>
          <w:rFonts w:hint="eastAsia" w:ascii="仿宋_GB2312" w:hAnsi="宋体" w:eastAsia="仿宋_GB2312"/>
          <w:color w:val="auto"/>
          <w:sz w:val="32"/>
          <w:szCs w:val="32"/>
          <w:highlight w:val="none"/>
        </w:rPr>
        <w:t>年应编制绩效目标的</w:t>
      </w:r>
      <w:r>
        <w:rPr>
          <w:rFonts w:hint="eastAsia" w:ascii="仿宋_GB2312" w:hAnsi="宋体" w:eastAsia="仿宋_GB2312"/>
          <w:strike w:val="0"/>
          <w:dstrike w:val="0"/>
          <w:color w:val="auto"/>
          <w:sz w:val="32"/>
          <w:szCs w:val="32"/>
          <w:highlight w:val="none"/>
        </w:rPr>
        <w:t>特定目标类</w:t>
      </w:r>
      <w:r>
        <w:rPr>
          <w:rFonts w:hint="eastAsia" w:ascii="仿宋_GB2312" w:hAnsi="宋体" w:eastAsia="仿宋_GB2312"/>
          <w:strike w:val="0"/>
          <w:dstrike w:val="0"/>
          <w:color w:val="auto"/>
          <w:sz w:val="32"/>
          <w:szCs w:val="32"/>
          <w:highlight w:val="none"/>
          <w:lang w:eastAsia="zh-CN"/>
        </w:rPr>
        <w:t>和其他运转类</w:t>
      </w:r>
      <w:r>
        <w:rPr>
          <w:rFonts w:hint="eastAsia" w:ascii="仿宋_GB2312" w:hAnsi="宋体" w:eastAsia="仿宋_GB2312"/>
          <w:color w:val="auto"/>
          <w:sz w:val="32"/>
          <w:szCs w:val="32"/>
          <w:highlight w:val="none"/>
        </w:rPr>
        <w:t>项目共</w:t>
      </w:r>
      <w:r>
        <w:rPr>
          <w:rFonts w:hint="eastAsia" w:ascii="仿宋_GB2312" w:hAnsi="宋体" w:eastAsia="仿宋_GB2312"/>
          <w:color w:val="auto"/>
          <w:sz w:val="32"/>
          <w:szCs w:val="32"/>
          <w:highlight w:val="none"/>
          <w:lang w:val="en-US" w:eastAsia="zh-CN"/>
        </w:rPr>
        <w:t>10</w:t>
      </w:r>
      <w:r>
        <w:rPr>
          <w:rFonts w:hint="eastAsia" w:ascii="仿宋_GB2312" w:hAnsi="宋体" w:eastAsia="仿宋_GB2312"/>
          <w:color w:val="auto"/>
          <w:sz w:val="32"/>
          <w:szCs w:val="32"/>
          <w:highlight w:val="none"/>
        </w:rPr>
        <w:t>个，实际编制绩效目标的</w:t>
      </w:r>
      <w:r>
        <w:rPr>
          <w:rFonts w:hint="eastAsia" w:ascii="仿宋_GB2312" w:hAnsi="宋体" w:eastAsia="仿宋_GB2312"/>
          <w:strike w:val="0"/>
          <w:dstrike w:val="0"/>
          <w:color w:val="auto"/>
          <w:sz w:val="32"/>
          <w:szCs w:val="32"/>
          <w:highlight w:val="none"/>
        </w:rPr>
        <w:t>特定目标类</w:t>
      </w:r>
      <w:r>
        <w:rPr>
          <w:rFonts w:hint="eastAsia" w:ascii="仿宋_GB2312" w:hAnsi="宋体" w:eastAsia="仿宋_GB2312"/>
          <w:strike w:val="0"/>
          <w:dstrike w:val="0"/>
          <w:color w:val="auto"/>
          <w:sz w:val="32"/>
          <w:szCs w:val="32"/>
          <w:highlight w:val="none"/>
          <w:lang w:eastAsia="zh-CN"/>
        </w:rPr>
        <w:t>和其他运转类</w:t>
      </w:r>
      <w:r>
        <w:rPr>
          <w:rFonts w:hint="eastAsia" w:ascii="仿宋_GB2312" w:hAnsi="宋体" w:eastAsia="仿宋_GB2312"/>
          <w:color w:val="auto"/>
          <w:sz w:val="32"/>
          <w:szCs w:val="32"/>
          <w:highlight w:val="none"/>
        </w:rPr>
        <w:t>项目共</w:t>
      </w:r>
      <w:r>
        <w:rPr>
          <w:rFonts w:hint="eastAsia" w:ascii="仿宋_GB2312" w:hAnsi="宋体" w:eastAsia="仿宋_GB2312"/>
          <w:color w:val="auto"/>
          <w:sz w:val="32"/>
          <w:szCs w:val="32"/>
          <w:highlight w:val="none"/>
          <w:lang w:val="en-US" w:eastAsia="zh-CN"/>
        </w:rPr>
        <w:t>10</w:t>
      </w:r>
      <w:r>
        <w:rPr>
          <w:rFonts w:hint="eastAsia" w:ascii="仿宋_GB2312" w:hAnsi="宋体" w:eastAsia="仿宋_GB2312"/>
          <w:color w:val="auto"/>
          <w:sz w:val="32"/>
          <w:szCs w:val="32"/>
          <w:highlight w:val="none"/>
        </w:rPr>
        <w:t>个，涉及资金</w:t>
      </w:r>
      <w:r>
        <w:rPr>
          <w:rFonts w:hint="eastAsia" w:ascii="仿宋_GB2312" w:hAnsi="宋体" w:eastAsia="仿宋_GB2312"/>
          <w:color w:val="auto"/>
          <w:sz w:val="32"/>
          <w:szCs w:val="32"/>
          <w:highlight w:val="none"/>
          <w:lang w:val="en-US" w:eastAsia="zh-CN"/>
        </w:rPr>
        <w:t>1163.24</w:t>
      </w:r>
      <w:r>
        <w:rPr>
          <w:rFonts w:hint="eastAsia" w:ascii="仿宋_GB2312" w:hAnsi="宋体" w:eastAsia="仿宋_GB2312"/>
          <w:color w:val="auto"/>
          <w:sz w:val="32"/>
          <w:szCs w:val="32"/>
          <w:highlight w:val="none"/>
        </w:rPr>
        <w:t>万元，编制</w:t>
      </w:r>
      <w:r>
        <w:rPr>
          <w:rFonts w:hint="eastAsia" w:ascii="仿宋_GB2312" w:hAnsi="宋体" w:eastAsia="仿宋_GB2312"/>
          <w:strike w:val="0"/>
          <w:dstrike w:val="0"/>
          <w:color w:val="auto"/>
          <w:sz w:val="32"/>
          <w:szCs w:val="32"/>
          <w:highlight w:val="none"/>
        </w:rPr>
        <w:t>特定目标类</w:t>
      </w:r>
      <w:r>
        <w:rPr>
          <w:rFonts w:hint="eastAsia" w:ascii="仿宋_GB2312" w:hAnsi="宋体" w:eastAsia="仿宋_GB2312"/>
          <w:strike w:val="0"/>
          <w:dstrike w:val="0"/>
          <w:color w:val="auto"/>
          <w:sz w:val="32"/>
          <w:szCs w:val="32"/>
          <w:highlight w:val="none"/>
          <w:lang w:eastAsia="zh-CN"/>
        </w:rPr>
        <w:t>和其他运转类</w:t>
      </w:r>
      <w:r>
        <w:rPr>
          <w:rFonts w:hint="eastAsia" w:ascii="仿宋_GB2312" w:hAnsi="宋体" w:eastAsia="仿宋_GB2312"/>
          <w:color w:val="auto"/>
          <w:sz w:val="32"/>
          <w:szCs w:val="32"/>
          <w:highlight w:val="none"/>
        </w:rPr>
        <w:t>绩效目标的项目覆盖率（实际编制绩效目标的数量/应编制绩效目标的数量）为</w:t>
      </w:r>
      <w:r>
        <w:rPr>
          <w:rFonts w:hint="eastAsia" w:ascii="仿宋_GB2312" w:hAnsi="宋体" w:eastAsia="仿宋_GB2312"/>
          <w:color w:val="auto"/>
          <w:sz w:val="32"/>
          <w:szCs w:val="32"/>
          <w:highlight w:val="none"/>
          <w:lang w:val="en-US" w:eastAsia="zh-CN"/>
        </w:rPr>
        <w:t>100</w:t>
      </w:r>
      <w:r>
        <w:rPr>
          <w:rFonts w:hint="eastAsia" w:ascii="仿宋_GB2312" w:hAnsi="宋体" w:eastAsia="仿宋_GB2312"/>
          <w:color w:val="auto"/>
          <w:sz w:val="32"/>
          <w:szCs w:val="32"/>
          <w:highlight w:val="none"/>
        </w:rPr>
        <w:t>%。</w:t>
      </w:r>
    </w:p>
    <w:p w14:paraId="2E064D73">
      <w:pPr>
        <w:spacing w:line="560" w:lineRule="exact"/>
        <w:jc w:val="center"/>
        <w:rPr>
          <w:rFonts w:ascii="宋体" w:hAnsi="宋体"/>
          <w:b/>
          <w:sz w:val="36"/>
          <w:szCs w:val="36"/>
        </w:rPr>
      </w:pPr>
      <w:r>
        <w:rPr>
          <w:rFonts w:hint="eastAsia" w:ascii="宋体" w:hAnsi="宋体"/>
          <w:b/>
          <w:sz w:val="36"/>
          <w:szCs w:val="36"/>
        </w:rPr>
        <w:t>第四部分 名词解释</w:t>
      </w:r>
    </w:p>
    <w:p w14:paraId="687C1788">
      <w:pPr>
        <w:spacing w:line="560" w:lineRule="exact"/>
        <w:jc w:val="center"/>
        <w:rPr>
          <w:rFonts w:ascii="仿宋_GB2312" w:eastAsia="仿宋_GB2312"/>
          <w:sz w:val="32"/>
          <w:szCs w:val="32"/>
        </w:rPr>
      </w:pPr>
    </w:p>
    <w:p w14:paraId="221466CF">
      <w:pPr>
        <w:spacing w:line="560" w:lineRule="exact"/>
        <w:ind w:firstLine="646" w:firstLineChars="200"/>
        <w:jc w:val="left"/>
        <w:rPr>
          <w:rFonts w:ascii="仿宋_GB2312" w:hAnsi="仿宋_GB2312" w:eastAsia="仿宋_GB2312" w:cs="仿宋_GB2312"/>
          <w:sz w:val="32"/>
          <w:szCs w:val="32"/>
        </w:rPr>
      </w:pPr>
      <w:r>
        <w:rPr>
          <w:rFonts w:hint="eastAsia" w:ascii="仿宋_GB2312" w:eastAsia="仿宋_GB2312"/>
          <w:b/>
          <w:sz w:val="32"/>
          <w:szCs w:val="32"/>
        </w:rPr>
        <w:t>1.一般公共预算：</w:t>
      </w:r>
      <w:r>
        <w:rPr>
          <w:rFonts w:hint="eastAsia" w:ascii="仿宋_GB2312" w:hAnsi="仿宋_GB2312" w:eastAsia="仿宋_GB2312" w:cs="仿宋_GB2312"/>
          <w:sz w:val="32"/>
          <w:szCs w:val="32"/>
        </w:rPr>
        <w:t>是对以税收为主体的财政收入，安排用于保障和改善民生、推动经济社会发展、维护国家安全、维持国家机构正常运转等方面的收支预算。</w:t>
      </w:r>
    </w:p>
    <w:p w14:paraId="733EB1D9">
      <w:pPr>
        <w:spacing w:line="560" w:lineRule="exact"/>
        <w:ind w:firstLine="646" w:firstLineChars="200"/>
        <w:jc w:val="left"/>
        <w:rPr>
          <w:rFonts w:ascii="仿宋_GB2312" w:eastAsia="仿宋_GB2312"/>
          <w:sz w:val="32"/>
          <w:szCs w:val="32"/>
        </w:rPr>
      </w:pPr>
      <w:r>
        <w:rPr>
          <w:rFonts w:hint="eastAsia" w:ascii="仿宋_GB2312" w:eastAsia="仿宋_GB2312"/>
          <w:b/>
          <w:sz w:val="32"/>
          <w:szCs w:val="32"/>
        </w:rPr>
        <w:t>2.基本支出：</w:t>
      </w:r>
      <w:r>
        <w:rPr>
          <w:rFonts w:hint="eastAsia" w:ascii="仿宋_GB2312" w:eastAsia="仿宋_GB2312"/>
          <w:sz w:val="32"/>
          <w:szCs w:val="32"/>
        </w:rPr>
        <w:t>是为保障机构正常运转、完成日常工作任务而发生的支出，包括人员经费和公用经费。</w:t>
      </w:r>
    </w:p>
    <w:p w14:paraId="4606F604">
      <w:pPr>
        <w:spacing w:line="560" w:lineRule="exact"/>
        <w:ind w:firstLine="646" w:firstLineChars="200"/>
        <w:jc w:val="left"/>
        <w:rPr>
          <w:rFonts w:ascii="仿宋_GB2312" w:eastAsia="仿宋_GB2312"/>
          <w:sz w:val="32"/>
          <w:szCs w:val="32"/>
        </w:rPr>
      </w:pPr>
      <w:r>
        <w:rPr>
          <w:rFonts w:hint="eastAsia" w:ascii="仿宋_GB2312" w:eastAsia="仿宋_GB2312"/>
          <w:b/>
          <w:sz w:val="32"/>
          <w:szCs w:val="32"/>
        </w:rPr>
        <w:t>3.项目支出：</w:t>
      </w:r>
      <w:r>
        <w:rPr>
          <w:rFonts w:hint="eastAsia" w:ascii="仿宋_GB2312" w:eastAsia="仿宋_GB2312"/>
          <w:sz w:val="32"/>
          <w:szCs w:val="32"/>
        </w:rPr>
        <w:t>指为完成特定工作任务和事业发展目标所发生的支出。</w:t>
      </w:r>
    </w:p>
    <w:p w14:paraId="033963EA">
      <w:pPr>
        <w:spacing w:line="560" w:lineRule="exact"/>
        <w:ind w:firstLine="646" w:firstLineChars="200"/>
        <w:jc w:val="left"/>
        <w:rPr>
          <w:rFonts w:ascii="仿宋_GB2312" w:eastAsia="仿宋_GB2312"/>
          <w:b/>
          <w:sz w:val="32"/>
          <w:szCs w:val="32"/>
        </w:rPr>
      </w:pPr>
      <w:r>
        <w:rPr>
          <w:rFonts w:hint="eastAsia" w:ascii="仿宋_GB2312" w:eastAsia="仿宋_GB2312"/>
          <w:b/>
          <w:sz w:val="32"/>
          <w:szCs w:val="32"/>
        </w:rPr>
        <w:t>4.机关运行经费：</w:t>
      </w:r>
      <w:r>
        <w:rPr>
          <w:rFonts w:hint="eastAsia" w:ascii="仿宋_GB2312" w:eastAsia="仿宋_GB2312"/>
          <w:sz w:val="32"/>
          <w:szCs w:val="32"/>
        </w:rPr>
        <w:t>是指行政机关及参公单位的公用经费，包括办公及印刷费、邮电费、差旅费、会议费、福利费、日常维护费、专用材料及一般设备购置费、办公用房水电费、办公用房取暖费、办公用房物业管理费、办公用车运行维护费以及其他费用。</w:t>
      </w:r>
    </w:p>
    <w:p w14:paraId="3D2BB1DE">
      <w:pPr>
        <w:spacing w:line="560" w:lineRule="exact"/>
        <w:ind w:firstLine="646" w:firstLineChars="200"/>
        <w:jc w:val="left"/>
        <w:rPr>
          <w:rFonts w:ascii="仿宋_GB2312" w:eastAsia="仿宋_GB2312"/>
          <w:sz w:val="32"/>
          <w:szCs w:val="32"/>
        </w:rPr>
      </w:pPr>
      <w:r>
        <w:rPr>
          <w:rFonts w:hint="eastAsia" w:ascii="仿宋_GB2312" w:eastAsia="仿宋_GB2312"/>
          <w:b/>
          <w:sz w:val="32"/>
          <w:szCs w:val="32"/>
        </w:rPr>
        <w:t>5.上年结转：</w:t>
      </w:r>
      <w:r>
        <w:rPr>
          <w:rFonts w:hint="eastAsia" w:ascii="仿宋_GB2312" w:eastAsia="仿宋_GB2312"/>
          <w:sz w:val="32"/>
          <w:szCs w:val="32"/>
        </w:rPr>
        <w:t>指以前年度尚未使用完毕，结转到本年仍按原规定用途继续使用的资金。</w:t>
      </w:r>
    </w:p>
    <w:p w14:paraId="00ECEC38">
      <w:pPr>
        <w:spacing w:line="560" w:lineRule="exact"/>
        <w:ind w:firstLine="646" w:firstLineChars="200"/>
        <w:jc w:val="left"/>
        <w:rPr>
          <w:rFonts w:ascii="仿宋_GB2312" w:eastAsia="仿宋_GB2312"/>
          <w:sz w:val="32"/>
          <w:szCs w:val="32"/>
        </w:rPr>
      </w:pPr>
      <w:r>
        <w:rPr>
          <w:rFonts w:hint="eastAsia" w:ascii="仿宋_GB2312" w:eastAsia="仿宋_GB2312"/>
          <w:b/>
          <w:sz w:val="32"/>
          <w:szCs w:val="32"/>
        </w:rPr>
        <w:t>6.“三公”经费：</w:t>
      </w:r>
      <w:r>
        <w:rPr>
          <w:rFonts w:hint="eastAsia" w:ascii="仿宋_GB2312" w:eastAsia="仿宋_GB2312"/>
          <w:sz w:val="32"/>
          <w:szCs w:val="32"/>
        </w:rPr>
        <w:t>指用</w:t>
      </w:r>
      <w:r>
        <w:rPr>
          <w:rFonts w:hint="eastAsia" w:ascii="仿宋_GB2312" w:eastAsia="仿宋_GB2312"/>
          <w:sz w:val="32"/>
          <w:szCs w:val="32"/>
          <w:lang w:eastAsia="zh-CN"/>
        </w:rPr>
        <w:t>财政拨款</w:t>
      </w:r>
      <w:r>
        <w:rPr>
          <w:rFonts w:hint="eastAsia" w:ascii="仿宋_GB2312" w:eastAsia="仿宋_GB2312"/>
          <w:sz w:val="32"/>
          <w:szCs w:val="32"/>
        </w:rPr>
        <w:t>预算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燃料费、维修费、过路过桥费、保险费、安全奖励费用等支出；公务接待费反映单位为执行公务或开展业务活动需要合理开支的接待费用。</w:t>
      </w:r>
    </w:p>
    <w:p w14:paraId="022F74C3">
      <w:pPr>
        <w:spacing w:line="560" w:lineRule="exact"/>
        <w:ind w:firstLine="646" w:firstLineChars="200"/>
        <w:jc w:val="left"/>
        <w:rPr>
          <w:rFonts w:ascii="仿宋_GB2312" w:eastAsia="仿宋_GB2312"/>
          <w:b/>
          <w:sz w:val="32"/>
          <w:szCs w:val="32"/>
        </w:rPr>
      </w:pPr>
      <w:r>
        <w:rPr>
          <w:rFonts w:hint="eastAsia" w:ascii="仿宋_GB2312" w:eastAsia="仿宋_GB2312"/>
          <w:b/>
          <w:sz w:val="32"/>
          <w:szCs w:val="32"/>
        </w:rPr>
        <w:t>7.一般公共服务支出（类）财政事务（款）行政运行（项）：</w:t>
      </w:r>
      <w:r>
        <w:rPr>
          <w:rFonts w:hint="eastAsia" w:ascii="仿宋_GB2312" w:eastAsia="仿宋_GB2312"/>
          <w:sz w:val="32"/>
          <w:szCs w:val="32"/>
        </w:rPr>
        <w:t>反映行政单位（包括实行公务员管理的事业单位）的基本支出。</w:t>
      </w:r>
    </w:p>
    <w:p w14:paraId="3E03192C">
      <w:pPr>
        <w:spacing w:line="560" w:lineRule="exact"/>
        <w:ind w:firstLine="646" w:firstLineChars="200"/>
        <w:jc w:val="left"/>
        <w:rPr>
          <w:rFonts w:ascii="仿宋_GB2312" w:eastAsia="仿宋_GB2312"/>
          <w:b/>
          <w:sz w:val="32"/>
          <w:szCs w:val="32"/>
        </w:rPr>
      </w:pPr>
      <w:r>
        <w:rPr>
          <w:rFonts w:hint="eastAsia" w:ascii="仿宋_GB2312" w:eastAsia="仿宋_GB2312"/>
          <w:b/>
          <w:sz w:val="32"/>
          <w:szCs w:val="32"/>
        </w:rPr>
        <w:t>8.一般公共服务支出（类）财政事务（款）一般行政管理事务（项）：</w:t>
      </w:r>
      <w:r>
        <w:rPr>
          <w:rFonts w:hint="eastAsia" w:ascii="仿宋_GB2312" w:eastAsia="仿宋_GB2312"/>
          <w:sz w:val="32"/>
          <w:szCs w:val="32"/>
        </w:rPr>
        <w:t>反映行政单位（包括实行公务员管理的事业单位）未单独设置项级科目的其他项目支出。</w:t>
      </w:r>
    </w:p>
    <w:p w14:paraId="5A01B5CA">
      <w:pPr>
        <w:spacing w:line="560" w:lineRule="exact"/>
        <w:ind w:firstLine="646" w:firstLineChars="200"/>
        <w:jc w:val="left"/>
        <w:rPr>
          <w:rFonts w:ascii="仿宋_GB2312" w:eastAsia="仿宋_GB2312"/>
          <w:b/>
          <w:sz w:val="32"/>
          <w:szCs w:val="32"/>
        </w:rPr>
      </w:pPr>
      <w:r>
        <w:rPr>
          <w:rFonts w:hint="eastAsia" w:ascii="仿宋_GB2312" w:eastAsia="仿宋_GB2312"/>
          <w:b/>
          <w:sz w:val="32"/>
          <w:szCs w:val="32"/>
        </w:rPr>
        <w:t>9.一般公共服务支出（类）财政事务（款）事业运行（项）：</w:t>
      </w:r>
      <w:r>
        <w:rPr>
          <w:rFonts w:hint="eastAsia" w:ascii="仿宋_GB2312" w:eastAsia="仿宋_GB2312"/>
          <w:sz w:val="32"/>
          <w:szCs w:val="32"/>
        </w:rPr>
        <w:t>反映事业单位的基本支出，不包括行政单位（包括实行公务员管理的事业单位）后勤服务中心、医务室等附属事业单位。</w:t>
      </w:r>
    </w:p>
    <w:p w14:paraId="6E62EA59">
      <w:pPr>
        <w:spacing w:line="560" w:lineRule="exact"/>
        <w:ind w:firstLine="646" w:firstLineChars="200"/>
        <w:jc w:val="left"/>
        <w:rPr>
          <w:rFonts w:ascii="仿宋_GB2312" w:eastAsia="仿宋_GB2312"/>
          <w:sz w:val="32"/>
          <w:szCs w:val="32"/>
        </w:rPr>
      </w:pPr>
      <w:r>
        <w:rPr>
          <w:rFonts w:hint="eastAsia" w:ascii="仿宋_GB2312" w:eastAsia="仿宋_GB2312"/>
          <w:b/>
          <w:sz w:val="32"/>
          <w:szCs w:val="32"/>
        </w:rPr>
        <w:t>10.一般公共服务支出（类）财政事务（款）其他财政事务支出（项）：</w:t>
      </w:r>
      <w:r>
        <w:rPr>
          <w:rFonts w:hint="eastAsia" w:ascii="仿宋_GB2312" w:eastAsia="仿宋_GB2312"/>
          <w:sz w:val="32"/>
          <w:szCs w:val="32"/>
        </w:rPr>
        <w:t>反映除上述项目以外其他财政事务方面的支出。</w:t>
      </w:r>
    </w:p>
    <w:p w14:paraId="0D43264B">
      <w:pPr>
        <w:spacing w:line="560" w:lineRule="exact"/>
        <w:ind w:firstLine="726" w:firstLineChars="200"/>
        <w:jc w:val="left"/>
        <w:rPr>
          <w:rFonts w:hint="eastAsia" w:ascii="宋体" w:hAnsi="宋体"/>
          <w:b/>
          <w:sz w:val="36"/>
          <w:szCs w:val="36"/>
        </w:rPr>
        <w:sectPr>
          <w:footerReference r:id="rId3" w:type="default"/>
          <w:pgSz w:w="11906" w:h="16838"/>
          <w:pgMar w:top="1440" w:right="1797" w:bottom="1440" w:left="1797" w:header="851" w:footer="992" w:gutter="0"/>
          <w:cols w:space="0" w:num="1"/>
          <w:titlePg/>
          <w:docGrid w:type="linesAndChars" w:linePitch="312" w:charSpace="640"/>
        </w:sectPr>
      </w:pPr>
    </w:p>
    <w:p w14:paraId="57FD8C5F">
      <w:pPr>
        <w:tabs>
          <w:tab w:val="left" w:pos="2343"/>
        </w:tabs>
        <w:spacing w:line="560" w:lineRule="exact"/>
        <w:jc w:val="both"/>
        <w:rPr>
          <w:rFonts w:hint="eastAsia" w:ascii="宋体" w:hAnsi="宋体"/>
          <w:b/>
          <w:sz w:val="36"/>
          <w:szCs w:val="36"/>
        </w:rPr>
      </w:pPr>
    </w:p>
    <w:p w14:paraId="0A3992C9">
      <w:pPr>
        <w:pStyle w:val="2"/>
        <w:rPr>
          <w:rFonts w:hint="eastAsia" w:ascii="宋体" w:hAnsi="宋体"/>
          <w:b/>
          <w:sz w:val="36"/>
          <w:szCs w:val="36"/>
        </w:rPr>
      </w:pPr>
    </w:p>
    <w:p w14:paraId="7C2B8F9C">
      <w:pPr>
        <w:rPr>
          <w:rFonts w:hint="eastAsia"/>
        </w:rPr>
      </w:pPr>
    </w:p>
    <w:p w14:paraId="717CCB9F">
      <w:pPr>
        <w:numPr>
          <w:ilvl w:val="0"/>
          <w:numId w:val="5"/>
        </w:numPr>
        <w:tabs>
          <w:tab w:val="left" w:pos="2343"/>
        </w:tabs>
        <w:spacing w:line="560" w:lineRule="exact"/>
        <w:jc w:val="center"/>
        <w:rPr>
          <w:rFonts w:hint="eastAsia" w:ascii="宋体" w:hAnsi="宋体"/>
          <w:b/>
          <w:sz w:val="36"/>
          <w:szCs w:val="36"/>
        </w:rPr>
      </w:pPr>
      <w:r>
        <w:rPr>
          <w:rFonts w:hint="eastAsia" w:ascii="宋体" w:hAnsi="宋体"/>
          <w:b/>
          <w:sz w:val="36"/>
          <w:szCs w:val="36"/>
          <w:lang w:val="en-US" w:eastAsia="zh-CN"/>
        </w:rPr>
        <w:t>2025</w:t>
      </w:r>
      <w:r>
        <w:rPr>
          <w:rFonts w:hint="eastAsia" w:ascii="宋体" w:hAnsi="宋体"/>
          <w:b/>
          <w:sz w:val="36"/>
          <w:szCs w:val="36"/>
        </w:rPr>
        <w:t>年</w:t>
      </w:r>
      <w:r>
        <w:rPr>
          <w:rFonts w:hint="eastAsia" w:ascii="宋体" w:hAnsi="宋体"/>
          <w:b/>
          <w:sz w:val="36"/>
          <w:szCs w:val="36"/>
          <w:lang w:val="en-US" w:eastAsia="zh-CN"/>
        </w:rPr>
        <w:t>盘锦检验检测中心</w:t>
      </w:r>
      <w:r>
        <w:rPr>
          <w:rFonts w:hint="eastAsia" w:ascii="宋体" w:hAnsi="宋体"/>
          <w:b/>
          <w:sz w:val="36"/>
          <w:szCs w:val="36"/>
        </w:rPr>
        <w:t>部门预算</w:t>
      </w:r>
      <w:r>
        <w:rPr>
          <w:rFonts w:hint="eastAsia" w:ascii="宋体" w:hAnsi="宋体"/>
          <w:b/>
          <w:sz w:val="36"/>
          <w:szCs w:val="36"/>
          <w:lang w:val="en-US" w:eastAsia="zh-CN"/>
        </w:rPr>
        <w:t>公开</w:t>
      </w:r>
      <w:r>
        <w:rPr>
          <w:rFonts w:hint="eastAsia" w:ascii="宋体" w:hAnsi="宋体"/>
          <w:b/>
          <w:sz w:val="36"/>
          <w:szCs w:val="36"/>
        </w:rPr>
        <w:t>表</w:t>
      </w:r>
    </w:p>
    <w:p w14:paraId="446E479C">
      <w:pPr>
        <w:keepNext w:val="0"/>
        <w:keepLines w:val="0"/>
        <w:pageBreakBefore w:val="0"/>
        <w:widowControl w:val="0"/>
        <w:kinsoku/>
        <w:wordWrap/>
        <w:overflowPunct/>
        <w:topLinePunct w:val="0"/>
        <w:autoSpaceDE/>
        <w:autoSpaceDN/>
        <w:bidi w:val="0"/>
        <w:adjustRightInd/>
        <w:snapToGrid/>
        <w:spacing w:line="600" w:lineRule="exact"/>
        <w:jc w:val="center"/>
        <w:textAlignment w:val="auto"/>
        <w:outlineLvl w:val="9"/>
        <w:rPr>
          <w:rFonts w:hint="eastAsia" w:ascii="仿宋_GB2312" w:hAnsi="仿宋_GB2312" w:eastAsia="仿宋_GB2312" w:cs="仿宋_GB2312"/>
          <w:b w:val="0"/>
          <w:bCs/>
          <w:color w:val="000000"/>
          <w:sz w:val="32"/>
          <w:szCs w:val="32"/>
          <w:lang w:eastAsia="zh-CN"/>
        </w:rPr>
      </w:pPr>
    </w:p>
    <w:p w14:paraId="715041CB">
      <w:pPr>
        <w:keepNext w:val="0"/>
        <w:keepLines w:val="0"/>
        <w:pageBreakBefore w:val="0"/>
        <w:widowControl w:val="0"/>
        <w:kinsoku/>
        <w:wordWrap/>
        <w:overflowPunct/>
        <w:topLinePunct w:val="0"/>
        <w:autoSpaceDE/>
        <w:autoSpaceDN/>
        <w:bidi w:val="0"/>
        <w:adjustRightInd/>
        <w:snapToGrid/>
        <w:spacing w:line="600" w:lineRule="exact"/>
        <w:jc w:val="center"/>
        <w:textAlignment w:val="auto"/>
        <w:outlineLvl w:val="9"/>
        <w:rPr>
          <w:rFonts w:hint="eastAsia" w:ascii="仿宋_GB2312" w:hAnsi="仿宋_GB2312" w:eastAsia="仿宋_GB2312" w:cs="仿宋_GB2312"/>
          <w:b w:val="0"/>
          <w:bCs/>
          <w:color w:val="000000"/>
          <w:sz w:val="32"/>
          <w:szCs w:val="32"/>
          <w:lang w:eastAsia="zh-CN"/>
        </w:rPr>
      </w:pPr>
      <w:r>
        <w:rPr>
          <w:rFonts w:hint="eastAsia" w:ascii="仿宋_GB2312" w:hAnsi="仿宋_GB2312" w:eastAsia="仿宋_GB2312" w:cs="仿宋_GB2312"/>
          <w:b w:val="0"/>
          <w:bCs/>
          <w:color w:val="000000"/>
          <w:sz w:val="32"/>
          <w:szCs w:val="32"/>
          <w:lang w:eastAsia="zh-CN"/>
        </w:rPr>
        <w:t>（该部分内容详见附件）</w:t>
      </w:r>
    </w:p>
    <w:p w14:paraId="7E800C62">
      <w:pPr>
        <w:pStyle w:val="2"/>
      </w:pPr>
    </w:p>
    <w:p w14:paraId="3FBE53FE">
      <w:pPr>
        <w:pStyle w:val="2"/>
        <w:rPr>
          <w:rFonts w:hint="eastAsia"/>
        </w:rPr>
      </w:pPr>
    </w:p>
    <w:p w14:paraId="39F994EC">
      <w:pPr>
        <w:pStyle w:val="9"/>
        <w:numPr>
          <w:ilvl w:val="0"/>
          <w:numId w:val="0"/>
        </w:numPr>
        <w:rPr>
          <w:rFonts w:hint="default" w:eastAsia="宋体"/>
          <w:lang w:val="en-US" w:eastAsia="zh-CN"/>
        </w:rPr>
      </w:pPr>
      <w:r>
        <w:rPr>
          <w:rFonts w:hint="eastAsia"/>
          <w:lang w:val="en-US" w:eastAsia="zh-CN"/>
        </w:rPr>
        <w:t xml:space="preserve">                 </w:t>
      </w:r>
    </w:p>
    <w:p w14:paraId="738DD79A">
      <w:pPr>
        <w:spacing w:line="560" w:lineRule="exact"/>
        <w:ind w:firstLine="646" w:firstLineChars="200"/>
        <w:jc w:val="left"/>
        <w:rPr>
          <w:rFonts w:ascii="仿宋_GB2312" w:eastAsia="仿宋_GB2312"/>
          <w:b/>
          <w:sz w:val="32"/>
          <w:szCs w:val="32"/>
        </w:rPr>
      </w:pPr>
    </w:p>
    <w:sectPr>
      <w:pgSz w:w="11906" w:h="16838"/>
      <w:pgMar w:top="1440" w:right="1797" w:bottom="1440" w:left="1797" w:header="851" w:footer="992" w:gutter="0"/>
      <w:cols w:space="0" w:num="1"/>
      <w:titlePg/>
      <w:rtlGutter w:val="0"/>
      <w:docGrid w:type="linesAndChars" w:linePitch="319" w:charSpace="64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Verdana">
    <w:panose1 w:val="020B0604030504040204"/>
    <w:charset w:val="00"/>
    <w:family w:val="swiss"/>
    <w:pitch w:val="default"/>
    <w:sig w:usb0="A00006FF" w:usb1="4000205B" w:usb2="00000010"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66EED5">
    <w:pPr>
      <w:pStyle w:val="4"/>
      <w:framePr w:wrap="around" w:vAnchor="text" w:hAnchor="margin" w:xAlign="center" w:y="1"/>
      <w:rPr>
        <w:rStyle w:val="8"/>
      </w:rPr>
    </w:pPr>
    <w:r>
      <w:rPr>
        <w:rStyle w:val="8"/>
      </w:rPr>
      <w:fldChar w:fldCharType="begin"/>
    </w:r>
    <w:r>
      <w:rPr>
        <w:rStyle w:val="8"/>
      </w:rPr>
      <w:instrText xml:space="preserve">PAGE  </w:instrText>
    </w:r>
    <w:r>
      <w:rPr>
        <w:rStyle w:val="8"/>
      </w:rPr>
      <w:fldChar w:fldCharType="separate"/>
    </w:r>
    <w:r>
      <w:rPr>
        <w:rStyle w:val="8"/>
      </w:rPr>
      <w:t>7</w:t>
    </w:r>
    <w:r>
      <w:rPr>
        <w:rStyle w:val="8"/>
      </w:rPr>
      <w:fldChar w:fldCharType="end"/>
    </w:r>
  </w:p>
  <w:p w14:paraId="414B7968">
    <w:pPr>
      <w:pStyle w:val="4"/>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8F1A0A8"/>
    <w:multiLevelType w:val="singleLevel"/>
    <w:tmpl w:val="88F1A0A8"/>
    <w:lvl w:ilvl="0" w:tentative="0">
      <w:start w:val="2"/>
      <w:numFmt w:val="chineseCounting"/>
      <w:suff w:val="nothing"/>
      <w:lvlText w:val="%1、"/>
      <w:lvlJc w:val="left"/>
      <w:rPr>
        <w:rFonts w:hint="eastAsia"/>
      </w:rPr>
    </w:lvl>
  </w:abstractNum>
  <w:abstractNum w:abstractNumId="1">
    <w:nsid w:val="02A5A22A"/>
    <w:multiLevelType w:val="singleLevel"/>
    <w:tmpl w:val="02A5A22A"/>
    <w:lvl w:ilvl="0" w:tentative="0">
      <w:start w:val="1"/>
      <w:numFmt w:val="chineseCounting"/>
      <w:suff w:val="nothing"/>
      <w:lvlText w:val="（%1）"/>
      <w:lvlJc w:val="left"/>
      <w:rPr>
        <w:rFonts w:hint="eastAsia"/>
      </w:rPr>
    </w:lvl>
  </w:abstractNum>
  <w:abstractNum w:abstractNumId="2">
    <w:nsid w:val="0CBF3484"/>
    <w:multiLevelType w:val="multilevel"/>
    <w:tmpl w:val="0CBF3484"/>
    <w:lvl w:ilvl="0" w:tentative="0">
      <w:start w:val="1"/>
      <w:numFmt w:val="japaneseCounting"/>
      <w:lvlText w:val="%1、"/>
      <w:lvlJc w:val="left"/>
      <w:pPr>
        <w:ind w:left="1360" w:hanging="720"/>
      </w:pPr>
      <w:rPr>
        <w:rFonts w:hint="default"/>
        <w:lang w:val="en-US"/>
      </w:rPr>
    </w:lvl>
    <w:lvl w:ilvl="1" w:tentative="0">
      <w:start w:val="1"/>
      <w:numFmt w:val="lowerLetter"/>
      <w:lvlText w:val="%2)"/>
      <w:lvlJc w:val="left"/>
      <w:pPr>
        <w:ind w:left="1480" w:hanging="420"/>
      </w:pPr>
    </w:lvl>
    <w:lvl w:ilvl="2" w:tentative="0">
      <w:start w:val="1"/>
      <w:numFmt w:val="lowerRoman"/>
      <w:lvlText w:val="%3."/>
      <w:lvlJc w:val="right"/>
      <w:pPr>
        <w:ind w:left="1900" w:hanging="420"/>
      </w:pPr>
    </w:lvl>
    <w:lvl w:ilvl="3" w:tentative="0">
      <w:start w:val="1"/>
      <w:numFmt w:val="decimal"/>
      <w:lvlText w:val="%4."/>
      <w:lvlJc w:val="left"/>
      <w:pPr>
        <w:ind w:left="2320" w:hanging="420"/>
      </w:pPr>
    </w:lvl>
    <w:lvl w:ilvl="4" w:tentative="0">
      <w:start w:val="1"/>
      <w:numFmt w:val="lowerLetter"/>
      <w:lvlText w:val="%5)"/>
      <w:lvlJc w:val="left"/>
      <w:pPr>
        <w:ind w:left="2740" w:hanging="420"/>
      </w:pPr>
    </w:lvl>
    <w:lvl w:ilvl="5" w:tentative="0">
      <w:start w:val="1"/>
      <w:numFmt w:val="lowerRoman"/>
      <w:lvlText w:val="%6."/>
      <w:lvlJc w:val="right"/>
      <w:pPr>
        <w:ind w:left="3160" w:hanging="420"/>
      </w:pPr>
    </w:lvl>
    <w:lvl w:ilvl="6" w:tentative="0">
      <w:start w:val="1"/>
      <w:numFmt w:val="decimal"/>
      <w:lvlText w:val="%7."/>
      <w:lvlJc w:val="left"/>
      <w:pPr>
        <w:ind w:left="3580" w:hanging="420"/>
      </w:pPr>
    </w:lvl>
    <w:lvl w:ilvl="7" w:tentative="0">
      <w:start w:val="1"/>
      <w:numFmt w:val="lowerLetter"/>
      <w:lvlText w:val="%8)"/>
      <w:lvlJc w:val="left"/>
      <w:pPr>
        <w:ind w:left="4000" w:hanging="420"/>
      </w:pPr>
    </w:lvl>
    <w:lvl w:ilvl="8" w:tentative="0">
      <w:start w:val="1"/>
      <w:numFmt w:val="lowerRoman"/>
      <w:lvlText w:val="%9."/>
      <w:lvlJc w:val="right"/>
      <w:pPr>
        <w:ind w:left="4420" w:hanging="420"/>
      </w:pPr>
    </w:lvl>
  </w:abstractNum>
  <w:abstractNum w:abstractNumId="3">
    <w:nsid w:val="4545CFF2"/>
    <w:multiLevelType w:val="singleLevel"/>
    <w:tmpl w:val="4545CFF2"/>
    <w:lvl w:ilvl="0" w:tentative="0">
      <w:start w:val="5"/>
      <w:numFmt w:val="chineseCounting"/>
      <w:suff w:val="space"/>
      <w:lvlText w:val="第%1部分"/>
      <w:lvlJc w:val="left"/>
      <w:rPr>
        <w:rFonts w:hint="eastAsia"/>
      </w:rPr>
    </w:lvl>
  </w:abstractNum>
  <w:abstractNum w:abstractNumId="4">
    <w:nsid w:val="601769EA"/>
    <w:multiLevelType w:val="singleLevel"/>
    <w:tmpl w:val="601769EA"/>
    <w:lvl w:ilvl="0" w:tentative="0">
      <w:start w:val="8"/>
      <w:numFmt w:val="chineseCounting"/>
      <w:suff w:val="nothing"/>
      <w:lvlText w:val="%1、"/>
      <w:lvlJc w:val="left"/>
    </w:lvl>
  </w:abstractNum>
  <w:num w:numId="1">
    <w:abstractNumId w:val="4"/>
  </w:num>
  <w:num w:numId="2">
    <w:abstractNumId w:val="2"/>
  </w:num>
  <w:num w:numId="3">
    <w:abstractNumId w:val="1"/>
  </w:num>
  <w:num w:numId="4">
    <w:abstractNumId w:val="0"/>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documentProtection w:enforcement="0"/>
  <w:defaultTabStop w:val="420"/>
  <w:drawingGridHorizontalSpacing w:val="107"/>
  <w:drawingGridVerticalSpacing w:val="159"/>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F4B21"/>
    <w:rsid w:val="000048A5"/>
    <w:rsid w:val="00007E46"/>
    <w:rsid w:val="000133BF"/>
    <w:rsid w:val="00022421"/>
    <w:rsid w:val="00024EC7"/>
    <w:rsid w:val="0002546B"/>
    <w:rsid w:val="0003153C"/>
    <w:rsid w:val="00032156"/>
    <w:rsid w:val="00042F4C"/>
    <w:rsid w:val="0004398C"/>
    <w:rsid w:val="0004572D"/>
    <w:rsid w:val="00051065"/>
    <w:rsid w:val="00054F25"/>
    <w:rsid w:val="00065C08"/>
    <w:rsid w:val="00073E3F"/>
    <w:rsid w:val="000906C5"/>
    <w:rsid w:val="000A47B7"/>
    <w:rsid w:val="000B3BE6"/>
    <w:rsid w:val="000B642D"/>
    <w:rsid w:val="000C25F9"/>
    <w:rsid w:val="000E1D7E"/>
    <w:rsid w:val="000E1DEF"/>
    <w:rsid w:val="000F3D4B"/>
    <w:rsid w:val="000F4A22"/>
    <w:rsid w:val="0010770D"/>
    <w:rsid w:val="001100B7"/>
    <w:rsid w:val="0012365F"/>
    <w:rsid w:val="001332DE"/>
    <w:rsid w:val="0013380C"/>
    <w:rsid w:val="00134FAF"/>
    <w:rsid w:val="001364E5"/>
    <w:rsid w:val="0013683A"/>
    <w:rsid w:val="001441A4"/>
    <w:rsid w:val="00156A4A"/>
    <w:rsid w:val="0016412F"/>
    <w:rsid w:val="001656BE"/>
    <w:rsid w:val="00175D02"/>
    <w:rsid w:val="00181D39"/>
    <w:rsid w:val="001846A6"/>
    <w:rsid w:val="001A415E"/>
    <w:rsid w:val="001A4640"/>
    <w:rsid w:val="001B77A9"/>
    <w:rsid w:val="001C1FBF"/>
    <w:rsid w:val="001C4D67"/>
    <w:rsid w:val="001D0424"/>
    <w:rsid w:val="001E32B1"/>
    <w:rsid w:val="001E3B59"/>
    <w:rsid w:val="001E3BB8"/>
    <w:rsid w:val="001F4B21"/>
    <w:rsid w:val="001F4DC4"/>
    <w:rsid w:val="001F5515"/>
    <w:rsid w:val="002003A2"/>
    <w:rsid w:val="00201094"/>
    <w:rsid w:val="00201459"/>
    <w:rsid w:val="002020FA"/>
    <w:rsid w:val="00203F23"/>
    <w:rsid w:val="002052C1"/>
    <w:rsid w:val="00207EF8"/>
    <w:rsid w:val="00210A14"/>
    <w:rsid w:val="002114F4"/>
    <w:rsid w:val="002137BF"/>
    <w:rsid w:val="0022096B"/>
    <w:rsid w:val="0022238E"/>
    <w:rsid w:val="00222BC7"/>
    <w:rsid w:val="00223284"/>
    <w:rsid w:val="0022540A"/>
    <w:rsid w:val="00227F7C"/>
    <w:rsid w:val="002335DF"/>
    <w:rsid w:val="00245461"/>
    <w:rsid w:val="00246231"/>
    <w:rsid w:val="00246CE3"/>
    <w:rsid w:val="00247688"/>
    <w:rsid w:val="0026131E"/>
    <w:rsid w:val="002625EE"/>
    <w:rsid w:val="00264E0A"/>
    <w:rsid w:val="002859E0"/>
    <w:rsid w:val="0029002D"/>
    <w:rsid w:val="00296E48"/>
    <w:rsid w:val="002A22FD"/>
    <w:rsid w:val="002A2DF7"/>
    <w:rsid w:val="002B4307"/>
    <w:rsid w:val="002C1A77"/>
    <w:rsid w:val="002C210E"/>
    <w:rsid w:val="002E3F3E"/>
    <w:rsid w:val="002F7837"/>
    <w:rsid w:val="00303749"/>
    <w:rsid w:val="003110BE"/>
    <w:rsid w:val="00313B70"/>
    <w:rsid w:val="00314ECD"/>
    <w:rsid w:val="00321418"/>
    <w:rsid w:val="00331390"/>
    <w:rsid w:val="00340F06"/>
    <w:rsid w:val="00344F39"/>
    <w:rsid w:val="00352555"/>
    <w:rsid w:val="00353C5E"/>
    <w:rsid w:val="003630B0"/>
    <w:rsid w:val="0036408C"/>
    <w:rsid w:val="00365D58"/>
    <w:rsid w:val="003664F3"/>
    <w:rsid w:val="00367798"/>
    <w:rsid w:val="003858E5"/>
    <w:rsid w:val="00391EA2"/>
    <w:rsid w:val="00393F53"/>
    <w:rsid w:val="003A0063"/>
    <w:rsid w:val="003A04EC"/>
    <w:rsid w:val="003A06BD"/>
    <w:rsid w:val="003A4F29"/>
    <w:rsid w:val="003C444A"/>
    <w:rsid w:val="003E0DAF"/>
    <w:rsid w:val="003E4A52"/>
    <w:rsid w:val="003E694A"/>
    <w:rsid w:val="003F3466"/>
    <w:rsid w:val="003F4695"/>
    <w:rsid w:val="003F6E5B"/>
    <w:rsid w:val="004037DF"/>
    <w:rsid w:val="00414072"/>
    <w:rsid w:val="004152DB"/>
    <w:rsid w:val="0042230F"/>
    <w:rsid w:val="004265C6"/>
    <w:rsid w:val="00426B4B"/>
    <w:rsid w:val="00437E10"/>
    <w:rsid w:val="0044636A"/>
    <w:rsid w:val="00476F8F"/>
    <w:rsid w:val="00486679"/>
    <w:rsid w:val="00493F18"/>
    <w:rsid w:val="004943FF"/>
    <w:rsid w:val="00495584"/>
    <w:rsid w:val="004A4FDC"/>
    <w:rsid w:val="004A72AF"/>
    <w:rsid w:val="004B143F"/>
    <w:rsid w:val="004C0904"/>
    <w:rsid w:val="004C4DE5"/>
    <w:rsid w:val="004D2F79"/>
    <w:rsid w:val="004D584E"/>
    <w:rsid w:val="004D7A05"/>
    <w:rsid w:val="004E0C11"/>
    <w:rsid w:val="004E78BE"/>
    <w:rsid w:val="004F0520"/>
    <w:rsid w:val="004F4D7E"/>
    <w:rsid w:val="004F5303"/>
    <w:rsid w:val="00510447"/>
    <w:rsid w:val="005127EF"/>
    <w:rsid w:val="00515B98"/>
    <w:rsid w:val="005222F9"/>
    <w:rsid w:val="00532926"/>
    <w:rsid w:val="005402C5"/>
    <w:rsid w:val="005460BF"/>
    <w:rsid w:val="0054694B"/>
    <w:rsid w:val="00550F83"/>
    <w:rsid w:val="0055106B"/>
    <w:rsid w:val="00552654"/>
    <w:rsid w:val="005555E7"/>
    <w:rsid w:val="00555F4E"/>
    <w:rsid w:val="0057459C"/>
    <w:rsid w:val="00577A55"/>
    <w:rsid w:val="005808B9"/>
    <w:rsid w:val="00583D3E"/>
    <w:rsid w:val="00584A71"/>
    <w:rsid w:val="00585962"/>
    <w:rsid w:val="00592B0A"/>
    <w:rsid w:val="00595870"/>
    <w:rsid w:val="005A0EF3"/>
    <w:rsid w:val="005A5C5F"/>
    <w:rsid w:val="005B0557"/>
    <w:rsid w:val="005C4ABB"/>
    <w:rsid w:val="005C4E9E"/>
    <w:rsid w:val="005C54B4"/>
    <w:rsid w:val="005C6815"/>
    <w:rsid w:val="005F11E5"/>
    <w:rsid w:val="00600E56"/>
    <w:rsid w:val="0060382D"/>
    <w:rsid w:val="006040F6"/>
    <w:rsid w:val="00605615"/>
    <w:rsid w:val="006057DC"/>
    <w:rsid w:val="00605F98"/>
    <w:rsid w:val="006064EB"/>
    <w:rsid w:val="00607DB4"/>
    <w:rsid w:val="00612625"/>
    <w:rsid w:val="00616C8C"/>
    <w:rsid w:val="00616F4E"/>
    <w:rsid w:val="006243E7"/>
    <w:rsid w:val="00625388"/>
    <w:rsid w:val="0062602A"/>
    <w:rsid w:val="00627D2A"/>
    <w:rsid w:val="006307F2"/>
    <w:rsid w:val="00633168"/>
    <w:rsid w:val="00636659"/>
    <w:rsid w:val="0064235B"/>
    <w:rsid w:val="00642B16"/>
    <w:rsid w:val="0064390F"/>
    <w:rsid w:val="00644B0C"/>
    <w:rsid w:val="00645EDB"/>
    <w:rsid w:val="00646255"/>
    <w:rsid w:val="006470E5"/>
    <w:rsid w:val="006667C4"/>
    <w:rsid w:val="0067371A"/>
    <w:rsid w:val="0068053A"/>
    <w:rsid w:val="006863E1"/>
    <w:rsid w:val="006870E5"/>
    <w:rsid w:val="00687611"/>
    <w:rsid w:val="00692DF0"/>
    <w:rsid w:val="00696EED"/>
    <w:rsid w:val="006A1F21"/>
    <w:rsid w:val="006A6E55"/>
    <w:rsid w:val="006A798C"/>
    <w:rsid w:val="006B2685"/>
    <w:rsid w:val="006C071F"/>
    <w:rsid w:val="006C1E92"/>
    <w:rsid w:val="006C2F3F"/>
    <w:rsid w:val="006C3B05"/>
    <w:rsid w:val="006C3EC1"/>
    <w:rsid w:val="006C6599"/>
    <w:rsid w:val="006D5585"/>
    <w:rsid w:val="006D75C4"/>
    <w:rsid w:val="006E1AF1"/>
    <w:rsid w:val="006E28B5"/>
    <w:rsid w:val="006E43B1"/>
    <w:rsid w:val="006F2679"/>
    <w:rsid w:val="0070065A"/>
    <w:rsid w:val="007119CC"/>
    <w:rsid w:val="00721FD3"/>
    <w:rsid w:val="0072268A"/>
    <w:rsid w:val="007232B8"/>
    <w:rsid w:val="00724191"/>
    <w:rsid w:val="00730D65"/>
    <w:rsid w:val="00731AA4"/>
    <w:rsid w:val="00732C10"/>
    <w:rsid w:val="00734A9C"/>
    <w:rsid w:val="007354FB"/>
    <w:rsid w:val="007406C0"/>
    <w:rsid w:val="00741F03"/>
    <w:rsid w:val="007456A4"/>
    <w:rsid w:val="00773350"/>
    <w:rsid w:val="00773BD8"/>
    <w:rsid w:val="007A75ED"/>
    <w:rsid w:val="007B3491"/>
    <w:rsid w:val="007C3D56"/>
    <w:rsid w:val="007D2208"/>
    <w:rsid w:val="007D3678"/>
    <w:rsid w:val="007D5C00"/>
    <w:rsid w:val="007D5C20"/>
    <w:rsid w:val="007E10AF"/>
    <w:rsid w:val="007E2348"/>
    <w:rsid w:val="007F2FF7"/>
    <w:rsid w:val="007F3E2E"/>
    <w:rsid w:val="007F4788"/>
    <w:rsid w:val="007F6A7A"/>
    <w:rsid w:val="00804577"/>
    <w:rsid w:val="00814382"/>
    <w:rsid w:val="00816E1B"/>
    <w:rsid w:val="008177C7"/>
    <w:rsid w:val="008211C9"/>
    <w:rsid w:val="008234DA"/>
    <w:rsid w:val="00825D6B"/>
    <w:rsid w:val="00827E6A"/>
    <w:rsid w:val="008301EF"/>
    <w:rsid w:val="00832E30"/>
    <w:rsid w:val="008369B0"/>
    <w:rsid w:val="00837D30"/>
    <w:rsid w:val="00847466"/>
    <w:rsid w:val="008604B0"/>
    <w:rsid w:val="008740C1"/>
    <w:rsid w:val="0087547D"/>
    <w:rsid w:val="00876D1D"/>
    <w:rsid w:val="00895609"/>
    <w:rsid w:val="008A6F4E"/>
    <w:rsid w:val="008B2071"/>
    <w:rsid w:val="008B2083"/>
    <w:rsid w:val="008B2BFB"/>
    <w:rsid w:val="008B567B"/>
    <w:rsid w:val="008D67C1"/>
    <w:rsid w:val="008D6BAE"/>
    <w:rsid w:val="008E14F7"/>
    <w:rsid w:val="008F085F"/>
    <w:rsid w:val="008F4786"/>
    <w:rsid w:val="009122B2"/>
    <w:rsid w:val="00912532"/>
    <w:rsid w:val="0091437F"/>
    <w:rsid w:val="00917BF2"/>
    <w:rsid w:val="00926C07"/>
    <w:rsid w:val="00932D2C"/>
    <w:rsid w:val="00941A4D"/>
    <w:rsid w:val="0095395F"/>
    <w:rsid w:val="00954AA1"/>
    <w:rsid w:val="00970433"/>
    <w:rsid w:val="00992766"/>
    <w:rsid w:val="0099456C"/>
    <w:rsid w:val="009A2955"/>
    <w:rsid w:val="009A4153"/>
    <w:rsid w:val="009B50A6"/>
    <w:rsid w:val="009C0E1F"/>
    <w:rsid w:val="009C78B8"/>
    <w:rsid w:val="009D4D50"/>
    <w:rsid w:val="009E3607"/>
    <w:rsid w:val="009E4011"/>
    <w:rsid w:val="009E6934"/>
    <w:rsid w:val="009F0437"/>
    <w:rsid w:val="009F4519"/>
    <w:rsid w:val="009F666E"/>
    <w:rsid w:val="00A050CA"/>
    <w:rsid w:val="00A05CA5"/>
    <w:rsid w:val="00A1076A"/>
    <w:rsid w:val="00A16982"/>
    <w:rsid w:val="00A31903"/>
    <w:rsid w:val="00A45684"/>
    <w:rsid w:val="00A462FD"/>
    <w:rsid w:val="00A6246E"/>
    <w:rsid w:val="00A64808"/>
    <w:rsid w:val="00A71852"/>
    <w:rsid w:val="00A80480"/>
    <w:rsid w:val="00A80FD5"/>
    <w:rsid w:val="00A860C3"/>
    <w:rsid w:val="00A877C7"/>
    <w:rsid w:val="00A91A3A"/>
    <w:rsid w:val="00A93DBE"/>
    <w:rsid w:val="00A966FF"/>
    <w:rsid w:val="00AA1922"/>
    <w:rsid w:val="00AC34D0"/>
    <w:rsid w:val="00AC480B"/>
    <w:rsid w:val="00AD2E2D"/>
    <w:rsid w:val="00AE7A0D"/>
    <w:rsid w:val="00B03ED6"/>
    <w:rsid w:val="00B0465C"/>
    <w:rsid w:val="00B1023F"/>
    <w:rsid w:val="00B17365"/>
    <w:rsid w:val="00B3097E"/>
    <w:rsid w:val="00B3322E"/>
    <w:rsid w:val="00B34341"/>
    <w:rsid w:val="00B43C68"/>
    <w:rsid w:val="00B45B68"/>
    <w:rsid w:val="00B530B3"/>
    <w:rsid w:val="00B54F33"/>
    <w:rsid w:val="00B64505"/>
    <w:rsid w:val="00B64E59"/>
    <w:rsid w:val="00B718FD"/>
    <w:rsid w:val="00B72DC4"/>
    <w:rsid w:val="00B85E08"/>
    <w:rsid w:val="00B862F1"/>
    <w:rsid w:val="00B876F3"/>
    <w:rsid w:val="00B954BC"/>
    <w:rsid w:val="00BA1A55"/>
    <w:rsid w:val="00BA4728"/>
    <w:rsid w:val="00BB03CD"/>
    <w:rsid w:val="00BB1BBB"/>
    <w:rsid w:val="00BB3262"/>
    <w:rsid w:val="00BB593E"/>
    <w:rsid w:val="00BB74D8"/>
    <w:rsid w:val="00BC197F"/>
    <w:rsid w:val="00BC32E3"/>
    <w:rsid w:val="00BD4E6F"/>
    <w:rsid w:val="00BD543E"/>
    <w:rsid w:val="00BE0968"/>
    <w:rsid w:val="00BE3584"/>
    <w:rsid w:val="00BE7B78"/>
    <w:rsid w:val="00C00427"/>
    <w:rsid w:val="00C063ED"/>
    <w:rsid w:val="00C116AA"/>
    <w:rsid w:val="00C13E8F"/>
    <w:rsid w:val="00C14110"/>
    <w:rsid w:val="00C164CA"/>
    <w:rsid w:val="00C205B2"/>
    <w:rsid w:val="00C30E2E"/>
    <w:rsid w:val="00C45BFE"/>
    <w:rsid w:val="00C5023B"/>
    <w:rsid w:val="00C57542"/>
    <w:rsid w:val="00C5780C"/>
    <w:rsid w:val="00C61CCD"/>
    <w:rsid w:val="00C656DC"/>
    <w:rsid w:val="00C71D5C"/>
    <w:rsid w:val="00C9239A"/>
    <w:rsid w:val="00C938AA"/>
    <w:rsid w:val="00CA3545"/>
    <w:rsid w:val="00CA36DD"/>
    <w:rsid w:val="00CB433D"/>
    <w:rsid w:val="00CC2F87"/>
    <w:rsid w:val="00CD34D3"/>
    <w:rsid w:val="00CE11E3"/>
    <w:rsid w:val="00CE1377"/>
    <w:rsid w:val="00CE245C"/>
    <w:rsid w:val="00CE2746"/>
    <w:rsid w:val="00CE63ED"/>
    <w:rsid w:val="00CF4A89"/>
    <w:rsid w:val="00D12C10"/>
    <w:rsid w:val="00D22F31"/>
    <w:rsid w:val="00D238BC"/>
    <w:rsid w:val="00D269C4"/>
    <w:rsid w:val="00D316A1"/>
    <w:rsid w:val="00D32B4A"/>
    <w:rsid w:val="00D3350D"/>
    <w:rsid w:val="00D33629"/>
    <w:rsid w:val="00D33984"/>
    <w:rsid w:val="00D33CB1"/>
    <w:rsid w:val="00D3769E"/>
    <w:rsid w:val="00D433E9"/>
    <w:rsid w:val="00D47A1E"/>
    <w:rsid w:val="00D71AF2"/>
    <w:rsid w:val="00D758CC"/>
    <w:rsid w:val="00D75E88"/>
    <w:rsid w:val="00D80E84"/>
    <w:rsid w:val="00D8148A"/>
    <w:rsid w:val="00D82BFF"/>
    <w:rsid w:val="00D951D8"/>
    <w:rsid w:val="00DA7B73"/>
    <w:rsid w:val="00DB2147"/>
    <w:rsid w:val="00DB48EE"/>
    <w:rsid w:val="00DB6425"/>
    <w:rsid w:val="00DC387B"/>
    <w:rsid w:val="00DC5D43"/>
    <w:rsid w:val="00DE1F2B"/>
    <w:rsid w:val="00DE23A0"/>
    <w:rsid w:val="00DE32D8"/>
    <w:rsid w:val="00DF1754"/>
    <w:rsid w:val="00E1628B"/>
    <w:rsid w:val="00E174DA"/>
    <w:rsid w:val="00E26BED"/>
    <w:rsid w:val="00E27A17"/>
    <w:rsid w:val="00E31F50"/>
    <w:rsid w:val="00E53488"/>
    <w:rsid w:val="00E54C91"/>
    <w:rsid w:val="00E563EB"/>
    <w:rsid w:val="00E578B5"/>
    <w:rsid w:val="00E57A06"/>
    <w:rsid w:val="00E6205C"/>
    <w:rsid w:val="00E63978"/>
    <w:rsid w:val="00E63A6D"/>
    <w:rsid w:val="00E652F3"/>
    <w:rsid w:val="00E72396"/>
    <w:rsid w:val="00E72423"/>
    <w:rsid w:val="00E76A34"/>
    <w:rsid w:val="00E76E63"/>
    <w:rsid w:val="00EC15B9"/>
    <w:rsid w:val="00EC55F1"/>
    <w:rsid w:val="00ED10C9"/>
    <w:rsid w:val="00ED2999"/>
    <w:rsid w:val="00ED33DC"/>
    <w:rsid w:val="00ED4939"/>
    <w:rsid w:val="00EE19E6"/>
    <w:rsid w:val="00EE4854"/>
    <w:rsid w:val="00F01DD7"/>
    <w:rsid w:val="00F22489"/>
    <w:rsid w:val="00F234F5"/>
    <w:rsid w:val="00F305AA"/>
    <w:rsid w:val="00F6732E"/>
    <w:rsid w:val="00F77CD4"/>
    <w:rsid w:val="00F81ABA"/>
    <w:rsid w:val="00F85E64"/>
    <w:rsid w:val="00F90DDE"/>
    <w:rsid w:val="00F953F8"/>
    <w:rsid w:val="00F969C4"/>
    <w:rsid w:val="00FA7402"/>
    <w:rsid w:val="00FA79EA"/>
    <w:rsid w:val="00FA7C82"/>
    <w:rsid w:val="00FB14EE"/>
    <w:rsid w:val="00FB4B59"/>
    <w:rsid w:val="00FB6E35"/>
    <w:rsid w:val="00FC2939"/>
    <w:rsid w:val="00FD3CCD"/>
    <w:rsid w:val="00FE3108"/>
    <w:rsid w:val="00FE3361"/>
    <w:rsid w:val="00FE6175"/>
    <w:rsid w:val="00FE7DD8"/>
    <w:rsid w:val="00FF08FA"/>
    <w:rsid w:val="00FF712A"/>
    <w:rsid w:val="01473B55"/>
    <w:rsid w:val="01512C83"/>
    <w:rsid w:val="017D3C08"/>
    <w:rsid w:val="01A746F3"/>
    <w:rsid w:val="02C51D20"/>
    <w:rsid w:val="03930692"/>
    <w:rsid w:val="03D4408D"/>
    <w:rsid w:val="04C92FF4"/>
    <w:rsid w:val="05590D97"/>
    <w:rsid w:val="069B1278"/>
    <w:rsid w:val="06B84EC6"/>
    <w:rsid w:val="06F26EF4"/>
    <w:rsid w:val="07000E37"/>
    <w:rsid w:val="076641DD"/>
    <w:rsid w:val="077A6D35"/>
    <w:rsid w:val="078D0595"/>
    <w:rsid w:val="07FB97D1"/>
    <w:rsid w:val="080D4122"/>
    <w:rsid w:val="085B1DF0"/>
    <w:rsid w:val="08D65034"/>
    <w:rsid w:val="09236A9D"/>
    <w:rsid w:val="09B35DC1"/>
    <w:rsid w:val="0A296CEE"/>
    <w:rsid w:val="0A7E50A7"/>
    <w:rsid w:val="0AD42FF7"/>
    <w:rsid w:val="0B053EC8"/>
    <w:rsid w:val="0B642054"/>
    <w:rsid w:val="0BB208C5"/>
    <w:rsid w:val="0C423125"/>
    <w:rsid w:val="0D2427C1"/>
    <w:rsid w:val="0E5D2B9E"/>
    <w:rsid w:val="0E6D4386"/>
    <w:rsid w:val="0F2A085F"/>
    <w:rsid w:val="0F7349CC"/>
    <w:rsid w:val="106E56DE"/>
    <w:rsid w:val="11B20219"/>
    <w:rsid w:val="126B66EF"/>
    <w:rsid w:val="127267ED"/>
    <w:rsid w:val="130D280B"/>
    <w:rsid w:val="132428BF"/>
    <w:rsid w:val="14FA6594"/>
    <w:rsid w:val="17676F00"/>
    <w:rsid w:val="17B616E5"/>
    <w:rsid w:val="17F07D94"/>
    <w:rsid w:val="1877372F"/>
    <w:rsid w:val="189B1ADC"/>
    <w:rsid w:val="18C33AC7"/>
    <w:rsid w:val="18DF049C"/>
    <w:rsid w:val="18EC27B3"/>
    <w:rsid w:val="19027D91"/>
    <w:rsid w:val="19455480"/>
    <w:rsid w:val="1A0F73A5"/>
    <w:rsid w:val="1AFF79D0"/>
    <w:rsid w:val="1B2059B8"/>
    <w:rsid w:val="1B4E181C"/>
    <w:rsid w:val="1B6601DF"/>
    <w:rsid w:val="1B8F6A9A"/>
    <w:rsid w:val="1BAB328C"/>
    <w:rsid w:val="1BCD5136"/>
    <w:rsid w:val="1BCE367C"/>
    <w:rsid w:val="1BDE2B69"/>
    <w:rsid w:val="1BF84BC7"/>
    <w:rsid w:val="1C4A0633"/>
    <w:rsid w:val="1D1F733D"/>
    <w:rsid w:val="1D462851"/>
    <w:rsid w:val="1D667501"/>
    <w:rsid w:val="1D872FD5"/>
    <w:rsid w:val="1DF602FB"/>
    <w:rsid w:val="1E0F132C"/>
    <w:rsid w:val="1F212A66"/>
    <w:rsid w:val="1F315D3A"/>
    <w:rsid w:val="1FFF5969"/>
    <w:rsid w:val="200D6146"/>
    <w:rsid w:val="215A4D90"/>
    <w:rsid w:val="225F55CE"/>
    <w:rsid w:val="235C15E7"/>
    <w:rsid w:val="23E13ABE"/>
    <w:rsid w:val="24130131"/>
    <w:rsid w:val="24D3660E"/>
    <w:rsid w:val="24DB746F"/>
    <w:rsid w:val="25982FD1"/>
    <w:rsid w:val="260E190B"/>
    <w:rsid w:val="266A177F"/>
    <w:rsid w:val="270615B9"/>
    <w:rsid w:val="270B1A4A"/>
    <w:rsid w:val="27727FFE"/>
    <w:rsid w:val="27773A27"/>
    <w:rsid w:val="298C6232"/>
    <w:rsid w:val="29990502"/>
    <w:rsid w:val="29E6061F"/>
    <w:rsid w:val="2A3E5AEE"/>
    <w:rsid w:val="2A706D35"/>
    <w:rsid w:val="2B7DC5E7"/>
    <w:rsid w:val="2BF47C3E"/>
    <w:rsid w:val="2D2449BD"/>
    <w:rsid w:val="2EB3162C"/>
    <w:rsid w:val="2EE465A5"/>
    <w:rsid w:val="2F142285"/>
    <w:rsid w:val="2F3DE142"/>
    <w:rsid w:val="2FAC4B1B"/>
    <w:rsid w:val="313E7D46"/>
    <w:rsid w:val="316C7C8A"/>
    <w:rsid w:val="31EE3102"/>
    <w:rsid w:val="31FB3A39"/>
    <w:rsid w:val="34190834"/>
    <w:rsid w:val="3505415D"/>
    <w:rsid w:val="358D6D1D"/>
    <w:rsid w:val="35BE487C"/>
    <w:rsid w:val="365A03F2"/>
    <w:rsid w:val="36857A78"/>
    <w:rsid w:val="36F6584D"/>
    <w:rsid w:val="37573667"/>
    <w:rsid w:val="3757F7CA"/>
    <w:rsid w:val="385D4246"/>
    <w:rsid w:val="396661E0"/>
    <w:rsid w:val="39D46840"/>
    <w:rsid w:val="39FC9D6E"/>
    <w:rsid w:val="3A031F58"/>
    <w:rsid w:val="3ADF145F"/>
    <w:rsid w:val="3AE4639A"/>
    <w:rsid w:val="3B697A90"/>
    <w:rsid w:val="3C1C2BDE"/>
    <w:rsid w:val="3CA073AF"/>
    <w:rsid w:val="3CE3375A"/>
    <w:rsid w:val="3DBF7571"/>
    <w:rsid w:val="3DC668D9"/>
    <w:rsid w:val="3EB7A014"/>
    <w:rsid w:val="3EC14D35"/>
    <w:rsid w:val="3F262E7D"/>
    <w:rsid w:val="3F732F2F"/>
    <w:rsid w:val="3FBF7077"/>
    <w:rsid w:val="3FBFDA26"/>
    <w:rsid w:val="3FF3C106"/>
    <w:rsid w:val="3FFF4FC7"/>
    <w:rsid w:val="40353DED"/>
    <w:rsid w:val="408D2F3C"/>
    <w:rsid w:val="40D02D3C"/>
    <w:rsid w:val="40D13BEE"/>
    <w:rsid w:val="41852724"/>
    <w:rsid w:val="419C619B"/>
    <w:rsid w:val="42296E75"/>
    <w:rsid w:val="430522AF"/>
    <w:rsid w:val="43243DE7"/>
    <w:rsid w:val="43F97ACA"/>
    <w:rsid w:val="44D84D81"/>
    <w:rsid w:val="4602561E"/>
    <w:rsid w:val="46460D56"/>
    <w:rsid w:val="46E13712"/>
    <w:rsid w:val="470E1B72"/>
    <w:rsid w:val="4792414F"/>
    <w:rsid w:val="479A5FB8"/>
    <w:rsid w:val="47B807F3"/>
    <w:rsid w:val="47E81BB1"/>
    <w:rsid w:val="47FC6910"/>
    <w:rsid w:val="4A623313"/>
    <w:rsid w:val="4A726690"/>
    <w:rsid w:val="4B1B6C71"/>
    <w:rsid w:val="4C281EF3"/>
    <w:rsid w:val="4C8F4C8B"/>
    <w:rsid w:val="4CDD4B47"/>
    <w:rsid w:val="4CE12E15"/>
    <w:rsid w:val="4D312DA7"/>
    <w:rsid w:val="4D69924D"/>
    <w:rsid w:val="4F055FF2"/>
    <w:rsid w:val="4F77935B"/>
    <w:rsid w:val="4FC53A84"/>
    <w:rsid w:val="50CD3132"/>
    <w:rsid w:val="51993F9E"/>
    <w:rsid w:val="52184D14"/>
    <w:rsid w:val="525D300E"/>
    <w:rsid w:val="53681604"/>
    <w:rsid w:val="536979A6"/>
    <w:rsid w:val="5506655F"/>
    <w:rsid w:val="55DFA0A0"/>
    <w:rsid w:val="561435A7"/>
    <w:rsid w:val="565D4D8A"/>
    <w:rsid w:val="569F3D76"/>
    <w:rsid w:val="576818B0"/>
    <w:rsid w:val="57ED2858"/>
    <w:rsid w:val="57FA6D49"/>
    <w:rsid w:val="59143D47"/>
    <w:rsid w:val="59A71EE5"/>
    <w:rsid w:val="59CE51A9"/>
    <w:rsid w:val="59FF1B90"/>
    <w:rsid w:val="5A1E5E0A"/>
    <w:rsid w:val="5A474332"/>
    <w:rsid w:val="5AD05F1E"/>
    <w:rsid w:val="5AD253BB"/>
    <w:rsid w:val="5B152E64"/>
    <w:rsid w:val="5B7340B8"/>
    <w:rsid w:val="5BDFAB0E"/>
    <w:rsid w:val="5C32682B"/>
    <w:rsid w:val="5C812E5E"/>
    <w:rsid w:val="5CDEEC0A"/>
    <w:rsid w:val="5D5F6243"/>
    <w:rsid w:val="5D7C6005"/>
    <w:rsid w:val="5DC77D97"/>
    <w:rsid w:val="5DD22168"/>
    <w:rsid w:val="5FE2B437"/>
    <w:rsid w:val="5FEF5520"/>
    <w:rsid w:val="5FF71960"/>
    <w:rsid w:val="60147D4F"/>
    <w:rsid w:val="60B34342"/>
    <w:rsid w:val="616B3E01"/>
    <w:rsid w:val="61DE4A37"/>
    <w:rsid w:val="62066B73"/>
    <w:rsid w:val="628C5B80"/>
    <w:rsid w:val="635759BA"/>
    <w:rsid w:val="638C42D9"/>
    <w:rsid w:val="63D97827"/>
    <w:rsid w:val="64B45E83"/>
    <w:rsid w:val="64D013E1"/>
    <w:rsid w:val="651152FC"/>
    <w:rsid w:val="65324317"/>
    <w:rsid w:val="65593F66"/>
    <w:rsid w:val="65FEE4FC"/>
    <w:rsid w:val="66F40245"/>
    <w:rsid w:val="67985D53"/>
    <w:rsid w:val="68C43B65"/>
    <w:rsid w:val="69221657"/>
    <w:rsid w:val="6A6715B2"/>
    <w:rsid w:val="6A726147"/>
    <w:rsid w:val="6B300A25"/>
    <w:rsid w:val="6B535F74"/>
    <w:rsid w:val="6B7A4DE0"/>
    <w:rsid w:val="6BDDE3A2"/>
    <w:rsid w:val="6C163263"/>
    <w:rsid w:val="6C264620"/>
    <w:rsid w:val="6CFECA5E"/>
    <w:rsid w:val="6D7E1522"/>
    <w:rsid w:val="6D95125A"/>
    <w:rsid w:val="6ED06DC1"/>
    <w:rsid w:val="6EFB2B5A"/>
    <w:rsid w:val="6EFD1050"/>
    <w:rsid w:val="6F3C07B7"/>
    <w:rsid w:val="6F474F0B"/>
    <w:rsid w:val="6F565074"/>
    <w:rsid w:val="6F6F6081"/>
    <w:rsid w:val="6F7F96C5"/>
    <w:rsid w:val="6FA9445C"/>
    <w:rsid w:val="6FD5E3EE"/>
    <w:rsid w:val="6FFFA188"/>
    <w:rsid w:val="701934AE"/>
    <w:rsid w:val="714B2ECB"/>
    <w:rsid w:val="71D7CD63"/>
    <w:rsid w:val="72385629"/>
    <w:rsid w:val="731F0A75"/>
    <w:rsid w:val="73351169"/>
    <w:rsid w:val="741831B5"/>
    <w:rsid w:val="746B3092"/>
    <w:rsid w:val="75C80649"/>
    <w:rsid w:val="762F7860"/>
    <w:rsid w:val="76B37C93"/>
    <w:rsid w:val="76D6577B"/>
    <w:rsid w:val="77CB17F7"/>
    <w:rsid w:val="77EF22B1"/>
    <w:rsid w:val="79BF61C2"/>
    <w:rsid w:val="79FC7325"/>
    <w:rsid w:val="7A6B5CE7"/>
    <w:rsid w:val="7AE7FB34"/>
    <w:rsid w:val="7AFF2F06"/>
    <w:rsid w:val="7B767570"/>
    <w:rsid w:val="7B778066"/>
    <w:rsid w:val="7BAF23D3"/>
    <w:rsid w:val="7BDA3581"/>
    <w:rsid w:val="7C7C68B8"/>
    <w:rsid w:val="7CADD60F"/>
    <w:rsid w:val="7CEB9D80"/>
    <w:rsid w:val="7D093714"/>
    <w:rsid w:val="7D521B6D"/>
    <w:rsid w:val="7D572E14"/>
    <w:rsid w:val="7D8F0965"/>
    <w:rsid w:val="7DD87B8D"/>
    <w:rsid w:val="7DEFEC06"/>
    <w:rsid w:val="7DF5611B"/>
    <w:rsid w:val="7EF53BC8"/>
    <w:rsid w:val="7EF85FD5"/>
    <w:rsid w:val="7EFB987F"/>
    <w:rsid w:val="7F105FF7"/>
    <w:rsid w:val="7F1D43BF"/>
    <w:rsid w:val="7F7B3E5D"/>
    <w:rsid w:val="7F7F2E39"/>
    <w:rsid w:val="7F7F4C15"/>
    <w:rsid w:val="7F8E71CE"/>
    <w:rsid w:val="7FB31639"/>
    <w:rsid w:val="7FB72670"/>
    <w:rsid w:val="7FD76BDF"/>
    <w:rsid w:val="7FDF009B"/>
    <w:rsid w:val="7FFB0A25"/>
    <w:rsid w:val="8F5F2450"/>
    <w:rsid w:val="9B2AD334"/>
    <w:rsid w:val="A7FEB36C"/>
    <w:rsid w:val="AAB77870"/>
    <w:rsid w:val="ABB79F31"/>
    <w:rsid w:val="ABDB09F4"/>
    <w:rsid w:val="ADF7198A"/>
    <w:rsid w:val="AEDF96FA"/>
    <w:rsid w:val="B6F9097E"/>
    <w:rsid w:val="B77FA827"/>
    <w:rsid w:val="B7BC8609"/>
    <w:rsid w:val="B7E7FED3"/>
    <w:rsid w:val="B7EECBBE"/>
    <w:rsid w:val="B9DE2A08"/>
    <w:rsid w:val="BADBFC01"/>
    <w:rsid w:val="BDF94A48"/>
    <w:rsid w:val="BDFF2131"/>
    <w:rsid w:val="BE9BB8A5"/>
    <w:rsid w:val="BEFF9D61"/>
    <w:rsid w:val="BF7F6555"/>
    <w:rsid w:val="BFD95782"/>
    <w:rsid w:val="BFDFE6F7"/>
    <w:rsid w:val="C1FB2E92"/>
    <w:rsid w:val="CD9F141D"/>
    <w:rsid w:val="D33F08CB"/>
    <w:rsid w:val="D7F9BBB8"/>
    <w:rsid w:val="D7FB5501"/>
    <w:rsid w:val="DB76FCEA"/>
    <w:rsid w:val="DDB8AE9C"/>
    <w:rsid w:val="DDC7F1C7"/>
    <w:rsid w:val="DE5CD0B4"/>
    <w:rsid w:val="DEB574C0"/>
    <w:rsid w:val="DF5EF206"/>
    <w:rsid w:val="DFEE1A41"/>
    <w:rsid w:val="E4D6B171"/>
    <w:rsid w:val="E7F71888"/>
    <w:rsid w:val="E7FD4197"/>
    <w:rsid w:val="E9CD36B5"/>
    <w:rsid w:val="EABD96D6"/>
    <w:rsid w:val="EBEF0299"/>
    <w:rsid w:val="EED58912"/>
    <w:rsid w:val="EF3DC6D9"/>
    <w:rsid w:val="EFCDB375"/>
    <w:rsid w:val="EFE70C54"/>
    <w:rsid w:val="EFF95983"/>
    <w:rsid w:val="EFFF6BF9"/>
    <w:rsid w:val="F0FF611E"/>
    <w:rsid w:val="F2F9C0B8"/>
    <w:rsid w:val="F3E58846"/>
    <w:rsid w:val="F4E6B735"/>
    <w:rsid w:val="F53F602B"/>
    <w:rsid w:val="F7DDA3C1"/>
    <w:rsid w:val="F7E9F212"/>
    <w:rsid w:val="F7FFC9F3"/>
    <w:rsid w:val="FA9B081B"/>
    <w:rsid w:val="FBD9C8D6"/>
    <w:rsid w:val="FBDF0488"/>
    <w:rsid w:val="FBFCC1D3"/>
    <w:rsid w:val="FCBDBC4F"/>
    <w:rsid w:val="FD7A8197"/>
    <w:rsid w:val="FEB9D9E7"/>
    <w:rsid w:val="FEDFB7BE"/>
    <w:rsid w:val="FEDFBB2E"/>
    <w:rsid w:val="FEFA5DAB"/>
    <w:rsid w:val="FF3D962B"/>
    <w:rsid w:val="FF4F3287"/>
    <w:rsid w:val="FF7F4081"/>
    <w:rsid w:val="FF7FBDD9"/>
    <w:rsid w:val="FF9D1844"/>
    <w:rsid w:val="FFAFA4A9"/>
    <w:rsid w:val="FFEB7C0D"/>
    <w:rsid w:val="FFF741D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unhideWhenUsed="0" w:uiPriority="0" w:semiHidden="0" w:name="heading 1"/>
    <w:lsdException w:unhideWhenUsed="0" w:uiPriority="0" w:semiHidden="0" w:name="heading 2"/>
    <w:lsdException w:unhideWhenUsed="0" w:uiPriority="0" w:semiHidden="0" w:name="heading 3"/>
    <w:lsdException w:unhideWhenUsed="0" w:uiPriority="0" w:semiHidden="0" w:name="heading 4"/>
    <w:lsdException w:unhideWhenUsed="0" w:uiPriority="0" w:semiHidden="0" w:name="heading 5"/>
    <w:lsdException w:unhideWhenUsed="0" w:uiPriority="0" w:semiHidden="0" w:name="heading 6"/>
    <w:lsdException w:unhideWhenUsed="0" w:uiPriority="0" w:semiHidden="0" w:name="heading 7"/>
    <w:lsdException w:unhideWhenUsed="0" w:uiPriority="0" w:semiHidden="0" w:name="heading 8"/>
    <w:lsdException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unhideWhenUsed="0" w:uiPriority="0" w:semiHidden="0" w:name="Strong"/>
    <w:lsdException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unhideWhenUsed/>
    <w:qFormat/>
    <w:uiPriority w:val="1"/>
  </w:style>
  <w:style w:type="table" w:default="1" w:styleId="6">
    <w:name w:val="Normal Table"/>
    <w:unhideWhenUsed/>
    <w:qFormat/>
    <w:uiPriority w:val="99"/>
    <w:tblPr>
      <w:tblCellMar>
        <w:top w:w="0" w:type="dxa"/>
        <w:left w:w="108" w:type="dxa"/>
        <w:bottom w:w="0" w:type="dxa"/>
        <w:right w:w="108" w:type="dxa"/>
      </w:tblCellMar>
    </w:tblPr>
  </w:style>
  <w:style w:type="paragraph" w:styleId="2">
    <w:name w:val="Body Text"/>
    <w:basedOn w:val="1"/>
    <w:next w:val="1"/>
    <w:qFormat/>
    <w:uiPriority w:val="0"/>
    <w:rPr>
      <w:sz w:val="44"/>
    </w:rPr>
  </w:style>
  <w:style w:type="paragraph" w:styleId="3">
    <w:name w:val="Balloon Text"/>
    <w:basedOn w:val="1"/>
    <w:semiHidden/>
    <w:qFormat/>
    <w:uiPriority w:val="0"/>
    <w:rPr>
      <w:sz w:val="18"/>
      <w:szCs w:val="18"/>
    </w:rPr>
  </w:style>
  <w:style w:type="paragraph" w:styleId="4">
    <w:name w:val="footer"/>
    <w:basedOn w:val="1"/>
    <w:qFormat/>
    <w:uiPriority w:val="0"/>
    <w:pPr>
      <w:tabs>
        <w:tab w:val="center" w:pos="4153"/>
        <w:tab w:val="right" w:pos="8306"/>
      </w:tabs>
      <w:snapToGrid w:val="0"/>
      <w:jc w:val="left"/>
    </w:pPr>
    <w:rPr>
      <w:sz w:val="18"/>
      <w:szCs w:val="18"/>
    </w:rPr>
  </w:style>
  <w:style w:type="paragraph" w:styleId="5">
    <w:name w:val="header"/>
    <w:basedOn w:val="1"/>
    <w:qFormat/>
    <w:uiPriority w:val="0"/>
    <w:pPr>
      <w:pBdr>
        <w:bottom w:val="single" w:color="auto" w:sz="6" w:space="1"/>
      </w:pBdr>
      <w:tabs>
        <w:tab w:val="center" w:pos="4153"/>
        <w:tab w:val="right" w:pos="8306"/>
      </w:tabs>
      <w:snapToGrid w:val="0"/>
      <w:jc w:val="center"/>
    </w:pPr>
    <w:rPr>
      <w:sz w:val="18"/>
      <w:szCs w:val="18"/>
    </w:rPr>
  </w:style>
  <w:style w:type="character" w:styleId="8">
    <w:name w:val="page number"/>
    <w:basedOn w:val="7"/>
    <w:qFormat/>
    <w:uiPriority w:val="0"/>
  </w:style>
  <w:style w:type="paragraph" w:customStyle="1" w:styleId="9">
    <w:name w:val="Heading3"/>
    <w:basedOn w:val="1"/>
    <w:next w:val="1"/>
    <w:qFormat/>
    <w:uiPriority w:val="0"/>
    <w:pPr>
      <w:spacing w:before="100" w:beforeAutospacing="1" w:after="100" w:afterAutospacing="1"/>
      <w:jc w:val="left"/>
      <w:textAlignment w:val="baseline"/>
    </w:pPr>
    <w:rPr>
      <w:rFonts w:ascii="宋体" w:hAnsi="宋体" w:eastAsia="宋体"/>
      <w:b/>
      <w:kern w:val="0"/>
      <w:sz w:val="27"/>
      <w:szCs w:val="27"/>
      <w:lang w:val="en-US" w:eastAsia="zh-CN" w:bidi="ar-SA"/>
    </w:rPr>
  </w:style>
  <w:style w:type="paragraph" w:customStyle="1" w:styleId="10">
    <w:name w:val="Char"/>
    <w:basedOn w:val="1"/>
    <w:qFormat/>
    <w:uiPriority w:val="0"/>
    <w:pPr>
      <w:widowControl/>
      <w:jc w:val="left"/>
    </w:pPr>
    <w:rPr>
      <w:rFonts w:ascii="Verdana" w:hAnsi="Verdana" w:eastAsia="仿宋_GB2312"/>
      <w:kern w:val="0"/>
      <w:sz w:val="28"/>
      <w:szCs w:val="20"/>
      <w:lang w:eastAsia="en-US"/>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Lenovo (Beijing) Limited</Company>
  <Pages>12</Pages>
  <Words>3559</Words>
  <Characters>3804</Characters>
  <Lines>22</Lines>
  <Paragraphs>6</Paragraphs>
  <TotalTime>4</TotalTime>
  <ScaleCrop>false</ScaleCrop>
  <LinksUpToDate>false</LinksUpToDate>
  <CharactersWithSpaces>3868</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2017-02-25T17:02:00Z</dcterms:created>
  <dc:creator>预算处(税政处、编审中心)-王威</dc:creator>
  <cp:lastModifiedBy>a</cp:lastModifiedBy>
  <cp:lastPrinted>2022-02-17T12:01:00Z</cp:lastPrinted>
  <dcterms:modified xsi:type="dcterms:W3CDTF">2025-02-10T04:41:12Z</dcterms:modified>
  <dc:title>辽宁省财政厅部门预算</dc:title>
  <cp:revision>217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KSOTemplateDocerSaveRecord">
    <vt:lpwstr>eyJoZGlkIjoiYTEzY2NmNWI2Yzc4YzQwMDQxYWUzYjE0N2ZiNzNhNjYifQ==</vt:lpwstr>
  </property>
  <property fmtid="{D5CDD505-2E9C-101B-9397-08002B2CF9AE}" pid="4" name="ICV">
    <vt:lpwstr>0C8FCD1013924A01AB4DEEE3B811A0B9_12</vt:lpwstr>
  </property>
</Properties>
</file>