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E9072">
      <w:pPr>
        <w:spacing w:line="600" w:lineRule="exact"/>
        <w:rPr>
          <w:rFonts w:hint="eastAsia" w:ascii="宋体" w:hAnsi="宋体"/>
          <w:b/>
          <w:sz w:val="44"/>
          <w:szCs w:val="44"/>
        </w:rPr>
      </w:pPr>
      <w:r>
        <w:rPr>
          <w:rFonts w:hint="eastAsia" w:ascii="仿宋_GB2312" w:hAnsi="仿宋_GB2312" w:eastAsia="仿宋_GB2312" w:cs="仿宋_GB2312"/>
          <w:bCs/>
          <w:sz w:val="32"/>
          <w:szCs w:val="32"/>
        </w:rPr>
        <w:t>附件4</w:t>
      </w:r>
    </w:p>
    <w:p w14:paraId="3667B1A9">
      <w:pPr>
        <w:spacing w:line="600" w:lineRule="exact"/>
        <w:rPr>
          <w:rFonts w:hint="eastAsia" w:ascii="宋体" w:hAnsi="宋体"/>
          <w:b/>
          <w:sz w:val="44"/>
          <w:szCs w:val="44"/>
        </w:rPr>
      </w:pPr>
    </w:p>
    <w:p w14:paraId="077A4F4F">
      <w:pPr>
        <w:spacing w:line="600" w:lineRule="exact"/>
        <w:jc w:val="center"/>
        <w:rPr>
          <w:rFonts w:hint="eastAsia"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rPr>
        <w:t>盘锦市</w:t>
      </w:r>
      <w:r>
        <w:rPr>
          <w:rFonts w:hint="eastAsia" w:ascii="宋体" w:hAnsi="宋体"/>
          <w:b/>
          <w:sz w:val="44"/>
          <w:szCs w:val="44"/>
        </w:rPr>
        <w:t>鹤乡小学</w:t>
      </w:r>
      <w:r>
        <w:rPr>
          <w:rFonts w:hint="eastAsia" w:ascii="方正小标宋_GBK" w:hAnsi="方正小标宋_GBK" w:eastAsia="方正小标宋_GBK" w:cs="方正小标宋_GBK"/>
          <w:bCs/>
          <w:sz w:val="44"/>
          <w:szCs w:val="44"/>
          <w:lang w:eastAsia="zh-CN"/>
        </w:rPr>
        <w:t>2025</w:t>
      </w:r>
      <w:r>
        <w:rPr>
          <w:rFonts w:hint="eastAsia" w:ascii="方正小标宋_GBK" w:hAnsi="方正小标宋_GBK" w:eastAsia="方正小标宋_GBK" w:cs="方正小标宋_GBK"/>
          <w:bCs/>
          <w:sz w:val="44"/>
          <w:szCs w:val="44"/>
        </w:rPr>
        <w:t>年度部门预算</w:t>
      </w:r>
    </w:p>
    <w:p w14:paraId="040F0B2E">
      <w:pPr>
        <w:spacing w:line="600" w:lineRule="exact"/>
        <w:jc w:val="center"/>
        <w:rPr>
          <w:rFonts w:hint="eastAsia"/>
          <w:bCs/>
          <w:sz w:val="44"/>
          <w:szCs w:val="44"/>
          <w:u w:val="single"/>
        </w:rPr>
      </w:pPr>
    </w:p>
    <w:p w14:paraId="47A18F4F">
      <w:pPr>
        <w:spacing w:line="600" w:lineRule="exact"/>
        <w:jc w:val="center"/>
        <w:rPr>
          <w:rFonts w:hint="eastAsia" w:ascii="黑体" w:hAnsi="黑体" w:eastAsia="黑体" w:cs="黑体"/>
          <w:bCs/>
          <w:sz w:val="32"/>
          <w:szCs w:val="32"/>
        </w:rPr>
      </w:pPr>
      <w:r>
        <w:rPr>
          <w:rFonts w:hint="eastAsia" w:ascii="黑体" w:hAnsi="黑体" w:eastAsia="黑体" w:cs="黑体"/>
          <w:bCs/>
          <w:sz w:val="32"/>
          <w:szCs w:val="32"/>
        </w:rPr>
        <w:t>目    录</w:t>
      </w:r>
    </w:p>
    <w:p w14:paraId="1B770CEA">
      <w:pPr>
        <w:spacing w:line="600" w:lineRule="exact"/>
        <w:rPr>
          <w:rFonts w:hint="eastAsia" w:ascii="黑体" w:hAnsi="黑体" w:eastAsia="黑体" w:cs="黑体"/>
          <w:bCs/>
          <w:sz w:val="32"/>
          <w:szCs w:val="32"/>
          <w:u w:val="single"/>
        </w:rPr>
      </w:pPr>
    </w:p>
    <w:p w14:paraId="742B31E6">
      <w:pPr>
        <w:spacing w:line="600" w:lineRule="exact"/>
        <w:ind w:firstLine="640" w:firstLineChars="200"/>
        <w:rPr>
          <w:rFonts w:hint="eastAsia" w:ascii="黑体" w:hAnsi="黑体" w:eastAsia="黑体"/>
          <w:bCs/>
          <w:sz w:val="32"/>
          <w:szCs w:val="32"/>
        </w:rPr>
      </w:pPr>
      <w:r>
        <w:rPr>
          <w:rFonts w:hint="eastAsia" w:ascii="黑体" w:hAnsi="黑体" w:eastAsia="黑体"/>
          <w:bCs/>
          <w:sz w:val="32"/>
          <w:szCs w:val="32"/>
        </w:rPr>
        <w:t>第一部分  盘锦市</w:t>
      </w:r>
      <w:r>
        <w:rPr>
          <w:rFonts w:hint="eastAsia" w:ascii="黑体" w:hAnsi="黑体" w:eastAsia="黑体"/>
          <w:b/>
          <w:sz w:val="32"/>
          <w:szCs w:val="32"/>
        </w:rPr>
        <w:t>鹤乡小学</w:t>
      </w:r>
      <w:r>
        <w:rPr>
          <w:rFonts w:hint="eastAsia" w:ascii="黑体" w:hAnsi="黑体" w:eastAsia="黑体"/>
          <w:bCs/>
          <w:sz w:val="32"/>
          <w:szCs w:val="32"/>
        </w:rPr>
        <w:t>部门概况</w:t>
      </w:r>
    </w:p>
    <w:p w14:paraId="4AEDCF5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1DA4D7A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3AC1A3D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05D750B5">
      <w:pPr>
        <w:spacing w:line="600" w:lineRule="exact"/>
        <w:ind w:firstLine="640" w:firstLineChars="200"/>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b/>
          <w:sz w:val="32"/>
          <w:szCs w:val="32"/>
        </w:rPr>
        <w:t>鹤乡小学</w:t>
      </w:r>
      <w:r>
        <w:rPr>
          <w:rFonts w:hint="eastAsia" w:ascii="黑体" w:hAnsi="黑体" w:eastAsia="黑体"/>
          <w:sz w:val="32"/>
          <w:szCs w:val="32"/>
          <w:lang w:eastAsia="zh-CN"/>
        </w:rPr>
        <w:t>2025</w:t>
      </w:r>
      <w:r>
        <w:rPr>
          <w:rFonts w:hint="eastAsia" w:ascii="黑体" w:hAnsi="黑体" w:eastAsia="黑体"/>
          <w:sz w:val="32"/>
          <w:szCs w:val="32"/>
        </w:rPr>
        <w:t>年度部门预算公开表</w:t>
      </w:r>
    </w:p>
    <w:p w14:paraId="3A3CE4D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年度收支预算总表</w:t>
      </w:r>
    </w:p>
    <w:p w14:paraId="018BF86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年度收入预算总表</w:t>
      </w:r>
    </w:p>
    <w:p w14:paraId="6A63BE2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年度支出预算总表</w:t>
      </w:r>
    </w:p>
    <w:p w14:paraId="7C1E050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年度财政拨款收支预算总表</w:t>
      </w:r>
    </w:p>
    <w:p w14:paraId="732D42D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年度一般公共预算支出表</w:t>
      </w:r>
    </w:p>
    <w:p w14:paraId="1803024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年度一般公共预算基本支出表</w:t>
      </w:r>
    </w:p>
    <w:p w14:paraId="4A97174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年度一般公共预算“三公”经费支出表</w:t>
      </w:r>
    </w:p>
    <w:p w14:paraId="57DD872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年度政府性基金预算支出表</w:t>
      </w:r>
    </w:p>
    <w:p w14:paraId="64F5568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年度部门综合预算项目支出表</w:t>
      </w:r>
    </w:p>
    <w:p w14:paraId="2F561E5F">
      <w:pPr>
        <w:spacing w:line="60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lang w:eastAsia="zh-CN"/>
        </w:rPr>
        <w:t>2025</w:t>
      </w:r>
      <w:r>
        <w:rPr>
          <w:rFonts w:hint="eastAsia" w:ascii="仿宋" w:hAnsi="仿宋" w:eastAsia="仿宋" w:cs="仿宋"/>
          <w:sz w:val="32"/>
          <w:szCs w:val="32"/>
        </w:rPr>
        <w:t>年度部门（单位）整体绩效目标表</w:t>
      </w:r>
    </w:p>
    <w:p w14:paraId="6AB7B3BE">
      <w:pPr>
        <w:spacing w:line="60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十一、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年度部门预算项目（政策）绩效目标表</w:t>
      </w:r>
    </w:p>
    <w:p w14:paraId="3260A669">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b/>
          <w:sz w:val="32"/>
          <w:szCs w:val="32"/>
        </w:rPr>
        <w:t>鹤乡小学</w:t>
      </w:r>
      <w:r>
        <w:rPr>
          <w:rFonts w:hint="eastAsia" w:ascii="黑体" w:hAnsi="黑体" w:eastAsia="黑体"/>
          <w:sz w:val="32"/>
          <w:szCs w:val="32"/>
          <w:lang w:eastAsia="zh-CN"/>
        </w:rPr>
        <w:t>2025</w:t>
      </w:r>
      <w:r>
        <w:rPr>
          <w:rFonts w:hint="eastAsia" w:ascii="黑体" w:hAnsi="黑体" w:eastAsia="黑体"/>
          <w:sz w:val="32"/>
          <w:szCs w:val="32"/>
        </w:rPr>
        <w:t>年度部门预算情况说明</w:t>
      </w:r>
    </w:p>
    <w:p w14:paraId="486867B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4C0E782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64530BA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465B96E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0F6AD3D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25F2B6A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0E9B3BBF">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14:paraId="5984FFA5">
      <w:pPr>
        <w:spacing w:line="600" w:lineRule="exact"/>
        <w:jc w:val="center"/>
        <w:rPr>
          <w:rFonts w:hint="eastAsia"/>
          <w:b/>
          <w:sz w:val="44"/>
          <w:szCs w:val="44"/>
          <w:u w:val="single"/>
        </w:rPr>
      </w:pPr>
    </w:p>
    <w:p w14:paraId="1CE2F7E6">
      <w:pPr>
        <w:spacing w:line="600" w:lineRule="exact"/>
        <w:jc w:val="center"/>
        <w:rPr>
          <w:rFonts w:hint="eastAsia" w:ascii="方正小标宋_GBK" w:hAnsi="方正小标宋_GBK" w:eastAsia="方正小标宋_GBK" w:cs="方正小标宋_GBK"/>
          <w:bCs/>
          <w:sz w:val="44"/>
          <w:szCs w:val="44"/>
          <w:u w:val="single"/>
        </w:rPr>
      </w:pPr>
    </w:p>
    <w:p w14:paraId="15B6D3BF">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0B10ECE9">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w:t>
      </w:r>
      <w:r>
        <w:rPr>
          <w:rFonts w:hint="eastAsia" w:ascii="宋体" w:hAnsi="宋体"/>
          <w:b/>
          <w:sz w:val="44"/>
          <w:szCs w:val="44"/>
        </w:rPr>
        <w:t>鹤乡小学</w:t>
      </w:r>
      <w:r>
        <w:rPr>
          <w:rFonts w:hint="eastAsia" w:ascii="方正小标宋_GBK" w:hAnsi="方正小标宋_GBK" w:eastAsia="方正小标宋_GBK" w:cs="方正小标宋_GBK"/>
          <w:bCs/>
          <w:sz w:val="44"/>
          <w:szCs w:val="44"/>
        </w:rPr>
        <w:t>部门概况</w:t>
      </w:r>
    </w:p>
    <w:p w14:paraId="3EADEBDC">
      <w:pPr>
        <w:spacing w:line="600" w:lineRule="exact"/>
        <w:jc w:val="left"/>
        <w:rPr>
          <w:rFonts w:hint="eastAsia" w:ascii="方正小标宋_GBK" w:hAnsi="方正小标宋_GBK" w:eastAsia="方正小标宋_GBK" w:cs="方正小标宋_GBK"/>
          <w:bCs/>
          <w:sz w:val="44"/>
          <w:szCs w:val="44"/>
        </w:rPr>
      </w:pPr>
    </w:p>
    <w:p w14:paraId="0C7F71C6">
      <w:pPr>
        <w:numPr>
          <w:ilvl w:val="0"/>
          <w:numId w:val="1"/>
        </w:numPr>
        <w:spacing w:line="600" w:lineRule="exact"/>
        <w:jc w:val="left"/>
        <w:rPr>
          <w:rFonts w:hint="eastAsia" w:ascii="黑体" w:eastAsia="黑体"/>
          <w:sz w:val="32"/>
          <w:szCs w:val="32"/>
        </w:rPr>
      </w:pPr>
      <w:r>
        <w:rPr>
          <w:rFonts w:hint="eastAsia" w:ascii="黑体" w:eastAsia="黑体"/>
          <w:sz w:val="32"/>
          <w:szCs w:val="32"/>
        </w:rPr>
        <w:t>主要职责</w:t>
      </w:r>
    </w:p>
    <w:p w14:paraId="567DC449">
      <w:pPr>
        <w:ind w:left="640"/>
        <w:rPr>
          <w:rFonts w:hint="eastAsia" w:ascii="仿宋" w:hAnsi="仿宋" w:eastAsia="仿宋" w:cs="Arial"/>
          <w:color w:val="000000"/>
          <w:sz w:val="32"/>
          <w:szCs w:val="32"/>
          <w:shd w:val="clear" w:color="auto" w:fill="FFFFFF"/>
        </w:rPr>
      </w:pPr>
      <w:r>
        <w:rPr>
          <w:rFonts w:hint="eastAsia" w:ascii="仿宋" w:hAnsi="仿宋" w:eastAsia="仿宋"/>
          <w:sz w:val="32"/>
          <w:szCs w:val="32"/>
        </w:rPr>
        <w:t>单位</w:t>
      </w:r>
      <w:r>
        <w:rPr>
          <w:rFonts w:ascii="仿宋" w:hAnsi="仿宋" w:eastAsia="仿宋" w:cs="Arial"/>
          <w:color w:val="000000"/>
          <w:sz w:val="32"/>
          <w:szCs w:val="32"/>
          <w:shd w:val="clear" w:color="auto" w:fill="FFFFFF"/>
        </w:rPr>
        <w:t>的主要职责是组织教育教学、科学研究活动，</w:t>
      </w:r>
      <w:r>
        <w:rPr>
          <w:rFonts w:hint="eastAsia" w:ascii="仿宋" w:hAnsi="仿宋" w:eastAsia="仿宋" w:cs="Arial"/>
          <w:color w:val="000000"/>
          <w:sz w:val="32"/>
          <w:szCs w:val="32"/>
          <w:shd w:val="clear" w:color="auto" w:fill="FFFFFF"/>
        </w:rPr>
        <w:t>促进学生身心健康和谐的发展。</w:t>
      </w:r>
      <w:r>
        <w:rPr>
          <w:rFonts w:ascii="仿宋" w:hAnsi="仿宋" w:eastAsia="仿宋" w:cs="Arial"/>
          <w:color w:val="000000"/>
          <w:sz w:val="32"/>
          <w:szCs w:val="32"/>
          <w:shd w:val="clear" w:color="auto" w:fill="FFFFFF"/>
        </w:rPr>
        <w:t>教师遵照教学大纲、课程标准，有目的、有计划、有组织地指导学生接受思想政治教育、学习文化科学知识、培养各种能力的双边活动</w:t>
      </w:r>
      <w:r>
        <w:rPr>
          <w:rFonts w:hint="eastAsia" w:ascii="仿宋" w:hAnsi="仿宋" w:eastAsia="仿宋" w:cs="Arial"/>
          <w:color w:val="000000"/>
          <w:sz w:val="32"/>
          <w:szCs w:val="32"/>
          <w:shd w:val="clear" w:color="auto" w:fill="FFFFFF"/>
        </w:rPr>
        <w:t xml:space="preserve">， </w:t>
      </w:r>
      <w:r>
        <w:rPr>
          <w:rFonts w:ascii="仿宋" w:hAnsi="仿宋" w:eastAsia="仿宋" w:cs="Arial"/>
          <w:color w:val="000000"/>
          <w:sz w:val="32"/>
          <w:szCs w:val="32"/>
          <w:shd w:val="clear" w:color="auto" w:fill="FFFFFF"/>
        </w:rPr>
        <w:t>教学工作是学校的中心工作</w:t>
      </w:r>
      <w:r>
        <w:rPr>
          <w:rFonts w:hint="eastAsia" w:ascii="仿宋" w:hAnsi="仿宋" w:eastAsia="仿宋" w:cs="Arial"/>
          <w:color w:val="000000"/>
          <w:sz w:val="32"/>
          <w:szCs w:val="32"/>
          <w:shd w:val="clear" w:color="auto" w:fill="FFFFFF"/>
        </w:rPr>
        <w:t>。</w:t>
      </w:r>
    </w:p>
    <w:p w14:paraId="7BCC871D">
      <w:pPr>
        <w:ind w:left="420" w:leftChars="200" w:firstLine="640" w:firstLineChars="200"/>
        <w:rPr>
          <w:rFonts w:hint="eastAsia" w:ascii="仿宋" w:hAnsi="仿宋" w:eastAsia="仿宋"/>
          <w:sz w:val="32"/>
          <w:szCs w:val="32"/>
        </w:rPr>
      </w:pPr>
      <w:r>
        <w:rPr>
          <w:rFonts w:hint="eastAsia" w:ascii="仿宋" w:hAnsi="仿宋" w:eastAsia="仿宋"/>
          <w:sz w:val="32"/>
          <w:szCs w:val="32"/>
        </w:rPr>
        <w:t>1、贯彻方针。全面贯彻落实国家的教育方针、政策及相关的法律法规。依法治校。加强学校领导班子和教职工队伍建设，不断提高队伍素质。</w:t>
      </w:r>
    </w:p>
    <w:p w14:paraId="2F1CFF27">
      <w:pPr>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  ２、德育为首。面向全体学生，遵循学生身心发展规律和社会发展要求，培养学生良好的行为习惯，引导学生逐步树立正确的世界观、人生观和价值观。</w:t>
      </w:r>
    </w:p>
    <w:p w14:paraId="5E118576">
      <w:pPr>
        <w:ind w:left="420"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３、</w:t>
      </w:r>
      <w:r>
        <w:rPr>
          <w:rFonts w:ascii="仿宋" w:hAnsi="仿宋" w:eastAsia="仿宋" w:cs="Arial"/>
          <w:color w:val="000000"/>
          <w:sz w:val="32"/>
          <w:szCs w:val="32"/>
          <w:shd w:val="clear" w:color="auto" w:fill="FFFFFF"/>
        </w:rPr>
        <w:t>发展学生智力，体力，创造能力和实践精神。智力是认识过程中表现</w:t>
      </w:r>
      <w:r>
        <w:rPr>
          <w:rFonts w:hint="eastAsia" w:ascii="仿宋" w:hAnsi="仿宋" w:eastAsia="仿宋" w:cs="Arial"/>
          <w:color w:val="000000"/>
          <w:sz w:val="32"/>
          <w:szCs w:val="32"/>
          <w:shd w:val="clear" w:color="auto" w:fill="FFFFFF"/>
        </w:rPr>
        <w:t>出来的</w:t>
      </w:r>
      <w:r>
        <w:rPr>
          <w:rFonts w:ascii="仿宋" w:hAnsi="仿宋" w:eastAsia="仿宋" w:cs="Arial"/>
          <w:color w:val="000000"/>
          <w:sz w:val="32"/>
          <w:szCs w:val="32"/>
          <w:shd w:val="clear" w:color="auto" w:fill="FFFFFF"/>
        </w:rPr>
        <w:t>，包括观察力，记忆力，想象力和思维能力，其中思维能力是智力的核心。创造力是指最终产生的新的有社会价值的成品的能力</w:t>
      </w:r>
      <w:r>
        <w:rPr>
          <w:rFonts w:hint="eastAsia" w:ascii="仿宋" w:hAnsi="仿宋" w:eastAsia="仿宋" w:cs="Arial"/>
          <w:color w:val="000000"/>
          <w:sz w:val="32"/>
          <w:szCs w:val="32"/>
          <w:shd w:val="clear" w:color="auto" w:fill="FFFFFF"/>
        </w:rPr>
        <w:t>。</w:t>
      </w:r>
    </w:p>
    <w:p w14:paraId="10B752B2">
      <w:pPr>
        <w:ind w:left="420" w:firstLine="640" w:firstLineChars="200"/>
        <w:rPr>
          <w:rFonts w:ascii="仿宋" w:hAnsi="仿宋" w:eastAsia="仿宋"/>
          <w:color w:val="000000"/>
          <w:sz w:val="32"/>
          <w:szCs w:val="32"/>
        </w:rPr>
      </w:pPr>
      <w:r>
        <w:rPr>
          <w:rFonts w:hint="eastAsia" w:ascii="仿宋" w:hAnsi="仿宋" w:eastAsia="仿宋" w:cs="Arial"/>
          <w:color w:val="000000"/>
          <w:sz w:val="32"/>
          <w:szCs w:val="32"/>
          <w:shd w:val="clear" w:color="auto" w:fill="FFFFFF"/>
        </w:rPr>
        <w:t>４、做好学生安全教育的工作，开展各种安全活动，提高学生的安全意识。</w:t>
      </w:r>
    </w:p>
    <w:p w14:paraId="2704BF62">
      <w:pPr>
        <w:ind w:left="420"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５、</w:t>
      </w:r>
      <w:r>
        <w:rPr>
          <w:rFonts w:ascii="仿宋" w:hAnsi="仿宋" w:eastAsia="仿宋" w:cs="Arial"/>
          <w:color w:val="000000"/>
          <w:sz w:val="32"/>
          <w:szCs w:val="32"/>
          <w:shd w:val="clear" w:color="auto" w:fill="FFFFFF"/>
        </w:rPr>
        <w:t>发展学生体力，提高学生的健康水平。教学可以传授</w:t>
      </w:r>
      <w:r>
        <w:fldChar w:fldCharType="begin"/>
      </w:r>
      <w:r>
        <w:instrText xml:space="preserve"> HYPERLINK "http://www.so.com/s?q=%E4%BD%93%E8%82%B2&amp;ie=utf-8&amp;src=wenda_link" \t "_blank" </w:instrText>
      </w:r>
      <w:r>
        <w:fldChar w:fldCharType="separate"/>
      </w:r>
      <w:r>
        <w:rPr>
          <w:rStyle w:val="8"/>
          <w:rFonts w:ascii="仿宋" w:hAnsi="仿宋" w:eastAsia="仿宋" w:cs="Arial"/>
          <w:color w:val="000000"/>
          <w:sz w:val="32"/>
          <w:szCs w:val="32"/>
          <w:shd w:val="clear" w:color="auto" w:fill="FFFFFF"/>
        </w:rPr>
        <w:t>体育</w:t>
      </w:r>
      <w:r>
        <w:rPr>
          <w:rStyle w:val="8"/>
          <w:rFonts w:ascii="仿宋" w:hAnsi="仿宋" w:eastAsia="仿宋" w:cs="Arial"/>
          <w:color w:val="000000"/>
          <w:sz w:val="32"/>
          <w:szCs w:val="32"/>
          <w:shd w:val="clear" w:color="auto" w:fill="FFFFFF"/>
        </w:rPr>
        <w:fldChar w:fldCharType="end"/>
      </w:r>
      <w:r>
        <w:rPr>
          <w:rFonts w:ascii="仿宋" w:hAnsi="仿宋" w:eastAsia="仿宋" w:cs="Arial"/>
          <w:color w:val="000000"/>
          <w:sz w:val="32"/>
          <w:szCs w:val="32"/>
          <w:shd w:val="clear" w:color="auto" w:fill="FFFFFF"/>
        </w:rPr>
        <w:t xml:space="preserve">，卫生等方面的知识，使学生养成锻炼身体和讲究卫生的良好习惯，增强学生的体质。同时，使学生保持旺盛的精力，发展健康的体魄。 </w:t>
      </w:r>
    </w:p>
    <w:p w14:paraId="53E6DD38">
      <w:pPr>
        <w:ind w:left="420"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６、</w:t>
      </w:r>
      <w:r>
        <w:rPr>
          <w:rFonts w:ascii="仿宋" w:hAnsi="仿宋" w:eastAsia="仿宋" w:cs="Arial"/>
          <w:color w:val="000000"/>
          <w:sz w:val="32"/>
          <w:szCs w:val="32"/>
          <w:shd w:val="clear" w:color="auto" w:fill="FFFFFF"/>
        </w:rPr>
        <w:t>培养学生高尚的审美</w:t>
      </w:r>
      <w:r>
        <w:rPr>
          <w:rFonts w:hint="eastAsia" w:ascii="仿宋" w:hAnsi="仿宋" w:eastAsia="仿宋" w:cs="Arial"/>
          <w:color w:val="000000"/>
          <w:sz w:val="32"/>
          <w:szCs w:val="32"/>
          <w:shd w:val="clear" w:color="auto" w:fill="FFFFFF"/>
        </w:rPr>
        <w:t>情趣</w:t>
      </w:r>
      <w:r>
        <w:rPr>
          <w:rFonts w:ascii="仿宋" w:hAnsi="仿宋" w:eastAsia="仿宋" w:cs="Arial"/>
          <w:color w:val="000000"/>
          <w:sz w:val="32"/>
          <w:szCs w:val="32"/>
          <w:shd w:val="clear" w:color="auto" w:fill="FFFFFF"/>
        </w:rPr>
        <w:t>，养成良好的思想品德，形成科学的世界观基础和良好的个性心理品质。通过教学，可以培养学生正确的政治观点，道德观点以及其他思想观点；通过教学，还可以形成学生正确的审美观念，培养和发展学生感受美，创造美的能力。</w:t>
      </w:r>
    </w:p>
    <w:p w14:paraId="40366A14">
      <w:pPr>
        <w:ind w:left="420" w:leftChars="200" w:firstLine="640" w:firstLineChars="200"/>
        <w:rPr>
          <w:rFonts w:hint="eastAsia" w:ascii="仿宋" w:hAnsi="仿宋" w:eastAsia="仿宋"/>
          <w:sz w:val="32"/>
          <w:szCs w:val="32"/>
        </w:rPr>
      </w:pPr>
      <w:r>
        <w:rPr>
          <w:rFonts w:hint="eastAsia" w:ascii="仿宋" w:hAnsi="仿宋" w:eastAsia="仿宋"/>
          <w:sz w:val="32"/>
          <w:szCs w:val="32"/>
        </w:rPr>
        <w:t>７、积极配合政府完成上级教育行政部门布置的其它工作任务。</w:t>
      </w:r>
    </w:p>
    <w:p w14:paraId="285558E4">
      <w:pPr>
        <w:ind w:left="640"/>
        <w:rPr>
          <w:rFonts w:ascii="仿宋" w:hAnsi="仿宋" w:eastAsia="仿宋" w:cs="Arial"/>
          <w:color w:val="000000"/>
          <w:sz w:val="32"/>
          <w:szCs w:val="32"/>
          <w:shd w:val="clear" w:color="auto" w:fill="FFFFFF"/>
        </w:rPr>
      </w:pPr>
    </w:p>
    <w:p w14:paraId="2403EE9E">
      <w:pPr>
        <w:spacing w:line="600" w:lineRule="exact"/>
        <w:ind w:left="640"/>
        <w:jc w:val="left"/>
        <w:rPr>
          <w:rFonts w:hint="eastAsia" w:ascii="仿宋_GB2312" w:hAnsi="仿宋_GB2312" w:eastAsia="仿宋_GB2312" w:cs="仿宋_GB2312"/>
          <w:sz w:val="32"/>
          <w:szCs w:val="32"/>
        </w:rPr>
      </w:pPr>
    </w:p>
    <w:p w14:paraId="4D9556C7">
      <w:pPr>
        <w:numPr>
          <w:ilvl w:val="0"/>
          <w:numId w:val="2"/>
        </w:numPr>
        <w:spacing w:line="600" w:lineRule="exact"/>
        <w:ind w:firstLine="640" w:firstLineChars="200"/>
        <w:jc w:val="left"/>
        <w:rPr>
          <w:rFonts w:ascii="黑体" w:eastAsia="黑体"/>
          <w:sz w:val="32"/>
          <w:szCs w:val="32"/>
        </w:rPr>
      </w:pPr>
      <w:r>
        <w:rPr>
          <w:rFonts w:ascii="黑体" w:eastAsia="黑体"/>
          <w:sz w:val="32"/>
          <w:szCs w:val="32"/>
        </w:rPr>
        <w:t>机构设置</w:t>
      </w:r>
    </w:p>
    <w:p w14:paraId="2D31C9D1">
      <w:pPr>
        <w:spacing w:line="600" w:lineRule="exact"/>
        <w:jc w:val="left"/>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524F08C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鹤乡小学设8个内设机构：</w:t>
      </w:r>
    </w:p>
    <w:p w14:paraId="004AFA5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１</w:t>
      </w:r>
      <w:r>
        <w:rPr>
          <w:rFonts w:hint="eastAsia" w:ascii="宋体" w:hAnsi="宋体"/>
          <w:sz w:val="30"/>
          <w:szCs w:val="30"/>
        </w:rPr>
        <w:t>、</w:t>
      </w:r>
      <w:r>
        <w:rPr>
          <w:rFonts w:hint="eastAsia" w:ascii="仿宋_GB2312" w:eastAsia="仿宋_GB2312"/>
          <w:sz w:val="32"/>
          <w:szCs w:val="32"/>
        </w:rPr>
        <w:t>综合办公室</w:t>
      </w:r>
    </w:p>
    <w:p w14:paraId="1093A8E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(１)完成行政事务。(2)对外联络工作和睦邻工作。(3) 接待工作。(４)事务的通知落实工作。(５)学校综合统计工作。(６)做好会议管理工作。(７)值班安排工作。(8)会议、活动服务，协调工作。(９)办公用品的管理。(10)固定资产的管理工作。(11)信访工作。(12)通讯有关工作。(13)信息化建设的规划、管理、资源库管理及信息化教学设施设备的维护及校园网络、网站的维护和管理等工作。</w:t>
      </w:r>
    </w:p>
    <w:p w14:paraId="0A9919D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2、教务处</w:t>
      </w:r>
    </w:p>
    <w:p w14:paraId="25E8330D">
      <w:pPr>
        <w:widowControl/>
        <w:rPr>
          <w:rFonts w:ascii="宋体" w:hAnsi="宋体" w:cs="宋体"/>
          <w:kern w:val="0"/>
          <w:sz w:val="24"/>
        </w:rPr>
      </w:pPr>
    </w:p>
    <w:p w14:paraId="16877C6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(1)、制定教学规章制度和教学管理文件。</w:t>
      </w:r>
    </w:p>
    <w:p w14:paraId="22D918D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(2)、人才培养目标和培养方案的设计，方案的制定和调整。</w:t>
      </w:r>
    </w:p>
    <w:p w14:paraId="1C2DB58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(3)、教学管理工作，课程安排。</w:t>
      </w:r>
    </w:p>
    <w:p w14:paraId="0D7CE91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(4)、教材的征订、采购、入库、发放。 </w:t>
      </w:r>
    </w:p>
    <w:p w14:paraId="44688C7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(5)、教学改革与教学管理。</w:t>
      </w:r>
    </w:p>
    <w:p w14:paraId="7E02D88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(6)、教学质量的评估检查。课程评估和教学质量评价等工作。</w:t>
      </w:r>
    </w:p>
    <w:p w14:paraId="1A2BCC3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(7)学籍、成绩和考务工作，档案的管理。 </w:t>
      </w:r>
    </w:p>
    <w:p w14:paraId="7430870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(8)、负责教学工作量的核算工作。</w:t>
      </w:r>
    </w:p>
    <w:p w14:paraId="24FB196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(9)、竞赛以及教学成果评比。</w:t>
      </w:r>
    </w:p>
    <w:p w14:paraId="6F57B11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(10)、名师的建设与管理工作。</w:t>
      </w:r>
    </w:p>
    <w:p w14:paraId="7265FF3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(11)、学科管理，学科带头人、学术骨干、教学骨干的评审与管理工作。</w:t>
      </w:r>
    </w:p>
    <w:p w14:paraId="7BA636B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3、政教处</w:t>
      </w:r>
    </w:p>
    <w:p w14:paraId="6CAC265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(1)、制定学生思想教育与管理工作计划，落实情况。</w:t>
      </w:r>
    </w:p>
    <w:p w14:paraId="6C26076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(2)、班主任工作。</w:t>
      </w:r>
    </w:p>
    <w:p w14:paraId="4ECFCF2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(3)、学生日常规管理和行为规范教育。     </w:t>
      </w:r>
    </w:p>
    <w:p w14:paraId="720599A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(4)、管理班级，班风建设及检查评比工作。  </w:t>
      </w:r>
    </w:p>
    <w:p w14:paraId="0F3BE35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(5)、评定优秀学生干部、三好学生及先进班集体；审核学生的品德，毕业生鉴定及综合素质的评定。</w:t>
      </w:r>
    </w:p>
    <w:p w14:paraId="527A6C2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(6)、军训、艺术节活动。 </w:t>
      </w:r>
    </w:p>
    <w:p w14:paraId="22FAF9D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(7)、学生干部的培训，思想建设与组织建设。</w:t>
      </w:r>
    </w:p>
    <w:p w14:paraId="596F6E7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(8)、学生公益活动、社会实践活动，德育基地建设；家长会议 。 </w:t>
      </w:r>
    </w:p>
    <w:p w14:paraId="0E96014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(9)、学生卫生、保健工作，“两课两操”，“阳光体育”活动，校园环境卫生。 </w:t>
      </w:r>
    </w:p>
    <w:p w14:paraId="2B004C9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(10)、国家助学金、社会助学等工作，关心生活困难家庭的学生。  </w:t>
      </w:r>
    </w:p>
    <w:p w14:paraId="4F540C0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4、工会、团委</w:t>
      </w:r>
    </w:p>
    <w:p w14:paraId="7F3F896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(1)、传达党组织和团组织的决议和指示，向党总支和上级团组织汇报工作。</w:t>
      </w:r>
    </w:p>
    <w:p w14:paraId="651E963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(2)、检查团支部工作情况，团员的思想工作和学习，道德建设，召开团委委员会议，检查、指导委员的工作。</w:t>
      </w:r>
    </w:p>
    <w:p w14:paraId="06AD73F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(3)、团支部书记会议，团员学习培训、布置检查，全校团员大会。</w:t>
      </w:r>
    </w:p>
    <w:p w14:paraId="593116F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(4)、校团委会、校学生会工作。</w:t>
      </w:r>
    </w:p>
    <w:p w14:paraId="328186C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(5)、校园文化生活、校园文化建设。</w:t>
      </w:r>
    </w:p>
    <w:p w14:paraId="7366434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(6)、团员的发展工作。</w:t>
      </w:r>
    </w:p>
    <w:p w14:paraId="53FB57D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(7)、劳动纪律考核。</w:t>
      </w:r>
    </w:p>
    <w:p w14:paraId="222071F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(8)、校代会。</w:t>
      </w:r>
    </w:p>
    <w:p w14:paraId="3E85F33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5、体艺处</w:t>
      </w:r>
    </w:p>
    <w:p w14:paraId="2B759F9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(1)、大型文体活动、运动会。</w:t>
      </w:r>
    </w:p>
    <w:p w14:paraId="1CDC33F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(2)、体音美教学工作。</w:t>
      </w:r>
    </w:p>
    <w:p w14:paraId="45A98EE4">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(3)、体育场馆的管理。</w:t>
      </w:r>
    </w:p>
    <w:p w14:paraId="06FB90B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６、安全科</w:t>
      </w:r>
    </w:p>
    <w:p w14:paraId="5FBB91D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(1)、学校安全工作的法律法规的方针政策。</w:t>
      </w:r>
    </w:p>
    <w:p w14:paraId="454BE15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(2)、安全事故应急预案，安全工作责任制。</w:t>
      </w:r>
    </w:p>
    <w:p w14:paraId="28131F0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(3)、安全法规和安全知识的宣传、教育和培训活动，学校开展安全事件的工作防控。</w:t>
      </w:r>
    </w:p>
    <w:p w14:paraId="008F353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(4)、学校安全工作、学校及周边环境。</w:t>
      </w:r>
    </w:p>
    <w:p w14:paraId="35C8605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(5)、学校安全事故救援和统筹协调工作。</w:t>
      </w:r>
    </w:p>
    <w:p w14:paraId="1799845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(6)、安全事故情况通报，学校安全检查和评估工作等。</w:t>
      </w:r>
    </w:p>
    <w:p w14:paraId="24123B0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７、科研室</w:t>
      </w:r>
    </w:p>
    <w:p w14:paraId="291875B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(1)、科研发展的规划和年度计划；各类科研项目，课题；科研信息传递、科技统计和成果管理工作；学科建设，促进学校发展；做好科研成果的推广、学研合作。</w:t>
      </w:r>
    </w:p>
    <w:p w14:paraId="0C2FC28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(2)、教师职称评定工作。</w:t>
      </w:r>
    </w:p>
    <w:p w14:paraId="49FA166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8、总务处</w:t>
      </w:r>
    </w:p>
    <w:p w14:paraId="7678708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(1)、负责校舍、设施的修建、维护工作。</w:t>
      </w:r>
    </w:p>
    <w:p w14:paraId="37155EB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(2)、教学用品，订购和放学生作业本及教师办公、班级用品。</w:t>
      </w:r>
    </w:p>
    <w:p w14:paraId="07315D5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(3)、校产的登记、添置和维修管理。</w:t>
      </w:r>
    </w:p>
    <w:p w14:paraId="0D1B849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(4)、校园绿化。</w:t>
      </w:r>
    </w:p>
    <w:p w14:paraId="48F5E1FB">
      <w:pPr>
        <w:spacing w:line="600" w:lineRule="exact"/>
        <w:ind w:firstLine="640" w:firstLineChars="200"/>
        <w:jc w:val="left"/>
        <w:rPr>
          <w:rFonts w:hint="eastAsia" w:ascii="仿宋_GB2312" w:hAnsi="仿宋_GB2312" w:eastAsia="仿宋_GB2312" w:cs="仿宋_GB2312"/>
          <w:kern w:val="0"/>
          <w:sz w:val="32"/>
          <w:szCs w:val="32"/>
        </w:rPr>
      </w:pPr>
    </w:p>
    <w:p w14:paraId="091D6F67">
      <w:pPr>
        <w:spacing w:line="600" w:lineRule="exact"/>
        <w:ind w:firstLine="640"/>
        <w:jc w:val="left"/>
        <w:rPr>
          <w:rFonts w:hint="eastAsia" w:ascii="仿宋_GB2312" w:hAnsi="仿宋_GB2312" w:eastAsia="仿宋_GB2312" w:cs="仿宋_GB2312"/>
          <w:sz w:val="32"/>
        </w:rPr>
      </w:pPr>
    </w:p>
    <w:p w14:paraId="6490ACEE">
      <w:pPr>
        <w:spacing w:line="600" w:lineRule="exact"/>
        <w:ind w:firstLine="640" w:firstLineChars="200"/>
        <w:jc w:val="left"/>
        <w:rPr>
          <w:rFonts w:hint="eastAsia" w:ascii="黑体" w:eastAsia="黑体"/>
          <w:sz w:val="32"/>
          <w:szCs w:val="32"/>
        </w:rPr>
      </w:pPr>
      <w:r>
        <w:rPr>
          <w:rFonts w:hint="eastAsia" w:ascii="黑体" w:eastAsia="黑体"/>
          <w:sz w:val="32"/>
          <w:szCs w:val="32"/>
        </w:rPr>
        <w:t>三、部门预算单位构成</w:t>
      </w:r>
    </w:p>
    <w:p w14:paraId="655EB2F1">
      <w:pPr>
        <w:spacing w:line="600" w:lineRule="exact"/>
        <w:ind w:firstLine="624" w:firstLineChars="195"/>
        <w:rPr>
          <w:rFonts w:hint="eastAsia" w:ascii="仿宋_GB2312" w:hAnsi="仿宋_GB2312" w:eastAsia="仿宋_GB2312" w:cs="仿宋_GB2312"/>
          <w:sz w:val="32"/>
        </w:rPr>
      </w:pPr>
      <w:r>
        <w:rPr>
          <w:rFonts w:hint="eastAsia" w:ascii="仿宋" w:hAnsi="仿宋" w:eastAsia="仿宋" w:cs="仿宋_GB2312"/>
          <w:sz w:val="32"/>
        </w:rPr>
        <w:t>纳入</w:t>
      </w:r>
      <w:r>
        <w:rPr>
          <w:rFonts w:hint="eastAsia" w:ascii="仿宋_GB2312" w:eastAsia="仿宋_GB2312"/>
          <w:sz w:val="32"/>
          <w:szCs w:val="32"/>
        </w:rPr>
        <w:t>区教育局</w:t>
      </w:r>
      <w:r>
        <w:rPr>
          <w:rFonts w:hint="eastAsia" w:ascii="仿宋" w:hAnsi="仿宋" w:eastAsia="仿宋" w:cs="仿宋_GB2312"/>
          <w:sz w:val="32"/>
          <w:lang w:eastAsia="zh-CN"/>
        </w:rPr>
        <w:t>2025</w:t>
      </w:r>
      <w:r>
        <w:rPr>
          <w:rFonts w:hint="eastAsia" w:ascii="仿宋" w:hAnsi="仿宋" w:eastAsia="仿宋" w:cs="仿宋_GB2312"/>
          <w:sz w:val="32"/>
        </w:rPr>
        <w:t>年度部门预算编制范围的二级预算单位</w:t>
      </w:r>
    </w:p>
    <w:p w14:paraId="39A20B22">
      <w:pPr>
        <w:spacing w:line="600" w:lineRule="exact"/>
        <w:ind w:firstLine="640" w:firstLineChars="200"/>
        <w:rPr>
          <w:rFonts w:hint="eastAsia" w:ascii="仿宋_GB2312" w:hAnsi="仿宋_GB2312" w:eastAsia="仿宋_GB2312" w:cs="仿宋_GB2312"/>
          <w:sz w:val="32"/>
        </w:rPr>
      </w:pPr>
    </w:p>
    <w:p w14:paraId="7F88ADB4">
      <w:pPr>
        <w:spacing w:line="600" w:lineRule="exact"/>
        <w:ind w:firstLine="640" w:firstLineChars="200"/>
        <w:rPr>
          <w:rFonts w:hint="eastAsia" w:ascii="仿宋_GB2312" w:hAnsi="仿宋_GB2312" w:eastAsia="仿宋_GB2312" w:cs="仿宋_GB2312"/>
          <w:sz w:val="32"/>
        </w:rPr>
      </w:pPr>
    </w:p>
    <w:p w14:paraId="13210DB1">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54654B4C">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w:t>
      </w:r>
      <w:r>
        <w:rPr>
          <w:rFonts w:hint="eastAsia" w:ascii="宋体" w:hAnsi="宋体"/>
          <w:b/>
          <w:sz w:val="44"/>
          <w:szCs w:val="44"/>
        </w:rPr>
        <w:t>鹤乡小学</w:t>
      </w:r>
      <w:r>
        <w:rPr>
          <w:rFonts w:hint="eastAsia" w:ascii="方正小标宋_GBK" w:hAnsi="方正小标宋_GBK" w:eastAsia="方正小标宋_GBK" w:cs="方正小标宋_GBK"/>
          <w:bCs/>
          <w:sz w:val="44"/>
          <w:szCs w:val="44"/>
          <w:lang w:eastAsia="zh-CN"/>
        </w:rPr>
        <w:t>2025</w:t>
      </w:r>
      <w:r>
        <w:rPr>
          <w:rFonts w:hint="eastAsia" w:ascii="方正小标宋_GBK" w:hAnsi="方正小标宋_GBK" w:eastAsia="方正小标宋_GBK" w:cs="方正小标宋_GBK"/>
          <w:bCs/>
          <w:sz w:val="44"/>
          <w:szCs w:val="44"/>
        </w:rPr>
        <w:t>年度部门预算公开表</w:t>
      </w:r>
    </w:p>
    <w:p w14:paraId="7C5AB588">
      <w:pPr>
        <w:spacing w:line="600" w:lineRule="exact"/>
        <w:jc w:val="center"/>
        <w:rPr>
          <w:rFonts w:hint="eastAsia"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26543F24">
      <w:pPr>
        <w:spacing w:line="600" w:lineRule="exact"/>
        <w:jc w:val="center"/>
        <w:rPr>
          <w:rFonts w:hint="eastAsia" w:ascii="宋体" w:hAnsi="宋体"/>
          <w:b/>
          <w:sz w:val="44"/>
          <w:szCs w:val="44"/>
        </w:rPr>
      </w:pPr>
    </w:p>
    <w:p w14:paraId="13184D31">
      <w:pPr>
        <w:spacing w:line="600" w:lineRule="exact"/>
        <w:jc w:val="center"/>
        <w:rPr>
          <w:rFonts w:hint="eastAsia" w:ascii="方正小标宋_GBK" w:hAnsi="方正小标宋_GBK" w:eastAsia="方正小标宋_GBK" w:cs="方正小标宋_GBK"/>
          <w:bCs/>
          <w:sz w:val="44"/>
          <w:szCs w:val="44"/>
        </w:rPr>
      </w:pPr>
    </w:p>
    <w:p w14:paraId="1A50576A">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3A11AC52">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w:t>
      </w:r>
      <w:r>
        <w:rPr>
          <w:rFonts w:hint="eastAsia" w:ascii="宋体" w:hAnsi="宋体"/>
          <w:b/>
          <w:sz w:val="44"/>
          <w:szCs w:val="44"/>
        </w:rPr>
        <w:t>鹤乡小学</w:t>
      </w:r>
      <w:r>
        <w:rPr>
          <w:rFonts w:hint="eastAsia" w:ascii="方正小标宋_GBK" w:hAnsi="方正小标宋_GBK" w:eastAsia="方正小标宋_GBK" w:cs="方正小标宋_GBK"/>
          <w:bCs/>
          <w:sz w:val="44"/>
          <w:szCs w:val="44"/>
          <w:lang w:eastAsia="zh-CN"/>
        </w:rPr>
        <w:t>2025</w:t>
      </w:r>
      <w:r>
        <w:rPr>
          <w:rFonts w:hint="eastAsia" w:ascii="方正小标宋_GBK" w:hAnsi="方正小标宋_GBK" w:eastAsia="方正小标宋_GBK" w:cs="方正小标宋_GBK"/>
          <w:bCs/>
          <w:sz w:val="44"/>
          <w:szCs w:val="44"/>
        </w:rPr>
        <w:t>年度部门预算情况说明</w:t>
      </w:r>
    </w:p>
    <w:p w14:paraId="4D21F957">
      <w:pPr>
        <w:spacing w:line="600" w:lineRule="exact"/>
        <w:rPr>
          <w:rFonts w:hint="eastAsia" w:ascii="方正小标宋_GBK" w:hAnsi="方正小标宋_GBK" w:eastAsia="方正小标宋_GBK" w:cs="方正小标宋_GBK"/>
          <w:bCs/>
          <w:sz w:val="44"/>
          <w:szCs w:val="44"/>
        </w:rPr>
      </w:pPr>
    </w:p>
    <w:p w14:paraId="2B1140D4">
      <w:pPr>
        <w:spacing w:line="600" w:lineRule="exact"/>
        <w:ind w:firstLine="660"/>
        <w:rPr>
          <w:rFonts w:hint="eastAsia" w:ascii="黑体" w:hAnsi="黑体" w:eastAsia="黑体"/>
          <w:sz w:val="32"/>
          <w:szCs w:val="32"/>
        </w:rPr>
      </w:pPr>
      <w:r>
        <w:rPr>
          <w:rFonts w:hint="eastAsia" w:ascii="黑体" w:hAnsi="黑体" w:eastAsia="黑体"/>
          <w:sz w:val="32"/>
          <w:szCs w:val="32"/>
        </w:rPr>
        <w:t>一、收支预算的总体情况说明</w:t>
      </w:r>
    </w:p>
    <w:p w14:paraId="6FEB508E">
      <w:pPr>
        <w:spacing w:line="600" w:lineRule="exact"/>
        <w:ind w:firstLine="624" w:firstLineChars="195"/>
        <w:rPr>
          <w:rFonts w:hint="eastAsia" w:ascii="仿宋" w:hAnsi="仿宋" w:eastAsia="仿宋" w:cs="仿宋"/>
          <w:sz w:val="32"/>
        </w:rPr>
      </w:pPr>
      <w:r>
        <w:rPr>
          <w:rFonts w:hint="eastAsia" w:ascii="仿宋" w:hAnsi="仿宋" w:eastAsia="仿宋" w:cs="仿宋"/>
          <w:sz w:val="32"/>
        </w:rPr>
        <w:t>按照综合预算的原则，</w:t>
      </w:r>
      <w:r>
        <w:rPr>
          <w:rFonts w:hint="eastAsia" w:ascii="仿宋" w:hAnsi="仿宋" w:eastAsia="仿宋" w:cs="仿宋"/>
          <w:sz w:val="32"/>
          <w:lang w:eastAsia="zh-CN"/>
        </w:rPr>
        <w:t>2025</w:t>
      </w:r>
      <w:r>
        <w:rPr>
          <w:rFonts w:hint="eastAsia" w:ascii="仿宋" w:hAnsi="仿宋" w:eastAsia="仿宋" w:cs="仿宋"/>
          <w:sz w:val="32"/>
        </w:rPr>
        <w:t>年盘锦市</w:t>
      </w:r>
      <w:r>
        <w:rPr>
          <w:rFonts w:hint="eastAsia" w:ascii="仿宋" w:hAnsi="仿宋" w:eastAsia="仿宋"/>
          <w:sz w:val="32"/>
          <w:szCs w:val="32"/>
        </w:rPr>
        <w:t>鹤乡小学</w:t>
      </w:r>
      <w:r>
        <w:rPr>
          <w:rFonts w:hint="eastAsia" w:ascii="仿宋" w:hAnsi="仿宋" w:eastAsia="仿宋" w:cs="仿宋"/>
          <w:sz w:val="32"/>
          <w:szCs w:val="32"/>
        </w:rPr>
        <w:t>所有收入和支出均纳入部门预算管理。其中：</w:t>
      </w:r>
    </w:p>
    <w:p w14:paraId="25600D5A">
      <w:pPr>
        <w:numPr>
          <w:ilvl w:val="0"/>
          <w:numId w:val="3"/>
        </w:numPr>
        <w:spacing w:line="600" w:lineRule="exact"/>
        <w:ind w:firstLine="624" w:firstLineChars="195"/>
        <w:rPr>
          <w:rFonts w:hint="eastAsia" w:ascii="楷体" w:hAnsi="楷体" w:eastAsia="楷体" w:cs="楷体"/>
          <w:sz w:val="32"/>
        </w:rPr>
      </w:pPr>
      <w:r>
        <w:rPr>
          <w:rFonts w:hint="eastAsia" w:ascii="楷体" w:hAnsi="楷体" w:eastAsia="楷体" w:cs="楷体"/>
          <w:sz w:val="32"/>
        </w:rPr>
        <w:t>收入预算</w:t>
      </w:r>
      <w:r>
        <w:rPr>
          <w:rFonts w:hint="eastAsia" w:ascii="仿宋" w:hAnsi="仿宋" w:eastAsia="仿宋" w:cs="楷体"/>
          <w:sz w:val="32"/>
          <w:lang w:val="en-US" w:eastAsia="zh-CN"/>
        </w:rPr>
        <w:t>2,930.37</w:t>
      </w:r>
      <w:r>
        <w:rPr>
          <w:rFonts w:hint="eastAsia" w:ascii="楷体" w:hAnsi="楷体" w:eastAsia="楷体" w:cs="楷体"/>
          <w:sz w:val="32"/>
        </w:rPr>
        <w:t>万元，包括：</w:t>
      </w:r>
    </w:p>
    <w:p w14:paraId="4C913E30">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1.一般公共预算收入</w:t>
      </w:r>
      <w:r>
        <w:rPr>
          <w:rFonts w:ascii="仿宋" w:hAnsi="仿宋" w:eastAsia="仿宋" w:cs="楷体"/>
          <w:sz w:val="32"/>
        </w:rPr>
        <w:t>2</w:t>
      </w:r>
      <w:r>
        <w:rPr>
          <w:rFonts w:hint="eastAsia" w:ascii="仿宋" w:hAnsi="仿宋" w:eastAsia="仿宋" w:cs="楷体"/>
          <w:sz w:val="32"/>
        </w:rPr>
        <w:t>,5</w:t>
      </w:r>
      <w:r>
        <w:rPr>
          <w:rFonts w:hint="eastAsia" w:ascii="仿宋" w:hAnsi="仿宋" w:eastAsia="仿宋" w:cs="楷体"/>
          <w:sz w:val="32"/>
          <w:lang w:val="en-US" w:eastAsia="zh-CN"/>
        </w:rPr>
        <w:t>20.07</w:t>
      </w:r>
      <w:r>
        <w:rPr>
          <w:rFonts w:hint="eastAsia" w:ascii="仿宋_GB2312" w:hAnsi="仿宋_GB2312" w:eastAsia="仿宋_GB2312" w:cs="仿宋_GB2312"/>
          <w:sz w:val="32"/>
        </w:rPr>
        <w:t>万元；</w:t>
      </w:r>
    </w:p>
    <w:p w14:paraId="5759BC3E">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2.政府性基金预算收入**万元；</w:t>
      </w:r>
    </w:p>
    <w:p w14:paraId="72007C45">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3.国有资本经营预算收入**万元；</w:t>
      </w:r>
    </w:p>
    <w:p w14:paraId="14186051">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4.财政专户管理资金收入**万元；</w:t>
      </w:r>
    </w:p>
    <w:p w14:paraId="6A13FD10">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5.事业收入**万元；</w:t>
      </w:r>
    </w:p>
    <w:p w14:paraId="37AC467C">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6.事业单位经营收入**万元；</w:t>
      </w:r>
    </w:p>
    <w:p w14:paraId="5C5CE098">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7.上级补助收入**万元；</w:t>
      </w:r>
    </w:p>
    <w:p w14:paraId="786EE43D">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8.附属单位上缴收入**万元；</w:t>
      </w:r>
    </w:p>
    <w:p w14:paraId="26BC5612">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9.其他收入</w:t>
      </w:r>
      <w:r>
        <w:rPr>
          <w:rFonts w:hint="eastAsia" w:ascii="仿宋_GB2312" w:hAnsi="仿宋_GB2312" w:eastAsia="仿宋_GB2312" w:cs="仿宋_GB2312"/>
          <w:sz w:val="32"/>
          <w:lang w:val="en-US" w:eastAsia="zh-CN"/>
        </w:rPr>
        <w:t>410.3</w:t>
      </w:r>
      <w:r>
        <w:rPr>
          <w:rFonts w:hint="eastAsia" w:ascii="仿宋_GB2312" w:hAnsi="仿宋_GB2312" w:eastAsia="仿宋_GB2312" w:cs="仿宋_GB2312"/>
          <w:sz w:val="32"/>
        </w:rPr>
        <w:t>万元；</w:t>
      </w:r>
    </w:p>
    <w:p w14:paraId="0613BBA2">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10.上年结转**万元。</w:t>
      </w:r>
    </w:p>
    <w:p w14:paraId="73BF5CD5">
      <w:pPr>
        <w:spacing w:line="600" w:lineRule="exact"/>
        <w:ind w:firstLine="624" w:firstLineChars="195"/>
        <w:rPr>
          <w:rFonts w:hint="eastAsia" w:ascii="楷体" w:hAnsi="楷体" w:eastAsia="楷体" w:cs="楷体"/>
          <w:sz w:val="32"/>
        </w:rPr>
      </w:pPr>
      <w:r>
        <w:rPr>
          <w:rFonts w:hint="eastAsia" w:ascii="楷体" w:hAnsi="楷体" w:eastAsia="楷体" w:cs="楷体"/>
          <w:sz w:val="32"/>
        </w:rPr>
        <w:t>（二）支出预算</w:t>
      </w:r>
      <w:r>
        <w:rPr>
          <w:rFonts w:hint="eastAsia" w:ascii="仿宋" w:hAnsi="仿宋" w:eastAsia="仿宋" w:cs="楷体"/>
          <w:sz w:val="32"/>
          <w:lang w:val="en-US" w:eastAsia="zh-CN"/>
        </w:rPr>
        <w:t>2,930.37</w:t>
      </w:r>
      <w:r>
        <w:rPr>
          <w:rFonts w:hint="eastAsia" w:ascii="楷体" w:hAnsi="楷体" w:eastAsia="楷体" w:cs="楷体"/>
          <w:sz w:val="32"/>
        </w:rPr>
        <w:t>万元，包括：</w:t>
      </w:r>
    </w:p>
    <w:p w14:paraId="40C2689F">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 w:hAnsi="仿宋" w:eastAsia="仿宋" w:cs="楷体"/>
          <w:sz w:val="32"/>
          <w:lang w:val="en-US" w:eastAsia="zh-CN"/>
        </w:rPr>
        <w:t>2,930.37</w:t>
      </w:r>
      <w:r>
        <w:rPr>
          <w:rFonts w:hint="eastAsia" w:ascii="仿宋_GB2312" w:hAnsi="仿宋_GB2312" w:eastAsia="仿宋_GB2312" w:cs="仿宋_GB2312"/>
          <w:sz w:val="32"/>
        </w:rPr>
        <w:t>万元；</w:t>
      </w:r>
    </w:p>
    <w:p w14:paraId="54DDDDF9">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2.项目支出***万元。</w:t>
      </w:r>
    </w:p>
    <w:p w14:paraId="34E85A29">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支出预算中，政府采购支出**万元，债务支出**万元，政府购买服务支出**万元。</w:t>
      </w:r>
    </w:p>
    <w:p w14:paraId="30F58C4C">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年预算同上年比较，收入增加3</w:t>
      </w:r>
      <w:r>
        <w:rPr>
          <w:rFonts w:hint="eastAsia" w:ascii="仿宋_GB2312" w:hAnsi="仿宋_GB2312" w:eastAsia="仿宋_GB2312" w:cs="仿宋_GB2312"/>
          <w:sz w:val="32"/>
          <w:lang w:val="en-US" w:eastAsia="zh-CN"/>
        </w:rPr>
        <w:t>63.96</w:t>
      </w:r>
      <w:r>
        <w:rPr>
          <w:rFonts w:hint="eastAsia" w:ascii="仿宋_GB2312" w:hAnsi="仿宋_GB2312" w:eastAsia="仿宋_GB2312" w:cs="仿宋_GB2312"/>
          <w:sz w:val="32"/>
        </w:rPr>
        <w:t>万元，增长14.</w:t>
      </w:r>
      <w:r>
        <w:rPr>
          <w:rFonts w:hint="eastAsia" w:ascii="仿宋_GB2312" w:hAnsi="仿宋_GB2312" w:eastAsia="仿宋_GB2312" w:cs="仿宋_GB2312"/>
          <w:sz w:val="32"/>
          <w:lang w:val="en-US" w:eastAsia="zh-CN"/>
        </w:rPr>
        <w:t>18</w:t>
      </w:r>
      <w:r>
        <w:rPr>
          <w:rFonts w:hint="eastAsia" w:ascii="仿宋_GB2312" w:hAnsi="仿宋_GB2312" w:eastAsia="仿宋_GB2312" w:cs="仿宋_GB2312"/>
          <w:sz w:val="32"/>
        </w:rPr>
        <w:t>%；支出增加</w:t>
      </w:r>
      <w:r>
        <w:rPr>
          <w:rFonts w:hint="eastAsia" w:ascii="仿宋_GB2312" w:hAnsi="仿宋_GB2312" w:eastAsia="仿宋_GB2312" w:cs="仿宋_GB2312"/>
          <w:sz w:val="32"/>
          <w:lang w:val="en-US" w:eastAsia="zh-CN"/>
        </w:rPr>
        <w:t>363.96</w:t>
      </w:r>
      <w:r>
        <w:rPr>
          <w:rFonts w:hint="eastAsia" w:ascii="仿宋_GB2312" w:hAnsi="仿宋_GB2312" w:eastAsia="仿宋_GB2312" w:cs="仿宋_GB2312"/>
          <w:sz w:val="32"/>
        </w:rPr>
        <w:t>万元，增加14.</w:t>
      </w:r>
      <w:r>
        <w:rPr>
          <w:rFonts w:hint="eastAsia" w:ascii="仿宋_GB2312" w:hAnsi="仿宋_GB2312" w:eastAsia="仿宋_GB2312" w:cs="仿宋_GB2312"/>
          <w:sz w:val="32"/>
          <w:lang w:val="en-US" w:eastAsia="zh-CN"/>
        </w:rPr>
        <w:t>18</w:t>
      </w:r>
      <w:r>
        <w:rPr>
          <w:rFonts w:hint="eastAsia" w:ascii="仿宋_GB2312" w:hAnsi="仿宋_GB2312" w:eastAsia="仿宋_GB2312" w:cs="仿宋_GB2312"/>
          <w:sz w:val="32"/>
        </w:rPr>
        <w:t>%。增加变化的主要原因是</w:t>
      </w:r>
      <w:r>
        <w:rPr>
          <w:rFonts w:hint="eastAsia" w:ascii="仿宋_GB2312" w:hAnsi="仿宋_GB2312" w:eastAsia="仿宋_GB2312" w:cs="仿宋_GB2312"/>
          <w:sz w:val="32"/>
          <w:lang w:val="en-US" w:eastAsia="zh-CN"/>
        </w:rPr>
        <w:t>增加课后服务费收入</w:t>
      </w:r>
      <w:r>
        <w:rPr>
          <w:rFonts w:hint="eastAsia" w:ascii="仿宋_GB2312" w:hAnsi="仿宋_GB2312" w:eastAsia="仿宋_GB2312" w:cs="仿宋_GB2312"/>
          <w:sz w:val="32"/>
        </w:rPr>
        <w:t>。</w:t>
      </w:r>
    </w:p>
    <w:p w14:paraId="44FB8B22">
      <w:pPr>
        <w:spacing w:line="60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14:paraId="4160DBA5">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年度“三公”经费预算支出安排**万元，比上年度增加/减少**万元/与上年持平，增长/下降**%。其中：</w:t>
      </w:r>
    </w:p>
    <w:p w14:paraId="677C418E">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1.因公出国（境）费**万元，比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年度增加/减少**万元/与上年持平，增长/下降**%，主要原因是***。</w:t>
      </w:r>
    </w:p>
    <w:p w14:paraId="19487335">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2.公务接待费**万元，比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年度增加/减少**万元/与上年持平，增长/下降**%，主要原因是***。</w:t>
      </w:r>
    </w:p>
    <w:p w14:paraId="44417730">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3.公务用车购置及运行费**万元，比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年度增加/减少**万元/与上年持平，增长/下降**%。主要原因是**（其中：公务用车购置费**万元，比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年度增加/减少**万元/与上年持平，增长/下降**%；公务用车运行费**万元，比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w:t>
      </w:r>
    </w:p>
    <w:p w14:paraId="7D6F1D26">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14:paraId="79317C84">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年机关运行经费预算安排**万元，比上预算增加/减少**万元/与上年持平，增长/下降**%，主要原因是严格执行厉行节约</w:t>
      </w:r>
      <w:bookmarkStart w:id="0" w:name="_GoBack"/>
      <w:bookmarkEnd w:id="0"/>
      <w:r>
        <w:rPr>
          <w:rFonts w:hint="eastAsia" w:ascii="仿宋_GB2312" w:hAnsi="仿宋_GB2312" w:eastAsia="仿宋_GB2312" w:cs="仿宋_GB2312"/>
          <w:sz w:val="32"/>
        </w:rPr>
        <w:t>八项规定压缩一般性支出，牢固树立“过紧日子”的思想…………。主要包括：办公费**万元、印刷费**万元、手续费**万元、邮电费**万元、差旅费**万元、工会经费**万元、会议费**万元、培训费**万元、福利费**元。</w:t>
      </w:r>
    </w:p>
    <w:p w14:paraId="1883E612">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14:paraId="1E2E60CA">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年安排政府采购预算**万元，政府购买服务预算**万元。分项目如下：</w:t>
      </w:r>
    </w:p>
    <w:p w14:paraId="784F3116">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w:t>
      </w:r>
    </w:p>
    <w:p w14:paraId="5BC62D2A">
      <w:pPr>
        <w:spacing w:line="600" w:lineRule="exact"/>
        <w:ind w:left="624"/>
        <w:rPr>
          <w:rFonts w:hint="eastAsia" w:ascii="仿宋_GB2312" w:hAnsi="仿宋_GB2312" w:eastAsia="仿宋_GB2312" w:cs="仿宋_GB2312"/>
          <w:sz w:val="32"/>
        </w:rPr>
      </w:pPr>
      <w:r>
        <w:rPr>
          <w:rFonts w:hint="eastAsia" w:ascii="仿宋_GB2312" w:hAnsi="仿宋_GB2312" w:eastAsia="仿宋_GB2312" w:cs="仿宋_GB2312"/>
          <w:sz w:val="32"/>
        </w:rPr>
        <w:t>2.</w:t>
      </w:r>
    </w:p>
    <w:p w14:paraId="300F910B">
      <w:pPr>
        <w:spacing w:line="600" w:lineRule="exact"/>
        <w:ind w:left="624"/>
        <w:rPr>
          <w:rFonts w:hint="eastAsia" w:ascii="仿宋_GB2312" w:hAnsi="仿宋_GB2312" w:eastAsia="仿宋_GB2312" w:cs="仿宋_GB2312"/>
          <w:sz w:val="32"/>
        </w:rPr>
      </w:pPr>
      <w:r>
        <w:rPr>
          <w:rFonts w:hint="eastAsia" w:ascii="仿宋_GB2312" w:hAnsi="仿宋_GB2312" w:eastAsia="仿宋_GB2312" w:cs="仿宋_GB2312"/>
          <w:sz w:val="32"/>
        </w:rPr>
        <w:t>……</w:t>
      </w:r>
    </w:p>
    <w:p w14:paraId="59A4FBDA">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五、国有资产占用情况说明</w:t>
      </w:r>
    </w:p>
    <w:p w14:paraId="71C1183D">
      <w:pPr>
        <w:rPr>
          <w:rFonts w:hint="eastAsia" w:ascii="宋体" w:hAnsi="宋体" w:cs="宋体"/>
          <w:kern w:val="0"/>
          <w:sz w:val="22"/>
          <w:szCs w:val="22"/>
        </w:rPr>
      </w:pPr>
      <w:r>
        <w:rPr>
          <w:rFonts w:hint="eastAsia" w:ascii="仿宋_GB2312" w:hAnsi="仿宋_GB2312" w:eastAsia="仿宋_GB2312" w:cs="仿宋_GB2312"/>
          <w:sz w:val="32"/>
        </w:rPr>
        <w:t>截至</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年12月31日，盘锦市鹤乡小学部门资产总</w:t>
      </w:r>
      <w:r>
        <w:rPr>
          <w:rFonts w:hint="eastAsia" w:ascii="仿宋" w:hAnsi="仿宋" w:eastAsia="仿宋" w:cs="仿宋_GB2312"/>
          <w:sz w:val="32"/>
          <w:szCs w:val="32"/>
        </w:rPr>
        <w:t>额</w:t>
      </w:r>
      <w:r>
        <w:rPr>
          <w:rFonts w:hint="eastAsia" w:ascii="仿宋" w:hAnsi="仿宋" w:eastAsia="仿宋" w:cs="宋体"/>
          <w:kern w:val="0"/>
          <w:sz w:val="32"/>
          <w:szCs w:val="32"/>
          <w:lang w:val="en-US" w:eastAsia="zh-CN"/>
        </w:rPr>
        <w:t>16,273,725.97</w:t>
      </w:r>
      <w:r>
        <w:rPr>
          <w:rFonts w:hint="eastAsia" w:ascii="仿宋" w:hAnsi="仿宋" w:eastAsia="仿宋" w:cs="宋体"/>
          <w:kern w:val="0"/>
          <w:sz w:val="32"/>
          <w:szCs w:val="32"/>
        </w:rPr>
        <w:t xml:space="preserve"> </w:t>
      </w:r>
      <w:r>
        <w:rPr>
          <w:rFonts w:hint="eastAsia" w:ascii="仿宋" w:hAnsi="仿宋" w:eastAsia="仿宋" w:cs="仿宋_GB2312"/>
          <w:sz w:val="32"/>
          <w:szCs w:val="32"/>
        </w:rPr>
        <w:t>元，其中，流动资产***元，固定资产</w:t>
      </w:r>
      <w:r>
        <w:rPr>
          <w:rFonts w:hint="eastAsia" w:ascii="仿宋" w:hAnsi="仿宋" w:eastAsia="仿宋" w:cs="宋体"/>
          <w:kern w:val="0"/>
          <w:sz w:val="32"/>
          <w:szCs w:val="32"/>
          <w:lang w:val="en-US" w:eastAsia="zh-CN"/>
        </w:rPr>
        <w:t>16,273,725.97</w:t>
      </w:r>
      <w:r>
        <w:rPr>
          <w:rFonts w:hint="eastAsia" w:ascii="仿宋" w:hAnsi="仿宋" w:eastAsia="仿宋" w:cs="仿宋_GB2312"/>
          <w:sz w:val="32"/>
          <w:szCs w:val="32"/>
        </w:rPr>
        <w:t>元。固定</w:t>
      </w:r>
      <w:r>
        <w:rPr>
          <w:rFonts w:hint="eastAsia" w:ascii="仿宋_GB2312" w:hAnsi="仿宋_GB2312" w:eastAsia="仿宋_GB2312" w:cs="仿宋_GB2312"/>
          <w:sz w:val="32"/>
        </w:rPr>
        <w:t>资产中共有车辆**辆（一般公务用车**辆，其他用车**辆），价值***元。</w:t>
      </w:r>
    </w:p>
    <w:p w14:paraId="1DE60E05">
      <w:pPr>
        <w:spacing w:line="60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14:paraId="55ABDAF8">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根据预算绩效管理要求，盘锦***局</w:t>
      </w: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年应编制绩效目标的项目共**个，实际编制绩效目标的项目共**个，涉及资金***万元，编制绩效目标的项目覆盖率（实际编制绩效目标的项目/应编制绩效目标的项目）为100%。</w:t>
      </w:r>
    </w:p>
    <w:p w14:paraId="4F2DC7AC">
      <w:pPr>
        <w:spacing w:line="600" w:lineRule="exact"/>
        <w:jc w:val="center"/>
        <w:rPr>
          <w:rFonts w:hint="eastAsia" w:ascii="仿宋_GB2312" w:hAnsi="仿宋_GB2312" w:eastAsia="仿宋_GB2312" w:cs="仿宋_GB2312"/>
          <w:sz w:val="32"/>
          <w:szCs w:val="32"/>
        </w:rPr>
      </w:pPr>
    </w:p>
    <w:p w14:paraId="02184F1E">
      <w:pPr>
        <w:spacing w:line="600" w:lineRule="exact"/>
        <w:jc w:val="center"/>
        <w:rPr>
          <w:rFonts w:hint="eastAsia"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4664FC09">
      <w:pPr>
        <w:spacing w:line="600" w:lineRule="exact"/>
        <w:jc w:val="center"/>
        <w:rPr>
          <w:rFonts w:hint="eastAsia" w:ascii="黑体" w:eastAsia="黑体"/>
          <w:sz w:val="36"/>
          <w:szCs w:val="36"/>
        </w:rPr>
      </w:pPr>
    </w:p>
    <w:p w14:paraId="6A918AD3">
      <w:pPr>
        <w:spacing w:line="600" w:lineRule="exact"/>
        <w:rPr>
          <w:rFonts w:hint="eastAsia"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03617332">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11AD9C98">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0B790E29">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01FC869D">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5CA679A4">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5B44A684">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27699822">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80F66F8">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0CDEF5E3">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7A66D3B5">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44F51473">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7FEEE5CA">
      <w:pPr>
        <w:spacing w:line="60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100D56B0">
      <w:pPr>
        <w:spacing w:line="600" w:lineRule="exact"/>
        <w:ind w:firstLine="640"/>
        <w:rPr>
          <w:rFonts w:hint="eastAsia" w:ascii="仿宋_GB2312" w:hAnsi="仿宋_GB2312" w:eastAsia="仿宋_GB2312"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3DDD47F-CA8E-44B0-BDB7-8AC3B7E68F2C}"/>
  </w:font>
  <w:font w:name="黑体">
    <w:panose1 w:val="02010609060101010101"/>
    <w:charset w:val="86"/>
    <w:family w:val="auto"/>
    <w:pitch w:val="default"/>
    <w:sig w:usb0="800002BF" w:usb1="38CF7CFA" w:usb2="00000016" w:usb3="00000000" w:csb0="00040001" w:csb1="00000000"/>
    <w:embedRegular r:id="rId2" w:fontKey="{01B84E0B-4D1A-4D02-A0BA-B3B9721ECFB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ADAACFDC-3D3B-4D00-82B6-435CA3C4097D}"/>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776BB3B2-5CE1-469C-AD19-5D8C93C5F02F}"/>
  </w:font>
  <w:font w:name="方正小标宋_GBK">
    <w:panose1 w:val="02000000000000000000"/>
    <w:charset w:val="86"/>
    <w:family w:val="auto"/>
    <w:pitch w:val="default"/>
    <w:sig w:usb0="A00002BF" w:usb1="38CF7CFA" w:usb2="00082016" w:usb3="00000000" w:csb0="00040001" w:csb1="00000000"/>
    <w:embedRegular r:id="rId5" w:fontKey="{7A1CAF6F-0C09-4FD5-AE02-896EFF24F6F4}"/>
  </w:font>
  <w:font w:name="仿宋">
    <w:panose1 w:val="02010609060101010101"/>
    <w:charset w:val="86"/>
    <w:family w:val="modern"/>
    <w:pitch w:val="default"/>
    <w:sig w:usb0="800002BF" w:usb1="38CF7CFA" w:usb2="00000016" w:usb3="00000000" w:csb0="00040001" w:csb1="00000000"/>
    <w:embedRegular r:id="rId6" w:fontKey="{9768B405-A9AF-4E69-89DF-DF3942E32D00}"/>
  </w:font>
  <w:font w:name="楷体">
    <w:panose1 w:val="02010609060101010101"/>
    <w:charset w:val="86"/>
    <w:family w:val="modern"/>
    <w:pitch w:val="default"/>
    <w:sig w:usb0="800002BF" w:usb1="38CF7CFA" w:usb2="00000016" w:usb3="00000000" w:csb0="00040001" w:csb1="00000000"/>
    <w:embedRegular r:id="rId7" w:fontKey="{D324CCE2-82AF-4720-8DF9-1A9EB5C183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9FE24">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12</w:t>
    </w:r>
    <w:r>
      <w:fldChar w:fldCharType="end"/>
    </w:r>
  </w:p>
  <w:p w14:paraId="3E6CC3D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C3CD0">
    <w:pPr>
      <w:pStyle w:val="3"/>
      <w:framePr w:wrap="around" w:vAnchor="text" w:hAnchor="margin" w:xAlign="center" w:y="1"/>
      <w:rPr>
        <w:rStyle w:val="7"/>
      </w:rPr>
    </w:pPr>
    <w:r>
      <w:fldChar w:fldCharType="begin"/>
    </w:r>
    <w:r>
      <w:rPr>
        <w:rStyle w:val="7"/>
      </w:rPr>
      <w:instrText xml:space="preserve">PAGE  </w:instrText>
    </w:r>
    <w:r>
      <w:fldChar w:fldCharType="end"/>
    </w:r>
  </w:p>
  <w:p w14:paraId="5D7D22F2">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62AD"/>
    <w:rsid w:val="00032E9E"/>
    <w:rsid w:val="00060115"/>
    <w:rsid w:val="000658A3"/>
    <w:rsid w:val="00072B5D"/>
    <w:rsid w:val="00072D02"/>
    <w:rsid w:val="000931CC"/>
    <w:rsid w:val="000A4D66"/>
    <w:rsid w:val="000A69F0"/>
    <w:rsid w:val="000B0460"/>
    <w:rsid w:val="000B604D"/>
    <w:rsid w:val="000C6B95"/>
    <w:rsid w:val="000D22BA"/>
    <w:rsid w:val="000D240A"/>
    <w:rsid w:val="000F4C7B"/>
    <w:rsid w:val="001032C2"/>
    <w:rsid w:val="001461B8"/>
    <w:rsid w:val="00163ACD"/>
    <w:rsid w:val="00163B6F"/>
    <w:rsid w:val="00180B70"/>
    <w:rsid w:val="00197AF9"/>
    <w:rsid w:val="001A74B5"/>
    <w:rsid w:val="001B11C3"/>
    <w:rsid w:val="001C6690"/>
    <w:rsid w:val="001F06E5"/>
    <w:rsid w:val="001F45ED"/>
    <w:rsid w:val="001F4827"/>
    <w:rsid w:val="00203AC6"/>
    <w:rsid w:val="00207D64"/>
    <w:rsid w:val="0022212D"/>
    <w:rsid w:val="002260C2"/>
    <w:rsid w:val="00256356"/>
    <w:rsid w:val="00265D53"/>
    <w:rsid w:val="002729D2"/>
    <w:rsid w:val="00272E78"/>
    <w:rsid w:val="00276D04"/>
    <w:rsid w:val="00276DD9"/>
    <w:rsid w:val="00290AFF"/>
    <w:rsid w:val="002938F2"/>
    <w:rsid w:val="00294262"/>
    <w:rsid w:val="0030019B"/>
    <w:rsid w:val="00306B60"/>
    <w:rsid w:val="003203C6"/>
    <w:rsid w:val="00321141"/>
    <w:rsid w:val="00323084"/>
    <w:rsid w:val="00331FB3"/>
    <w:rsid w:val="00336596"/>
    <w:rsid w:val="0035450D"/>
    <w:rsid w:val="00355971"/>
    <w:rsid w:val="00367CAA"/>
    <w:rsid w:val="00374CC4"/>
    <w:rsid w:val="00374EFD"/>
    <w:rsid w:val="003774B0"/>
    <w:rsid w:val="00393A92"/>
    <w:rsid w:val="003A69CD"/>
    <w:rsid w:val="003A7CEE"/>
    <w:rsid w:val="003B3D49"/>
    <w:rsid w:val="003B6717"/>
    <w:rsid w:val="003C3203"/>
    <w:rsid w:val="003C3A6C"/>
    <w:rsid w:val="003D592F"/>
    <w:rsid w:val="003F0EA8"/>
    <w:rsid w:val="003F6668"/>
    <w:rsid w:val="004041E3"/>
    <w:rsid w:val="0041023A"/>
    <w:rsid w:val="00411F62"/>
    <w:rsid w:val="0043206D"/>
    <w:rsid w:val="00441C95"/>
    <w:rsid w:val="00442917"/>
    <w:rsid w:val="00456D37"/>
    <w:rsid w:val="00465980"/>
    <w:rsid w:val="0049340A"/>
    <w:rsid w:val="004967DD"/>
    <w:rsid w:val="00497E2E"/>
    <w:rsid w:val="004A23C9"/>
    <w:rsid w:val="004B0299"/>
    <w:rsid w:val="004C3B74"/>
    <w:rsid w:val="004D5C4B"/>
    <w:rsid w:val="004E79C5"/>
    <w:rsid w:val="004F2A87"/>
    <w:rsid w:val="0050710B"/>
    <w:rsid w:val="005116A6"/>
    <w:rsid w:val="00524803"/>
    <w:rsid w:val="00534C2B"/>
    <w:rsid w:val="00542628"/>
    <w:rsid w:val="00592B47"/>
    <w:rsid w:val="005C60D3"/>
    <w:rsid w:val="005D24E8"/>
    <w:rsid w:val="005D57A0"/>
    <w:rsid w:val="005E2EE3"/>
    <w:rsid w:val="005F6562"/>
    <w:rsid w:val="00601A5E"/>
    <w:rsid w:val="00604DF5"/>
    <w:rsid w:val="0060780F"/>
    <w:rsid w:val="00613F3D"/>
    <w:rsid w:val="00623F6C"/>
    <w:rsid w:val="00631CB0"/>
    <w:rsid w:val="006518B8"/>
    <w:rsid w:val="00662644"/>
    <w:rsid w:val="00671A28"/>
    <w:rsid w:val="0068790F"/>
    <w:rsid w:val="00691121"/>
    <w:rsid w:val="0069431F"/>
    <w:rsid w:val="006A684B"/>
    <w:rsid w:val="006E1403"/>
    <w:rsid w:val="006E587F"/>
    <w:rsid w:val="007003A0"/>
    <w:rsid w:val="00715FD2"/>
    <w:rsid w:val="00726A72"/>
    <w:rsid w:val="00750153"/>
    <w:rsid w:val="00780DF3"/>
    <w:rsid w:val="00791A0C"/>
    <w:rsid w:val="007946F9"/>
    <w:rsid w:val="007C1C5D"/>
    <w:rsid w:val="007C52D7"/>
    <w:rsid w:val="007C6DAD"/>
    <w:rsid w:val="007D2BBC"/>
    <w:rsid w:val="007D6F23"/>
    <w:rsid w:val="00822199"/>
    <w:rsid w:val="00842618"/>
    <w:rsid w:val="00850F61"/>
    <w:rsid w:val="00855F83"/>
    <w:rsid w:val="0087148D"/>
    <w:rsid w:val="00881DD9"/>
    <w:rsid w:val="00884AC9"/>
    <w:rsid w:val="0089145A"/>
    <w:rsid w:val="00894620"/>
    <w:rsid w:val="00894B2C"/>
    <w:rsid w:val="008B3CCB"/>
    <w:rsid w:val="008C2E60"/>
    <w:rsid w:val="008D1604"/>
    <w:rsid w:val="008D3D86"/>
    <w:rsid w:val="008E3A40"/>
    <w:rsid w:val="008F7276"/>
    <w:rsid w:val="00921B36"/>
    <w:rsid w:val="009301CD"/>
    <w:rsid w:val="009511C7"/>
    <w:rsid w:val="009529E2"/>
    <w:rsid w:val="00970091"/>
    <w:rsid w:val="00975B73"/>
    <w:rsid w:val="009B79E2"/>
    <w:rsid w:val="009E4E30"/>
    <w:rsid w:val="009F7180"/>
    <w:rsid w:val="00A037EF"/>
    <w:rsid w:val="00A0483E"/>
    <w:rsid w:val="00A062B7"/>
    <w:rsid w:val="00A10376"/>
    <w:rsid w:val="00A6362A"/>
    <w:rsid w:val="00A80804"/>
    <w:rsid w:val="00A95FF0"/>
    <w:rsid w:val="00AB4DD1"/>
    <w:rsid w:val="00AC2FAD"/>
    <w:rsid w:val="00AD2FAE"/>
    <w:rsid w:val="00AD5F20"/>
    <w:rsid w:val="00AF006D"/>
    <w:rsid w:val="00AF3AD8"/>
    <w:rsid w:val="00AF3E3D"/>
    <w:rsid w:val="00AF530C"/>
    <w:rsid w:val="00B12888"/>
    <w:rsid w:val="00B70A86"/>
    <w:rsid w:val="00B92D0F"/>
    <w:rsid w:val="00BB3AF8"/>
    <w:rsid w:val="00BC6FCC"/>
    <w:rsid w:val="00BD0675"/>
    <w:rsid w:val="00BD4BDA"/>
    <w:rsid w:val="00BE2A80"/>
    <w:rsid w:val="00BE48AC"/>
    <w:rsid w:val="00BE4E88"/>
    <w:rsid w:val="00BE62AD"/>
    <w:rsid w:val="00BF04D3"/>
    <w:rsid w:val="00C102DC"/>
    <w:rsid w:val="00C218E3"/>
    <w:rsid w:val="00C24501"/>
    <w:rsid w:val="00C30DAE"/>
    <w:rsid w:val="00C524CB"/>
    <w:rsid w:val="00C52BC7"/>
    <w:rsid w:val="00C5525D"/>
    <w:rsid w:val="00C5646F"/>
    <w:rsid w:val="00C9510A"/>
    <w:rsid w:val="00CA1BC1"/>
    <w:rsid w:val="00CB5AB6"/>
    <w:rsid w:val="00CD31E6"/>
    <w:rsid w:val="00CD6864"/>
    <w:rsid w:val="00CD6878"/>
    <w:rsid w:val="00CE6EE4"/>
    <w:rsid w:val="00CF12E5"/>
    <w:rsid w:val="00CF5ED2"/>
    <w:rsid w:val="00D35146"/>
    <w:rsid w:val="00D535CB"/>
    <w:rsid w:val="00D542B0"/>
    <w:rsid w:val="00D60970"/>
    <w:rsid w:val="00D67601"/>
    <w:rsid w:val="00D821BD"/>
    <w:rsid w:val="00D8459B"/>
    <w:rsid w:val="00D956EA"/>
    <w:rsid w:val="00D958CA"/>
    <w:rsid w:val="00DB44C3"/>
    <w:rsid w:val="00DB5F6B"/>
    <w:rsid w:val="00DC2FB9"/>
    <w:rsid w:val="00DD2817"/>
    <w:rsid w:val="00DE3F3F"/>
    <w:rsid w:val="00E30744"/>
    <w:rsid w:val="00E3471F"/>
    <w:rsid w:val="00E36863"/>
    <w:rsid w:val="00E51358"/>
    <w:rsid w:val="00E632F0"/>
    <w:rsid w:val="00E67984"/>
    <w:rsid w:val="00E745ED"/>
    <w:rsid w:val="00E93FAF"/>
    <w:rsid w:val="00E96F6A"/>
    <w:rsid w:val="00EA177D"/>
    <w:rsid w:val="00ED61A4"/>
    <w:rsid w:val="00EE1982"/>
    <w:rsid w:val="00F12957"/>
    <w:rsid w:val="00F24450"/>
    <w:rsid w:val="00F24608"/>
    <w:rsid w:val="00F27011"/>
    <w:rsid w:val="00F54421"/>
    <w:rsid w:val="00F622B4"/>
    <w:rsid w:val="00F650D9"/>
    <w:rsid w:val="00F65298"/>
    <w:rsid w:val="00F703E5"/>
    <w:rsid w:val="00F72460"/>
    <w:rsid w:val="00F932BE"/>
    <w:rsid w:val="00FA243E"/>
    <w:rsid w:val="00FB0BEB"/>
    <w:rsid w:val="00FC0323"/>
    <w:rsid w:val="00FC5522"/>
    <w:rsid w:val="00FE14BA"/>
    <w:rsid w:val="023636EF"/>
    <w:rsid w:val="0F8C3DA8"/>
    <w:rsid w:val="11845F88"/>
    <w:rsid w:val="1B874088"/>
    <w:rsid w:val="23B24B3C"/>
    <w:rsid w:val="395B069E"/>
    <w:rsid w:val="40C777C7"/>
    <w:rsid w:val="49A6471E"/>
    <w:rsid w:val="4C5B70AE"/>
    <w:rsid w:val="509719A0"/>
    <w:rsid w:val="5A86270D"/>
    <w:rsid w:val="6D33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 w:type="character" w:customStyle="1" w:styleId="9">
    <w:name w:val="批注框文本 Char"/>
    <w:link w:val="2"/>
    <w:qFormat/>
    <w:uiPriority w:val="0"/>
    <w:rPr>
      <w:kern w:val="2"/>
      <w:sz w:val="18"/>
      <w:szCs w:val="18"/>
    </w:rPr>
  </w:style>
  <w:style w:type="character" w:customStyle="1" w:styleId="10">
    <w:name w:val="页眉 Char"/>
    <w:link w:val="4"/>
    <w:qFormat/>
    <w:uiPriority w:val="0"/>
    <w:rPr>
      <w:kern w:val="2"/>
      <w:sz w:val="18"/>
      <w:szCs w:val="18"/>
    </w:rPr>
  </w:style>
  <w:style w:type="paragraph" w:customStyle="1" w:styleId="11">
    <w:name w:val=" Char"/>
    <w:basedOn w:val="1"/>
    <w:qFormat/>
    <w:uiPriority w:val="0"/>
    <w:pPr>
      <w:widowControl/>
      <w:jc w:val="left"/>
    </w:pPr>
    <w:rPr>
      <w:rFonts w:ascii="Verdana" w:hAnsi="Verdana" w:eastAsia="仿宋_GB2312"/>
      <w:kern w:val="0"/>
      <w:sz w:val="28"/>
      <w:szCs w:val="20"/>
      <w:lang w:eastAsia="en-US"/>
    </w:rPr>
  </w:style>
  <w:style w:type="paragraph" w:customStyle="1" w:styleId="12">
    <w:name w:val="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4287</Words>
  <Characters>4669</Characters>
  <Lines>35</Lines>
  <Paragraphs>9</Paragraphs>
  <TotalTime>0</TotalTime>
  <ScaleCrop>false</ScaleCrop>
  <LinksUpToDate>false</LinksUpToDate>
  <CharactersWithSpaces>4731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2025-01-20T00:55:00Z</dcterms:created>
  <dc:creator>lenovo</dc:creator>
  <cp:lastModifiedBy>LUMEN</cp:lastModifiedBy>
  <cp:lastPrinted>2021-01-21T06:26:00Z</cp:lastPrinted>
  <dcterms:modified xsi:type="dcterms:W3CDTF">2025-03-28T05:23:56Z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eyJoZGlkIjoiZjRjOTUwNTA3OTM4ZjEwZjczZGUzNGNhNTlmMzRkM2MiLCJ1c2VySWQiOiI0MDIzNjE4MzEifQ==</vt:lpwstr>
  </property>
  <property fmtid="{D5CDD505-2E9C-101B-9397-08002B2CF9AE}" pid="4" name="ICV">
    <vt:lpwstr>7B63C0A3915742F3B42D5473E672FF44_12</vt:lpwstr>
  </property>
</Properties>
</file>