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ind w:left="0" w:leftChars="0" w:firstLine="0" w:firstLineChars="0"/>
        <w:jc w:val="center"/>
        <w:rPr>
          <w:rFonts w:hint="eastAsia" w:ascii="宋体" w:hAnsi="宋体" w:eastAsia="宋体" w:cs="宋体"/>
          <w:b/>
          <w:bCs/>
          <w:w w:val="90"/>
          <w:sz w:val="44"/>
          <w:szCs w:val="44"/>
        </w:rPr>
      </w:pPr>
      <w:r>
        <w:rPr>
          <w:rFonts w:hint="eastAsia" w:ascii="宋体" w:hAnsi="宋体" w:cs="宋体"/>
          <w:b/>
          <w:bCs/>
          <w:w w:val="90"/>
          <w:sz w:val="44"/>
          <w:szCs w:val="44"/>
          <w:lang w:val="en-US" w:eastAsia="zh-CN"/>
        </w:rPr>
        <w:t>强化</w:t>
      </w:r>
      <w:r>
        <w:rPr>
          <w:rFonts w:hint="eastAsia" w:ascii="宋体" w:hAnsi="宋体" w:eastAsia="宋体" w:cs="宋体"/>
          <w:b/>
          <w:bCs/>
          <w:w w:val="90"/>
          <w:sz w:val="44"/>
          <w:szCs w:val="44"/>
        </w:rPr>
        <w:t>绩效</w:t>
      </w:r>
      <w:r>
        <w:rPr>
          <w:rFonts w:hint="eastAsia" w:ascii="宋体" w:hAnsi="宋体" w:eastAsia="宋体" w:cs="宋体"/>
          <w:b/>
          <w:bCs/>
          <w:w w:val="90"/>
          <w:sz w:val="44"/>
          <w:szCs w:val="44"/>
          <w:lang w:val="en-US" w:eastAsia="zh-CN"/>
        </w:rPr>
        <w:t>目标</w:t>
      </w:r>
      <w:r>
        <w:rPr>
          <w:rFonts w:hint="eastAsia" w:ascii="宋体" w:hAnsi="宋体" w:cs="宋体"/>
          <w:b/>
          <w:bCs/>
          <w:w w:val="90"/>
          <w:sz w:val="44"/>
          <w:szCs w:val="44"/>
          <w:lang w:val="en-US" w:eastAsia="zh-CN"/>
        </w:rPr>
        <w:t>规范</w:t>
      </w:r>
      <w:r>
        <w:rPr>
          <w:rFonts w:hint="eastAsia" w:ascii="宋体" w:hAnsi="宋体" w:eastAsia="宋体" w:cs="宋体"/>
          <w:b/>
          <w:bCs/>
          <w:w w:val="90"/>
          <w:sz w:val="44"/>
          <w:szCs w:val="44"/>
        </w:rPr>
        <w:t>管理</w:t>
      </w:r>
    </w:p>
    <w:p>
      <w:pPr>
        <w:pStyle w:val="6"/>
        <w:spacing w:line="540" w:lineRule="exact"/>
        <w:ind w:left="0" w:leftChars="0" w:firstLine="0" w:firstLineChars="0"/>
        <w:jc w:val="center"/>
        <w:rPr>
          <w:rFonts w:hint="default" w:ascii="宋体" w:hAnsi="宋体" w:eastAsia="宋体" w:cs="宋体"/>
          <w:b/>
          <w:bCs/>
          <w:w w:val="90"/>
          <w:sz w:val="44"/>
          <w:szCs w:val="44"/>
          <w:lang w:val="en-US" w:eastAsia="zh-CN"/>
        </w:rPr>
      </w:pPr>
      <w:r>
        <w:rPr>
          <w:rFonts w:hint="eastAsia" w:ascii="宋体" w:hAnsi="宋体" w:eastAsia="宋体" w:cs="宋体"/>
          <w:b/>
          <w:bCs/>
          <w:w w:val="90"/>
          <w:sz w:val="44"/>
          <w:szCs w:val="44"/>
          <w:lang w:val="en-US" w:eastAsia="zh-CN"/>
        </w:rPr>
        <w:t>推动财政资金</w:t>
      </w:r>
      <w:r>
        <w:rPr>
          <w:rFonts w:hint="eastAsia" w:ascii="宋体" w:hAnsi="宋体" w:cs="宋体"/>
          <w:b/>
          <w:bCs/>
          <w:w w:val="90"/>
          <w:sz w:val="44"/>
          <w:szCs w:val="44"/>
          <w:lang w:val="en-US" w:eastAsia="zh-CN"/>
        </w:rPr>
        <w:t>提质增效</w:t>
      </w:r>
    </w:p>
    <w:p>
      <w:pPr>
        <w:pStyle w:val="6"/>
        <w:spacing w:line="540" w:lineRule="exact"/>
        <w:ind w:firstLine="643"/>
        <w:jc w:val="center"/>
        <w:rPr>
          <w:rFonts w:hint="eastAsia" w:ascii="仿宋" w:hAnsi="仿宋" w:eastAsia="仿宋" w:cs="仿宋"/>
          <w:sz w:val="32"/>
          <w:szCs w:val="32"/>
        </w:rPr>
      </w:pPr>
    </w:p>
    <w:p>
      <w:pPr>
        <w:pStyle w:val="6"/>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市本级部门预算绩效目标编制和公开工作，按照国家、省、市关于全面实施预算绩效管理的有关要求和部署，为进一步促进预算绩效管理提质增效，强化“三全”预算绩效管理，推进预算与绩效管理深度融合，提升资金使用效益和政策效能，我们以财政资金绩效管理目标为导向，强化绩效管理理念，全方位推进预算和绩效管理规范化、标准化，提高绩效目标编制质量，确保财政资金使用的科学性、有效性和合法性。</w:t>
      </w:r>
    </w:p>
    <w:p>
      <w:pPr>
        <w:pStyle w:val="6"/>
        <w:numPr>
          <w:ilvl w:val="0"/>
          <w:numId w:val="0"/>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一、实现</w:t>
      </w:r>
      <w:r>
        <w:rPr>
          <w:rFonts w:hint="eastAsia" w:ascii="黑体" w:hAnsi="黑体" w:eastAsia="黑体" w:cs="黑体"/>
          <w:color w:val="000000"/>
          <w:sz w:val="32"/>
          <w:szCs w:val="32"/>
        </w:rPr>
        <w:t>预算绩效</w:t>
      </w:r>
      <w:r>
        <w:rPr>
          <w:rFonts w:hint="eastAsia" w:ascii="黑体" w:hAnsi="黑体" w:eastAsia="黑体" w:cs="黑体"/>
          <w:color w:val="000000"/>
          <w:sz w:val="32"/>
          <w:szCs w:val="32"/>
          <w:lang w:val="en-US" w:eastAsia="zh-CN"/>
        </w:rPr>
        <w:t>目标全过程信息化管理</w:t>
      </w:r>
    </w:p>
    <w:p>
      <w:pPr>
        <w:pStyle w:val="6"/>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继续依托预算绩效管理一体化平台，对一般公共预算、政府性基金预算、国有资本经营预算实施了全过程信息化绩效目标管理,除财力性转移支付项目、不公开项目和偿债类项目均纳入绩效管理范围。2025年市本级878个部门项目（政策）支出282818.97万元纳入绩效目标管理；176个部门（单位）纳入部门整体绩效目标管理。</w:t>
      </w:r>
    </w:p>
    <w:p>
      <w:pPr>
        <w:pStyle w:val="6"/>
        <w:numPr>
          <w:ilvl w:val="0"/>
          <w:numId w:val="0"/>
        </w:num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二、推进绩效管理与部门预算编制同步运行</w:t>
      </w:r>
    </w:p>
    <w:p>
      <w:pPr>
        <w:pStyle w:val="6"/>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以预算部门（单位）为主体，将所有申报预算的项目都提前纳入项目库，</w:t>
      </w:r>
      <w:r>
        <w:rPr>
          <w:rFonts w:hint="eastAsia" w:ascii="仿宋_GB2312" w:hAnsi="仿宋_GB2312" w:eastAsia="仿宋_GB2312" w:cs="仿宋_GB2312"/>
          <w:b w:val="0"/>
          <w:bCs w:val="0"/>
          <w:sz w:val="32"/>
          <w:szCs w:val="32"/>
          <w:lang w:val="en-US" w:eastAsia="zh-CN"/>
        </w:rPr>
        <w:t>新增或执行到期拟继续执行的500</w:t>
      </w:r>
      <w:r>
        <w:rPr>
          <w:rFonts w:hint="default"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含)以上的项目需</w:t>
      </w:r>
      <w:r>
        <w:rPr>
          <w:rFonts w:hint="eastAsia" w:ascii="仿宋_GB2312" w:hAnsi="仿宋_GB2312" w:eastAsia="仿宋_GB2312" w:cs="仿宋_GB2312"/>
          <w:sz w:val="32"/>
          <w:szCs w:val="32"/>
          <w:lang w:val="en-US" w:eastAsia="zh-CN"/>
        </w:rPr>
        <w:t>从立项必要性、项目可行性、预算合理性、筹资合规性、预期绩效的可持续性5个方面开展事前绩效</w:t>
      </w:r>
      <w:bookmarkStart w:id="0" w:name="_GoBack"/>
      <w:bookmarkEnd w:id="0"/>
      <w:r>
        <w:rPr>
          <w:rFonts w:hint="eastAsia" w:ascii="仿宋_GB2312" w:hAnsi="仿宋_GB2312" w:eastAsia="仿宋_GB2312" w:cs="仿宋_GB2312"/>
          <w:sz w:val="32"/>
          <w:szCs w:val="32"/>
          <w:lang w:val="en-US" w:eastAsia="zh-CN"/>
        </w:rPr>
        <w:t>评估，</w:t>
      </w:r>
      <w:r>
        <w:rPr>
          <w:rFonts w:hint="default" w:ascii="仿宋_GB2312" w:hAnsi="仿宋_GB2312" w:eastAsia="仿宋_GB2312" w:cs="仿宋_GB2312"/>
          <w:sz w:val="32"/>
          <w:szCs w:val="32"/>
          <w:lang w:val="en-US" w:eastAsia="zh-CN"/>
        </w:rPr>
        <w:t>未按要求开展事前绩效评估或事前绩效评估不通过的项目不得纳入项目库</w:t>
      </w:r>
      <w:r>
        <w:rPr>
          <w:rFonts w:hint="eastAsia" w:ascii="仿宋_GB2312" w:hAnsi="仿宋_GB2312" w:eastAsia="仿宋_GB2312" w:cs="仿宋_GB2312"/>
          <w:sz w:val="32"/>
          <w:szCs w:val="32"/>
          <w:lang w:val="en-US" w:eastAsia="zh-CN"/>
        </w:rPr>
        <w:t>，2025年度开展事前绩效评估的项目共有27个项目，涉及资金24.36亿元；</w:t>
      </w:r>
      <w:r>
        <w:rPr>
          <w:rFonts w:hint="eastAsia" w:ascii="仿宋_GB2312" w:hAnsi="仿宋_GB2312" w:eastAsia="仿宋_GB2312" w:cs="仿宋_GB2312"/>
          <w:b w:val="0"/>
          <w:bCs w:val="0"/>
          <w:sz w:val="32"/>
          <w:szCs w:val="32"/>
          <w:lang w:val="en-US" w:eastAsia="zh-CN"/>
        </w:rPr>
        <w:t>为提高预算绩效目标编制的科学性、合理性、规范性和精准度，我们坚持绩效目标和预算编制一同布置、一同编制、一同审核、一同批复、一同公开。</w:t>
      </w:r>
    </w:p>
    <w:p>
      <w:pPr>
        <w:pStyle w:val="6"/>
        <w:numPr>
          <w:ilvl w:val="0"/>
          <w:numId w:val="0"/>
        </w:num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三、加强预算绩效目标审核管理</w:t>
      </w:r>
    </w:p>
    <w:p>
      <w:pPr>
        <w:pStyle w:val="6"/>
        <w:numPr>
          <w:ilvl w:val="0"/>
          <w:numId w:val="0"/>
        </w:numPr>
        <w:spacing w:line="560" w:lineRule="exact"/>
        <w:ind w:firstLine="640" w:firstLineChars="200"/>
        <w:rPr>
          <w:rFonts w:hint="default" w:ascii="黑体" w:hAnsi="黑体" w:eastAsia="黑体" w:cs="黑体"/>
          <w:color w:val="000000"/>
          <w:sz w:val="32"/>
          <w:szCs w:val="32"/>
          <w:lang w:val="en-US" w:eastAsia="zh-CN"/>
        </w:rPr>
      </w:pPr>
      <w:r>
        <w:rPr>
          <w:rFonts w:hint="eastAsia" w:ascii="仿宋_GB2312" w:hAnsi="仿宋_GB2312" w:eastAsia="仿宋_GB2312" w:cs="仿宋_GB2312"/>
          <w:sz w:val="32"/>
          <w:szCs w:val="32"/>
          <w:lang w:val="en-US" w:eastAsia="zh-CN"/>
        </w:rPr>
        <w:t>市财政局绩效管理科商同局内各部门预算管理科对2025年度部门预算绩效目标编制严格要求、严格审核，对绩效目标编制质量层层把关，经审核共有39家单位涉及129个项目绩效目标编制存在与项目关联性不强，没有反应项目核心产出和效益等问题，</w:t>
      </w:r>
      <w:r>
        <w:rPr>
          <w:rFonts w:hint="eastAsia" w:ascii="仿宋_GB2312" w:hAnsi="仿宋_GB2312" w:eastAsia="仿宋_GB2312" w:cs="仿宋_GB2312"/>
          <w:b w:val="0"/>
          <w:bCs w:val="0"/>
          <w:sz w:val="32"/>
          <w:szCs w:val="32"/>
          <w:lang w:val="en-US" w:eastAsia="zh-CN"/>
        </w:rPr>
        <w:t>5家单位整体绩效指标解释有误，均反馈单位并退回指标修改完善，切实提高了绩效目标编制质量，强化了预算绩效管理意识，全力推动预算绩效管理提质增效。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mE3NjY2MjQxODRhYmJhNTFmZDk0NWE0OTM2YzMifQ=="/>
  </w:docVars>
  <w:rsids>
    <w:rsidRoot w:val="00000000"/>
    <w:rsid w:val="04204EEC"/>
    <w:rsid w:val="049251C3"/>
    <w:rsid w:val="099C34EA"/>
    <w:rsid w:val="1692767F"/>
    <w:rsid w:val="17F81389"/>
    <w:rsid w:val="1B132036"/>
    <w:rsid w:val="1CDA1606"/>
    <w:rsid w:val="1E43238C"/>
    <w:rsid w:val="2164183D"/>
    <w:rsid w:val="24251576"/>
    <w:rsid w:val="2583791F"/>
    <w:rsid w:val="28CC0C79"/>
    <w:rsid w:val="28EA017F"/>
    <w:rsid w:val="2A125A07"/>
    <w:rsid w:val="2DC15C87"/>
    <w:rsid w:val="2DFD4BAB"/>
    <w:rsid w:val="2FFD411A"/>
    <w:rsid w:val="330F78A8"/>
    <w:rsid w:val="333C067A"/>
    <w:rsid w:val="3B1F1B8E"/>
    <w:rsid w:val="3DC2196D"/>
    <w:rsid w:val="3DD75419"/>
    <w:rsid w:val="3E4800C5"/>
    <w:rsid w:val="437234EE"/>
    <w:rsid w:val="44345B95"/>
    <w:rsid w:val="461F0F40"/>
    <w:rsid w:val="4E21448E"/>
    <w:rsid w:val="54EC37AE"/>
    <w:rsid w:val="58B959EF"/>
    <w:rsid w:val="5D667ED0"/>
    <w:rsid w:val="5DD32FD9"/>
    <w:rsid w:val="5E3B53AC"/>
    <w:rsid w:val="65700509"/>
    <w:rsid w:val="679B617A"/>
    <w:rsid w:val="720D226B"/>
    <w:rsid w:val="73EF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704</Words>
  <Characters>730</Characters>
  <Paragraphs>17</Paragraphs>
  <TotalTime>6</TotalTime>
  <ScaleCrop>false</ScaleCrop>
  <LinksUpToDate>false</LinksUpToDate>
  <CharactersWithSpaces>730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2018-09-17T07:48:00Z</dcterms:created>
  <dc:creator>詹姆斯 胖梨</dc:creator>
  <cp:lastModifiedBy>Administrator</cp:lastModifiedBy>
  <cp:lastPrinted>2021-01-22T01:05:00Z</cp:lastPrinted>
  <dcterms:modified xsi:type="dcterms:W3CDTF">2025-01-09T07:49:35Z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7960C29E1422461C8D0FD2A7221EF535</vt:lpwstr>
  </property>
</Properties>
</file>