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B656">
      <w:pPr>
        <w:snapToGrid w:val="0"/>
        <w:jc w:val="center"/>
        <w:rPr>
          <w:rFonts w:hint="eastAsia" w:ascii="方正小标宋简体" w:hAnsi="方正小标宋简体" w:eastAsia="方正小标宋简体" w:cs="方正小标宋简体"/>
          <w:sz w:val="44"/>
          <w:szCs w:val="44"/>
          <w:highlight w:val="none"/>
        </w:rPr>
      </w:pPr>
      <w:bookmarkStart w:id="0" w:name="YS060100"/>
      <w:bookmarkStart w:id="1" w:name="第七部分部门决算分析报告撰写提纲"/>
      <w:r>
        <w:rPr>
          <w:rFonts w:hint="eastAsia" w:ascii="方正小标宋简体" w:hAnsi="方正小标宋简体" w:eastAsia="方正小标宋简体" w:cs="方正小标宋简体"/>
          <w:i w:val="0"/>
          <w:iCs w:val="0"/>
          <w:caps w:val="0"/>
          <w:color w:val="000000"/>
          <w:spacing w:val="0"/>
          <w:sz w:val="44"/>
          <w:szCs w:val="44"/>
          <w:shd w:val="clear" w:fill="FFFFFF"/>
        </w:rPr>
        <w:t>盘锦市兴隆台区</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交通运输事业发展中心</w:t>
      </w:r>
      <w:r>
        <w:rPr>
          <w:rFonts w:hint="eastAsia" w:ascii="方正小标宋简体" w:hAnsi="方正小标宋简体" w:eastAsia="方正小标宋简体" w:cs="方正小标宋简体"/>
          <w:i w:val="0"/>
          <w:iCs w:val="0"/>
          <w:caps w:val="0"/>
          <w:color w:val="000000"/>
          <w:spacing w:val="0"/>
          <w:sz w:val="44"/>
          <w:szCs w:val="44"/>
          <w:shd w:val="clear" w:fill="FFFFFF"/>
        </w:rPr>
        <w:t>2024年度部门</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决算</w:t>
      </w:r>
      <w:r>
        <w:rPr>
          <w:rFonts w:hint="eastAsia" w:ascii="方正小标宋简体" w:hAnsi="方正小标宋简体" w:eastAsia="方正小标宋简体" w:cs="方正小标宋简体"/>
          <w:i w:val="0"/>
          <w:iCs w:val="0"/>
          <w:caps w:val="0"/>
          <w:color w:val="000000"/>
          <w:spacing w:val="0"/>
          <w:sz w:val="44"/>
          <w:szCs w:val="44"/>
          <w:shd w:val="clear" w:fill="FFFFFF"/>
        </w:rPr>
        <w:t>公开</w:t>
      </w:r>
    </w:p>
    <w:bookmarkEnd w:id="0"/>
    <w:p w14:paraId="74586394">
      <w:pPr>
        <w:snapToGrid w:val="0"/>
        <w:ind w:firstLine="640" w:firstLineChars="200"/>
        <w:rPr>
          <w:rFonts w:hint="eastAsia" w:ascii="仿宋_GB2312" w:hAnsi="仿宋" w:eastAsia="仿宋_GB2312"/>
          <w:sz w:val="32"/>
          <w:szCs w:val="32"/>
          <w:highlight w:val="none"/>
        </w:rPr>
      </w:pPr>
    </w:p>
    <w:p w14:paraId="04F11AD2">
      <w:pPr>
        <w:snapToGrid w:val="0"/>
        <w:spacing w:line="520" w:lineRule="exact"/>
        <w:rPr>
          <w:rFonts w:hint="eastAsia" w:ascii="黑体" w:hAnsi="黑体" w:eastAsia="黑体"/>
          <w:sz w:val="32"/>
          <w:szCs w:val="32"/>
          <w:highlight w:val="none"/>
        </w:rPr>
      </w:pPr>
      <w:bookmarkStart w:id="2" w:name="YS060101"/>
      <w:r>
        <w:rPr>
          <w:rFonts w:hint="eastAsia" w:ascii="黑体" w:hAnsi="黑体" w:eastAsia="黑体" w:cs="黑体"/>
          <w:sz w:val="32"/>
          <w:szCs w:val="32"/>
          <w:highlight w:val="none"/>
        </w:rPr>
        <w:t>一、单位情况</w:t>
      </w:r>
    </w:p>
    <w:bookmarkEnd w:id="2"/>
    <w:p w14:paraId="535CF6EF">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（一）基本情况。</w:t>
      </w:r>
    </w:p>
    <w:p w14:paraId="3BA9E132">
      <w:p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1．主要职能。</w:t>
      </w:r>
    </w:p>
    <w:p w14:paraId="0F85D2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i w:val="0"/>
          <w:iCs w:val="0"/>
          <w:caps w:val="0"/>
          <w:color w:val="272933"/>
          <w:spacing w:val="0"/>
          <w:sz w:val="32"/>
          <w:szCs w:val="32"/>
          <w:shd w:val="clear" w:color="auto" w:fill="FFFFFF"/>
        </w:rPr>
      </w:pPr>
      <w:r>
        <w:rPr>
          <w:rStyle w:val="10"/>
          <w:rFonts w:hint="eastAsia" w:ascii="仿宋" w:hAnsi="仿宋" w:eastAsia="仿宋" w:cs="仿宋"/>
          <w:i w:val="0"/>
          <w:iCs w:val="0"/>
          <w:caps w:val="0"/>
          <w:spacing w:val="0"/>
          <w:sz w:val="32"/>
          <w:szCs w:val="32"/>
          <w:u w:val="none"/>
          <w:shd w:val="clear" w:color="auto" w:fill="FFFFFF"/>
        </w:rPr>
        <w:t>1.贯彻执行国家和部、省、市有关道路运输和农村公路工作的方针政策和有关法律、法规、规章</w:t>
      </w:r>
      <w:r>
        <w:rPr>
          <w:rFonts w:hint="eastAsia" w:ascii="仿宋" w:hAnsi="仿宋" w:eastAsia="仿宋" w:cs="仿宋"/>
          <w:i w:val="0"/>
          <w:iCs w:val="0"/>
          <w:caps w:val="0"/>
          <w:color w:val="272933"/>
          <w:spacing w:val="0"/>
          <w:sz w:val="32"/>
          <w:szCs w:val="32"/>
          <w:shd w:val="clear" w:color="auto" w:fill="FFFFFF"/>
        </w:rPr>
        <w:t>。</w:t>
      </w:r>
    </w:p>
    <w:p w14:paraId="2DE344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i w:val="0"/>
          <w:iCs w:val="0"/>
          <w:caps w:val="0"/>
          <w:color w:val="272933"/>
          <w:spacing w:val="0"/>
          <w:sz w:val="32"/>
          <w:szCs w:val="32"/>
          <w:shd w:val="clear" w:color="auto" w:fill="FFFFFF"/>
          <w:lang w:val="en-US" w:eastAsia="zh-CN"/>
        </w:rPr>
      </w:pPr>
      <w:r>
        <w:rPr>
          <w:rFonts w:hint="eastAsia" w:ascii="仿宋" w:hAnsi="仿宋" w:eastAsia="仿宋" w:cs="仿宋"/>
          <w:i w:val="0"/>
          <w:iCs w:val="0"/>
          <w:caps w:val="0"/>
          <w:color w:val="272933"/>
          <w:spacing w:val="0"/>
          <w:sz w:val="32"/>
          <w:szCs w:val="32"/>
          <w:shd w:val="clear" w:color="auto" w:fill="FFFFFF"/>
        </w:rPr>
        <w:t xml:space="preserve"> 2.</w:t>
      </w:r>
      <w:r>
        <w:rPr>
          <w:rStyle w:val="10"/>
          <w:rFonts w:hint="eastAsia" w:ascii="仿宋" w:hAnsi="仿宋" w:eastAsia="仿宋" w:cs="仿宋"/>
          <w:i w:val="0"/>
          <w:iCs w:val="0"/>
          <w:caps w:val="0"/>
          <w:spacing w:val="0"/>
          <w:sz w:val="32"/>
          <w:szCs w:val="32"/>
          <w:u w:val="none"/>
          <w:shd w:val="clear" w:color="auto" w:fill="FFFFFF"/>
        </w:rPr>
        <w:t>承担交通基础设施的规划</w:t>
      </w:r>
      <w:r>
        <w:rPr>
          <w:rFonts w:hint="eastAsia" w:ascii="仿宋" w:hAnsi="仿宋" w:eastAsia="仿宋" w:cs="仿宋"/>
          <w:i w:val="0"/>
          <w:iCs w:val="0"/>
          <w:caps w:val="0"/>
          <w:color w:val="272933"/>
          <w:spacing w:val="0"/>
          <w:sz w:val="32"/>
          <w:szCs w:val="32"/>
          <w:shd w:val="clear" w:color="auto" w:fill="FFFFFF"/>
        </w:rPr>
        <w:t>、建设、管理和交工验收工作;承担农村公路县道养护作业计划的</w:t>
      </w:r>
      <w:r>
        <w:rPr>
          <w:rFonts w:hint="eastAsia" w:ascii="仿宋" w:hAnsi="仿宋" w:eastAsia="仿宋" w:cs="仿宋"/>
          <w:i w:val="0"/>
          <w:iCs w:val="0"/>
          <w:caps w:val="0"/>
          <w:color w:val="272933"/>
          <w:spacing w:val="0"/>
          <w:sz w:val="32"/>
          <w:szCs w:val="32"/>
          <w:shd w:val="clear" w:color="auto" w:fill="FFFFFF"/>
          <w:lang w:val="en-US" w:eastAsia="zh-CN"/>
        </w:rPr>
        <w:t>相关业务管理。</w:t>
      </w:r>
    </w:p>
    <w:p w14:paraId="452F8B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272933"/>
          <w:spacing w:val="0"/>
          <w:sz w:val="32"/>
          <w:szCs w:val="32"/>
          <w:shd w:val="clear" w:color="auto" w:fill="FFFFFF"/>
          <w:lang w:val="en-US" w:eastAsia="zh-CN"/>
        </w:rPr>
        <w:t>3.</w:t>
      </w:r>
      <w:r>
        <w:rPr>
          <w:rFonts w:hint="eastAsia" w:ascii="仿宋" w:hAnsi="仿宋" w:eastAsia="仿宋" w:cs="仿宋"/>
          <w:sz w:val="32"/>
          <w:szCs w:val="32"/>
        </w:rPr>
        <w:t>承担交通运输市场监管职责</w:t>
      </w:r>
      <w:r>
        <w:rPr>
          <w:rFonts w:hint="eastAsia" w:ascii="仿宋" w:hAnsi="仿宋" w:eastAsia="仿宋" w:cs="仿宋"/>
          <w:sz w:val="32"/>
          <w:szCs w:val="32"/>
          <w:lang w:eastAsia="zh-CN"/>
        </w:rPr>
        <w:t>，</w:t>
      </w:r>
      <w:r>
        <w:rPr>
          <w:rFonts w:hint="eastAsia" w:ascii="仿宋" w:hAnsi="仿宋" w:eastAsia="仿宋" w:cs="仿宋"/>
          <w:sz w:val="32"/>
          <w:szCs w:val="32"/>
        </w:rPr>
        <w:t>中心负责道路运输经营业务许可及监督管理等工作。这包括对道路旅客运输、货物运输、搬运装卸、车辆维修、汽车驾驶员培训和运输服务等行业的管理和监督检查。通过加强市场监管，维护交通运输市场的公平竞争秩序，保障交通运输的安全和畅通。</w:t>
      </w:r>
    </w:p>
    <w:p w14:paraId="427CE30A">
      <w:pPr>
        <w:numPr>
          <w:ilvl w:val="0"/>
          <w:numId w:val="1"/>
        </w:num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机构情况，包括当年变动情况及原因。</w:t>
      </w:r>
    </w:p>
    <w:p w14:paraId="4D18F783">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2022年9月16日，经区委编委会研究决定【兴编发〔2022〕40号】，将兴隆台区交通事务服务中心更名为兴隆台区交通运输事业发展中心，机构规格相当于副科级，核定编制22名，领导职数3名，其中，主任1名（副科级），副主任2名（股级）。</w:t>
      </w:r>
    </w:p>
    <w:p w14:paraId="4E4D7687">
      <w:pPr>
        <w:numPr>
          <w:ilvl w:val="0"/>
          <w:numId w:val="0"/>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人员情况，包括当年变动情况及原因。</w:t>
      </w:r>
    </w:p>
    <w:p w14:paraId="31BFAFAC">
      <w:pPr>
        <w:numPr>
          <w:ilvl w:val="0"/>
          <w:numId w:val="0"/>
        </w:numPr>
        <w:snapToGrid w:val="0"/>
        <w:spacing w:line="520" w:lineRule="exact"/>
        <w:rPr>
          <w:rFonts w:hint="eastAsia" w:ascii="仿宋" w:hAnsi="仿宋" w:eastAsia="仿宋" w:cs="仿宋"/>
          <w:sz w:val="32"/>
          <w:szCs w:val="32"/>
          <w:highlight w:val="none"/>
        </w:rPr>
      </w:pPr>
      <w:r>
        <w:rPr>
          <w:rFonts w:hint="eastAsia" w:ascii="仿宋" w:hAnsi="仿宋" w:eastAsia="仿宋" w:cs="仿宋"/>
          <w:sz w:val="32"/>
          <w:szCs w:val="32"/>
          <w:lang w:val="en-US" w:eastAsia="zh-CN"/>
        </w:rPr>
        <w:t>目前，中心共有人员36人，其中在编人员22人、退役军人7人，广济人员6人、中智人员1人。</w:t>
      </w:r>
    </w:p>
    <w:p w14:paraId="32C984D8">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（二）当年取得的主要事业成效。</w:t>
      </w:r>
    </w:p>
    <w:p w14:paraId="003E42DB">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单位工作始终保持平稳运行。</w:t>
      </w:r>
    </w:p>
    <w:p w14:paraId="47141D22">
      <w:pPr>
        <w:snapToGrid w:val="0"/>
        <w:spacing w:line="520" w:lineRule="exact"/>
        <w:rPr>
          <w:rFonts w:hint="eastAsia" w:ascii="黑体" w:hAnsi="黑体" w:eastAsia="黑体"/>
          <w:sz w:val="32"/>
          <w:szCs w:val="32"/>
          <w:highlight w:val="none"/>
        </w:rPr>
      </w:pPr>
      <w:bookmarkStart w:id="3" w:name="YS060102"/>
      <w:r>
        <w:rPr>
          <w:rFonts w:hint="eastAsia" w:ascii="黑体" w:hAnsi="黑体" w:eastAsia="黑体"/>
          <w:sz w:val="32"/>
          <w:szCs w:val="32"/>
          <w:highlight w:val="none"/>
        </w:rPr>
        <w:t>二、收入支出预算执行情况分析</w:t>
      </w:r>
    </w:p>
    <w:bookmarkEnd w:id="3"/>
    <w:p w14:paraId="126C68C1">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（一）收入支出预算安排情况。</w:t>
      </w:r>
    </w:p>
    <w:p w14:paraId="6C8A817D">
      <w:pPr>
        <w:snapToGrid w:val="0"/>
        <w:spacing w:line="520" w:lineRule="exact"/>
        <w:ind w:firstLine="640" w:firstLineChars="200"/>
        <w:rPr>
          <w:rFonts w:hint="eastAsia" w:ascii="仿宋_GB2312" w:hAnsi="仿宋" w:eastAsia="仿宋_GB2312"/>
          <w:sz w:val="32"/>
          <w:szCs w:val="32"/>
          <w:highlight w:val="none"/>
        </w:rPr>
      </w:pPr>
      <w:r>
        <w:rPr>
          <w:rFonts w:hint="eastAsia" w:ascii="仿宋" w:hAnsi="仿宋" w:eastAsia="仿宋" w:cs="仿宋"/>
          <w:sz w:val="32"/>
          <w:szCs w:val="32"/>
          <w:highlight w:val="none"/>
        </w:rPr>
        <w:t>单位</w:t>
      </w:r>
      <w:r>
        <w:rPr>
          <w:rFonts w:hint="eastAsia" w:ascii="仿宋" w:hAnsi="仿宋" w:eastAsia="仿宋" w:cs="仿宋"/>
          <w:sz w:val="32"/>
          <w:szCs w:val="32"/>
          <w:highlight w:val="none"/>
          <w:lang w:val="en-US" w:eastAsia="zh-CN"/>
        </w:rPr>
        <w:t>预算安排</w:t>
      </w:r>
      <w:r>
        <w:rPr>
          <w:rFonts w:hint="eastAsia" w:ascii="仿宋" w:hAnsi="仿宋" w:eastAsia="仿宋" w:cs="仿宋"/>
          <w:sz w:val="32"/>
          <w:szCs w:val="32"/>
          <w:highlight w:val="none"/>
        </w:rPr>
        <w:t>收入</w:t>
      </w:r>
      <w:r>
        <w:rPr>
          <w:rFonts w:hint="eastAsia" w:ascii="仿宋" w:hAnsi="仿宋" w:eastAsia="仿宋" w:cs="仿宋"/>
          <w:sz w:val="32"/>
          <w:szCs w:val="32"/>
          <w:highlight w:val="none"/>
          <w:lang w:val="en-US" w:eastAsia="zh-CN"/>
        </w:rPr>
        <w:t>5,015.600.00元。预算安排</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5,015.600.00元。</w:t>
      </w:r>
      <w:r>
        <w:rPr>
          <w:rFonts w:hint="eastAsia" w:ascii="仿宋" w:hAnsi="仿宋" w:eastAsia="仿宋" w:cs="仿宋"/>
          <w:sz w:val="32"/>
          <w:szCs w:val="32"/>
          <w:highlight w:val="none"/>
        </w:rPr>
        <w:t>年初</w:t>
      </w:r>
      <w:r>
        <w:rPr>
          <w:rFonts w:hint="eastAsia" w:ascii="仿宋" w:hAnsi="仿宋" w:eastAsia="仿宋" w:cs="仿宋"/>
          <w:sz w:val="32"/>
          <w:szCs w:val="32"/>
          <w:highlight w:val="none"/>
          <w:lang w:val="en-US" w:eastAsia="zh-CN"/>
        </w:rPr>
        <w:t>安排</w:t>
      </w:r>
      <w:r>
        <w:rPr>
          <w:rFonts w:hint="eastAsia" w:ascii="仿宋" w:hAnsi="仿宋" w:eastAsia="仿宋" w:cs="仿宋"/>
          <w:sz w:val="32"/>
          <w:szCs w:val="32"/>
          <w:highlight w:val="none"/>
        </w:rPr>
        <w:t>预算</w:t>
      </w:r>
      <w:r>
        <w:rPr>
          <w:rFonts w:hint="eastAsia" w:ascii="仿宋" w:hAnsi="仿宋" w:eastAsia="仿宋" w:cs="仿宋"/>
          <w:sz w:val="32"/>
          <w:szCs w:val="32"/>
          <w:highlight w:val="none"/>
          <w:lang w:val="en-US" w:eastAsia="zh-CN"/>
        </w:rPr>
        <w:t xml:space="preserve">5,015.600.00元 </w:t>
      </w:r>
      <w:r>
        <w:rPr>
          <w:rFonts w:hint="eastAsia" w:ascii="仿宋" w:hAnsi="仿宋" w:eastAsia="仿宋" w:cs="仿宋"/>
          <w:sz w:val="32"/>
          <w:szCs w:val="32"/>
          <w:highlight w:val="none"/>
        </w:rPr>
        <w:t>，与上年对比减</w:t>
      </w:r>
      <w:r>
        <w:rPr>
          <w:rFonts w:hint="eastAsia" w:ascii="仿宋" w:hAnsi="仿宋" w:eastAsia="仿宋" w:cs="仿宋"/>
          <w:sz w:val="32"/>
          <w:szCs w:val="32"/>
          <w:highlight w:val="none"/>
          <w:lang w:val="en-US" w:eastAsia="zh-CN"/>
        </w:rPr>
        <w:t>少179,600.00元，减少3.46%，</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val="en-US" w:eastAsia="zh-CN"/>
        </w:rPr>
        <w:t>是经费减少</w:t>
      </w:r>
      <w:r>
        <w:rPr>
          <w:rFonts w:hint="eastAsia" w:ascii="仿宋" w:hAnsi="仿宋" w:eastAsia="仿宋" w:cs="仿宋"/>
          <w:sz w:val="32"/>
          <w:szCs w:val="32"/>
          <w:highlight w:val="none"/>
        </w:rPr>
        <w:t>。</w:t>
      </w:r>
    </w:p>
    <w:p w14:paraId="53F06158">
      <w:pPr>
        <w:snapToGrid w:val="0"/>
        <w:spacing w:line="520" w:lineRule="exact"/>
        <w:ind w:firstLine="643" w:firstLineChars="200"/>
        <w:outlineLvl w:val="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（二）收入支出预算执行情况。</w:t>
      </w:r>
    </w:p>
    <w:p w14:paraId="529DB439">
      <w:pPr>
        <w:snapToGrid w:val="0"/>
        <w:spacing w:line="520" w:lineRule="exact"/>
        <w:ind w:firstLine="640" w:firstLineChars="200"/>
        <w:rPr>
          <w:rFonts w:hint="eastAsia" w:ascii="仿宋" w:hAnsi="仿宋" w:eastAsia="仿宋" w:cs="仿宋"/>
          <w:b/>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val="en-US" w:eastAsia="zh-CN"/>
        </w:rPr>
        <w:t>预算</w:t>
      </w:r>
      <w:r>
        <w:rPr>
          <w:rFonts w:hint="eastAsia" w:ascii="仿宋" w:hAnsi="仿宋" w:eastAsia="仿宋" w:cs="仿宋"/>
          <w:sz w:val="32"/>
          <w:szCs w:val="32"/>
          <w:highlight w:val="none"/>
        </w:rPr>
        <w:t>收入</w:t>
      </w:r>
      <w:r>
        <w:rPr>
          <w:rFonts w:hint="eastAsia" w:ascii="仿宋" w:hAnsi="仿宋" w:eastAsia="仿宋" w:cs="仿宋"/>
          <w:sz w:val="32"/>
          <w:szCs w:val="32"/>
          <w:highlight w:val="none"/>
          <w:lang w:val="en-US" w:eastAsia="zh-CN"/>
        </w:rPr>
        <w:t>5,173，136.90元，</w:t>
      </w:r>
      <w:r>
        <w:rPr>
          <w:rFonts w:hint="eastAsia" w:ascii="仿宋" w:hAnsi="仿宋" w:eastAsia="仿宋" w:cs="仿宋"/>
          <w:sz w:val="32"/>
          <w:szCs w:val="32"/>
          <w:highlight w:val="none"/>
        </w:rPr>
        <w:t>支出预算</w:t>
      </w:r>
      <w:r>
        <w:rPr>
          <w:rFonts w:hint="eastAsia" w:ascii="仿宋" w:hAnsi="仿宋" w:eastAsia="仿宋" w:cs="仿宋"/>
          <w:sz w:val="32"/>
          <w:szCs w:val="32"/>
          <w:highlight w:val="none"/>
          <w:lang w:val="en-US" w:eastAsia="zh-CN"/>
        </w:rPr>
        <w:t>5,173，136.90元</w:t>
      </w:r>
      <w:r>
        <w:rPr>
          <w:rFonts w:hint="eastAsia" w:ascii="仿宋" w:hAnsi="仿宋" w:eastAsia="仿宋" w:cs="仿宋"/>
          <w:sz w:val="32"/>
          <w:szCs w:val="32"/>
          <w:highlight w:val="none"/>
        </w:rPr>
        <w:t>，与上年度减</w:t>
      </w:r>
      <w:r>
        <w:rPr>
          <w:rFonts w:hint="eastAsia" w:ascii="仿宋" w:hAnsi="仿宋" w:eastAsia="仿宋" w:cs="仿宋"/>
          <w:sz w:val="32"/>
          <w:szCs w:val="32"/>
          <w:highlight w:val="none"/>
          <w:lang w:val="en-US" w:eastAsia="zh-CN"/>
        </w:rPr>
        <w:t>少673,973.54元，同比减少11.53%。</w:t>
      </w:r>
    </w:p>
    <w:p w14:paraId="2F7DDD03">
      <w:pPr>
        <w:numPr>
          <w:ilvl w:val="0"/>
          <w:numId w:val="2"/>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相差157,536.90元。</w:t>
      </w:r>
    </w:p>
    <w:p w14:paraId="0CC46852">
      <w:pPr>
        <w:numPr>
          <w:ilvl w:val="0"/>
          <w:numId w:val="2"/>
        </w:numPr>
        <w:snapToGrid w:val="0"/>
        <w:spacing w:line="520" w:lineRule="exact"/>
        <w:ind w:firstLine="640" w:firstLineChars="200"/>
        <w:rPr>
          <w:rFonts w:hint="eastAsia" w:ascii="仿宋_GB2312" w:hAnsi="仿宋" w:eastAsia="仿宋_GB2312"/>
          <w:sz w:val="32"/>
          <w:szCs w:val="32"/>
          <w:highlight w:val="none"/>
        </w:rPr>
      </w:pPr>
      <w:r>
        <w:rPr>
          <w:rFonts w:hint="eastAsia" w:ascii="仿宋" w:hAnsi="仿宋" w:eastAsia="仿宋" w:cs="仿宋"/>
          <w:sz w:val="32"/>
          <w:szCs w:val="32"/>
          <w:highlight w:val="none"/>
        </w:rPr>
        <w:t>差异原因</w:t>
      </w:r>
      <w:r>
        <w:rPr>
          <w:rFonts w:hint="eastAsia" w:ascii="仿宋" w:hAnsi="仿宋" w:eastAsia="仿宋" w:cs="仿宋"/>
          <w:sz w:val="32"/>
          <w:szCs w:val="32"/>
          <w:highlight w:val="none"/>
          <w:lang w:val="en-US" w:eastAsia="zh-CN"/>
        </w:rPr>
        <w:t>是农村道路维修费减少。</w:t>
      </w:r>
    </w:p>
    <w:p w14:paraId="5D6A0EAE">
      <w:pPr>
        <w:snapToGrid w:val="0"/>
        <w:spacing w:line="52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2．收入支出结构分析。</w:t>
      </w:r>
    </w:p>
    <w:p w14:paraId="2CC0A48C">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p>
    <w:p w14:paraId="707DC188">
      <w:p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社会保障和就业收入497,689.28元，</w:t>
      </w:r>
      <w:r>
        <w:rPr>
          <w:rFonts w:hint="eastAsia" w:ascii="仿宋" w:hAnsi="仿宋" w:eastAsia="仿宋" w:cs="仿宋"/>
          <w:sz w:val="32"/>
          <w:szCs w:val="32"/>
          <w:highlight w:val="none"/>
        </w:rPr>
        <w:t>收入占总收入的</w:t>
      </w:r>
      <w:r>
        <w:rPr>
          <w:rFonts w:hint="eastAsia" w:ascii="仿宋" w:hAnsi="仿宋" w:eastAsia="仿宋" w:cs="仿宋"/>
          <w:sz w:val="32"/>
          <w:szCs w:val="32"/>
          <w:highlight w:val="none"/>
          <w:lang w:val="en-US" w:eastAsia="zh-CN"/>
        </w:rPr>
        <w:t>9.62%</w:t>
      </w:r>
      <w:r>
        <w:rPr>
          <w:rFonts w:hint="eastAsia" w:ascii="仿宋" w:hAnsi="仿宋" w:eastAsia="仿宋" w:cs="仿宋"/>
          <w:sz w:val="32"/>
          <w:szCs w:val="32"/>
          <w:highlight w:val="none"/>
          <w:lang w:eastAsia="zh-CN"/>
        </w:rPr>
        <w:t>。</w:t>
      </w:r>
    </w:p>
    <w:p w14:paraId="697A1EEC">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2卫生健康收入133,623.26元，</w:t>
      </w:r>
      <w:r>
        <w:rPr>
          <w:rFonts w:hint="eastAsia" w:ascii="仿宋" w:hAnsi="仿宋" w:eastAsia="仿宋" w:cs="仿宋"/>
          <w:sz w:val="32"/>
          <w:szCs w:val="32"/>
          <w:highlight w:val="none"/>
        </w:rPr>
        <w:t>收入占总收入的</w:t>
      </w:r>
      <w:r>
        <w:rPr>
          <w:rFonts w:hint="eastAsia" w:ascii="仿宋" w:hAnsi="仿宋" w:eastAsia="仿宋" w:cs="仿宋"/>
          <w:sz w:val="32"/>
          <w:szCs w:val="32"/>
          <w:highlight w:val="none"/>
          <w:lang w:val="en-US" w:eastAsia="zh-CN"/>
        </w:rPr>
        <w:t>2.58%。</w:t>
      </w:r>
    </w:p>
    <w:p w14:paraId="5347A218">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3交通运输收入4,319,936.36元，</w:t>
      </w:r>
      <w:r>
        <w:rPr>
          <w:rFonts w:hint="eastAsia" w:ascii="仿宋" w:hAnsi="仿宋" w:eastAsia="仿宋" w:cs="仿宋"/>
          <w:sz w:val="32"/>
          <w:szCs w:val="32"/>
          <w:highlight w:val="none"/>
        </w:rPr>
        <w:t>收入占总收入的</w:t>
      </w:r>
      <w:r>
        <w:rPr>
          <w:rFonts w:hint="eastAsia" w:ascii="仿宋" w:hAnsi="仿宋" w:eastAsia="仿宋" w:cs="仿宋"/>
          <w:sz w:val="32"/>
          <w:szCs w:val="32"/>
          <w:highlight w:val="none"/>
          <w:lang w:val="en-US" w:eastAsia="zh-CN"/>
        </w:rPr>
        <w:t>83.51%。</w:t>
      </w:r>
    </w:p>
    <w:p w14:paraId="3170EB45">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4住房保障收入221,888.00元，</w:t>
      </w:r>
      <w:r>
        <w:rPr>
          <w:rFonts w:hint="eastAsia" w:ascii="仿宋" w:hAnsi="仿宋" w:eastAsia="仿宋" w:cs="仿宋"/>
          <w:sz w:val="32"/>
          <w:szCs w:val="32"/>
          <w:highlight w:val="none"/>
        </w:rPr>
        <w:t>收入占总收入的</w:t>
      </w:r>
      <w:r>
        <w:rPr>
          <w:rFonts w:hint="eastAsia" w:ascii="仿宋" w:hAnsi="仿宋" w:eastAsia="仿宋" w:cs="仿宋"/>
          <w:sz w:val="32"/>
          <w:szCs w:val="32"/>
          <w:highlight w:val="none"/>
          <w:lang w:val="en-US" w:eastAsia="zh-CN"/>
        </w:rPr>
        <w:t>4.29%。</w:t>
      </w:r>
    </w:p>
    <w:p w14:paraId="4D0B51A6">
      <w:pPr>
        <w:numPr>
          <w:ilvl w:val="0"/>
          <w:numId w:val="0"/>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p>
    <w:p w14:paraId="63D5A61C">
      <w:pPr>
        <w:numPr>
          <w:ilvl w:val="0"/>
          <w:numId w:val="0"/>
        </w:num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1社会保障和就业支出497,689.28元，支出</w:t>
      </w:r>
      <w:r>
        <w:rPr>
          <w:rFonts w:hint="eastAsia" w:ascii="仿宋" w:hAnsi="仿宋" w:eastAsia="仿宋" w:cs="仿宋"/>
          <w:sz w:val="32"/>
          <w:szCs w:val="32"/>
          <w:highlight w:val="none"/>
        </w:rPr>
        <w:t>占总</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9.62%</w:t>
      </w:r>
      <w:r>
        <w:rPr>
          <w:rFonts w:hint="eastAsia" w:ascii="仿宋" w:hAnsi="仿宋" w:eastAsia="仿宋" w:cs="仿宋"/>
          <w:sz w:val="32"/>
          <w:szCs w:val="32"/>
          <w:highlight w:val="none"/>
          <w:lang w:eastAsia="zh-CN"/>
        </w:rPr>
        <w:t>。</w:t>
      </w:r>
    </w:p>
    <w:p w14:paraId="0F6EF0BC">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2卫生健康支出133,623.26元，支出</w:t>
      </w:r>
      <w:r>
        <w:rPr>
          <w:rFonts w:hint="eastAsia" w:ascii="仿宋" w:hAnsi="仿宋" w:eastAsia="仿宋" w:cs="仿宋"/>
          <w:sz w:val="32"/>
          <w:szCs w:val="32"/>
          <w:highlight w:val="none"/>
        </w:rPr>
        <w:t>占总</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2.58%。</w:t>
      </w:r>
    </w:p>
    <w:p w14:paraId="0099BBC3">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3交通运输支出4,319,936.36元，支出</w:t>
      </w:r>
      <w:r>
        <w:rPr>
          <w:rFonts w:hint="eastAsia" w:ascii="仿宋" w:hAnsi="仿宋" w:eastAsia="仿宋" w:cs="仿宋"/>
          <w:sz w:val="32"/>
          <w:szCs w:val="32"/>
          <w:highlight w:val="none"/>
        </w:rPr>
        <w:t>占总</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83.51%。</w:t>
      </w:r>
    </w:p>
    <w:p w14:paraId="25A27935">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4住房保障支出221,888.00元，支出</w:t>
      </w:r>
      <w:r>
        <w:rPr>
          <w:rFonts w:hint="eastAsia" w:ascii="仿宋" w:hAnsi="仿宋" w:eastAsia="仿宋" w:cs="仿宋"/>
          <w:sz w:val="32"/>
          <w:szCs w:val="32"/>
          <w:highlight w:val="none"/>
        </w:rPr>
        <w:t>占总</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4.29%。</w:t>
      </w:r>
    </w:p>
    <w:p w14:paraId="7F6E16E2">
      <w:pPr>
        <w:snapToGrid w:val="0"/>
        <w:spacing w:line="520" w:lineRule="exact"/>
        <w:ind w:firstLine="640" w:firstLineChars="200"/>
        <w:rPr>
          <w:rFonts w:hint="eastAsia" w:ascii="仿宋" w:hAnsi="仿宋" w:eastAsia="仿宋" w:cs="仿宋"/>
          <w:sz w:val="32"/>
          <w:szCs w:val="32"/>
          <w:highlight w:val="none"/>
          <w:lang w:val="en-US" w:eastAsia="zh-CN"/>
        </w:rPr>
      </w:pPr>
    </w:p>
    <w:p w14:paraId="39C8F066">
      <w:pPr>
        <w:numPr>
          <w:ilvl w:val="0"/>
          <w:numId w:val="2"/>
        </w:numPr>
        <w:snapToGrid w:val="0"/>
        <w:spacing w:line="52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收入支出与上年度对比情况及原因分析。</w:t>
      </w:r>
    </w:p>
    <w:p w14:paraId="584EF9DB">
      <w:pPr>
        <w:numPr>
          <w:ilvl w:val="0"/>
          <w:numId w:val="0"/>
        </w:numPr>
        <w:snapToGrid w:val="0"/>
        <w:spacing w:line="520" w:lineRule="exact"/>
        <w:ind w:leftChars="200"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1本年收入5,173,136.90元，上年收入5,847,110.44元，同比减少673,973.54元，同比减少88.47%。</w:t>
      </w:r>
    </w:p>
    <w:p w14:paraId="1D3BF224">
      <w:pPr>
        <w:numPr>
          <w:ilvl w:val="0"/>
          <w:numId w:val="0"/>
        </w:numPr>
        <w:snapToGrid w:val="0"/>
        <w:spacing w:line="520" w:lineRule="exact"/>
        <w:ind w:leftChars="200"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2本年支出5,173,136.90元，上年支出5,847,110.44元，同比减少673,973.54元，同比减少88.47%</w:t>
      </w:r>
    </w:p>
    <w:p w14:paraId="25FF1E8D">
      <w:pPr>
        <w:snapToGrid w:val="0"/>
        <w:spacing w:line="52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3．支出按经济分类科目分析。</w:t>
      </w:r>
    </w:p>
    <w:p w14:paraId="119D0589">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（1）“三公”经费支出情况：</w:t>
      </w:r>
      <w:r>
        <w:rPr>
          <w:rFonts w:hint="eastAsia" w:ascii="仿宋" w:hAnsi="仿宋" w:eastAsia="仿宋" w:cs="仿宋"/>
          <w:sz w:val="32"/>
          <w:szCs w:val="32"/>
          <w:highlight w:val="none"/>
          <w:lang w:val="en-US" w:eastAsia="zh-CN"/>
        </w:rPr>
        <w:t>全年支出66,495.33元，比上年增加26.061.87元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同比增长39.19%。原因是新增一台面包车，所以车辆运行费增加。</w:t>
      </w:r>
    </w:p>
    <w:p w14:paraId="09C87679">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（2）会议费支出</w:t>
      </w:r>
      <w:r>
        <w:rPr>
          <w:rFonts w:hint="eastAsia" w:ascii="仿宋" w:hAnsi="仿宋" w:eastAsia="仿宋" w:cs="仿宋"/>
          <w:sz w:val="32"/>
          <w:szCs w:val="32"/>
          <w:highlight w:val="none"/>
          <w:lang w:val="en-US" w:eastAsia="zh-CN"/>
        </w:rPr>
        <w:t>0元。</w:t>
      </w:r>
    </w:p>
    <w:p w14:paraId="54DBBC93">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（3）培训费支出</w:t>
      </w:r>
      <w:r>
        <w:rPr>
          <w:rFonts w:hint="eastAsia" w:ascii="仿宋" w:hAnsi="仿宋" w:eastAsia="仿宋" w:cs="仿宋"/>
          <w:sz w:val="32"/>
          <w:szCs w:val="32"/>
          <w:highlight w:val="none"/>
          <w:lang w:val="en-US" w:eastAsia="zh-CN"/>
        </w:rPr>
        <w:t>0元。</w:t>
      </w:r>
    </w:p>
    <w:p w14:paraId="5E4A940F">
      <w:pPr>
        <w:numPr>
          <w:ilvl w:val="0"/>
          <w:numId w:val="0"/>
        </w:numPr>
        <w:snapToGrid w:val="0"/>
        <w:spacing w:line="52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）差旅</w:t>
      </w:r>
      <w:r>
        <w:rPr>
          <w:rFonts w:hint="eastAsia" w:ascii="仿宋" w:hAnsi="仿宋" w:eastAsia="仿宋" w:cs="仿宋"/>
          <w:sz w:val="32"/>
          <w:szCs w:val="32"/>
          <w:highlight w:val="none"/>
        </w:rPr>
        <w:t>费支出</w:t>
      </w:r>
      <w:r>
        <w:rPr>
          <w:rFonts w:hint="eastAsia" w:ascii="仿宋" w:hAnsi="仿宋" w:eastAsia="仿宋" w:cs="仿宋"/>
          <w:sz w:val="32"/>
          <w:szCs w:val="32"/>
          <w:highlight w:val="none"/>
          <w:lang w:val="en-US" w:eastAsia="zh-CN"/>
        </w:rPr>
        <w:t>0元   。</w:t>
      </w:r>
    </w:p>
    <w:p w14:paraId="4B7B07CB">
      <w:pPr>
        <w:numPr>
          <w:ilvl w:val="0"/>
          <w:numId w:val="0"/>
        </w:numPr>
        <w:snapToGrid w:val="0"/>
        <w:spacing w:line="52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其他对单位影响较大的支出</w:t>
      </w:r>
      <w:r>
        <w:rPr>
          <w:rFonts w:hint="eastAsia" w:ascii="仿宋" w:hAnsi="仿宋" w:eastAsia="仿宋" w:cs="仿宋"/>
          <w:sz w:val="32"/>
          <w:szCs w:val="32"/>
          <w:highlight w:val="none"/>
          <w:lang w:val="en-US" w:eastAsia="zh-CN"/>
        </w:rPr>
        <w:t>0元。</w:t>
      </w:r>
    </w:p>
    <w:p w14:paraId="0F2CDF17">
      <w:pPr>
        <w:numPr>
          <w:ilvl w:val="0"/>
          <w:numId w:val="0"/>
        </w:numPr>
        <w:snapToGrid w:val="0"/>
        <w:spacing w:line="52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重点经济分类支出中存在的问题及改进措施。</w:t>
      </w:r>
    </w:p>
    <w:p w14:paraId="2FC99781">
      <w:pPr>
        <w:numPr>
          <w:ilvl w:val="0"/>
          <w:numId w:val="0"/>
        </w:numPr>
        <w:snapToGrid w:val="0"/>
        <w:spacing w:line="52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重点经济分类支出不存在问题。</w:t>
      </w:r>
    </w:p>
    <w:p w14:paraId="2A77F087">
      <w:pPr>
        <w:keepNext w:val="0"/>
        <w:keepLines w:val="0"/>
        <w:pageBreakBefore w:val="0"/>
        <w:widowControl w:val="0"/>
        <w:numPr>
          <w:ilvl w:val="0"/>
          <w:numId w:val="3"/>
        </w:numPr>
        <w:tabs>
          <w:tab w:val="left" w:pos="312"/>
          <w:tab w:val="clear" w:pos="0"/>
        </w:tabs>
        <w:kinsoku/>
        <w:wordWrap/>
        <w:overflowPunct/>
        <w:topLinePunct w:val="0"/>
        <w:autoSpaceDE/>
        <w:autoSpaceDN/>
        <w:bidi w:val="0"/>
        <w:adjustRightInd/>
        <w:snapToGrid w:val="0"/>
        <w:spacing w:line="520" w:lineRule="exact"/>
        <w:ind w:left="0" w:leftChars="0" w:firstLine="643" w:firstLineChars="200"/>
        <w:textAlignment w:val="auto"/>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支出按功能分类科目分析。</w:t>
      </w:r>
    </w:p>
    <w:p w14:paraId="10C60C4A">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w:t>
      </w:r>
      <w:r>
        <w:rPr>
          <w:rFonts w:hint="eastAsia" w:ascii="仿宋" w:hAnsi="仿宋" w:eastAsia="仿宋" w:cs="仿宋"/>
          <w:sz w:val="32"/>
          <w:szCs w:val="32"/>
          <w:highlight w:val="none"/>
          <w:lang w:val="en-US" w:eastAsia="zh-CN"/>
        </w:rPr>
        <w:t>功能分类科目208：</w:t>
      </w:r>
      <w:r>
        <w:rPr>
          <w:rFonts w:hint="eastAsia" w:ascii="仿宋" w:hAnsi="仿宋" w:eastAsia="仿宋" w:cs="仿宋"/>
          <w:b/>
          <w:bCs/>
          <w:sz w:val="32"/>
          <w:szCs w:val="32"/>
          <w:highlight w:val="none"/>
          <w:lang w:val="en-US" w:eastAsia="zh-CN"/>
        </w:rPr>
        <w:t>社会保障和就业支出497,689.28元，占全年支出的9.62%，同比去年支出247,954.56元，增加249，734.72元，同比增长50.18%，因为工资的增长，所以有所增长。</w:t>
      </w:r>
    </w:p>
    <w:p w14:paraId="2F8CF973">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sz w:val="32"/>
          <w:szCs w:val="32"/>
          <w:highlight w:val="none"/>
          <w:lang w:val="en-US" w:eastAsia="zh-CN"/>
        </w:rPr>
        <w:t>功能分类科目210：行政事业单位医疗支出133,623.26元，占全年支出2.58%，同比去年支出103,445.41元，增加30,177.85元，同比增长22.58%，因为工资增长，所以有所增长。</w:t>
      </w:r>
    </w:p>
    <w:p w14:paraId="2FF8234E">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3功能分类科目214：交通运输支出4,319,936.36元，占全年支出83.51%，同比去年支出5,277,442.47元减少957,506.11元，同比-22.16%，因为农村公路维修工程减少，所以有所减少。</w:t>
      </w:r>
    </w:p>
    <w:p w14:paraId="6F50D4AC">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20" w:lineRule="exact"/>
        <w:ind w:left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4功能分类科目221：住房住处保障支出221,888.00元，占全年支出4.29%，同比去年支出218,268.00元，增加3,620.00元，同比增长1.63%，因为工资增长，所以有所增长。</w:t>
      </w:r>
    </w:p>
    <w:p w14:paraId="6C132FAF">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20" w:lineRule="exact"/>
        <w:ind w:leftChars="200"/>
        <w:textAlignment w:val="auto"/>
        <w:rPr>
          <w:rFonts w:hint="default" w:ascii="宋体" w:hAnsi="宋体" w:eastAsia="宋体" w:cs="宋体"/>
          <w:sz w:val="28"/>
          <w:szCs w:val="28"/>
          <w:highlight w:val="none"/>
          <w:lang w:val="en-US" w:eastAsia="zh-CN"/>
        </w:rPr>
      </w:pPr>
    </w:p>
    <w:p w14:paraId="2DEBC1DB">
      <w:pPr>
        <w:numPr>
          <w:ilvl w:val="0"/>
          <w:numId w:val="3"/>
        </w:numPr>
        <w:snapToGrid w:val="0"/>
        <w:spacing w:line="520" w:lineRule="exact"/>
        <w:ind w:left="0" w:leftChars="0"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财政拨款收入、支出分析。</w:t>
      </w:r>
    </w:p>
    <w:p w14:paraId="44E28F1B">
      <w:pPr>
        <w:numPr>
          <w:ilvl w:val="0"/>
          <w:numId w:val="0"/>
        </w:numPr>
        <w:snapToGrid w:val="0"/>
        <w:spacing w:line="520" w:lineRule="exact"/>
        <w:ind w:leftChars="200"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1本年收入5,173,136.90元，上年收入5,847,110.44元，同比减少673,973.54元，同比减少88.47%。</w:t>
      </w:r>
    </w:p>
    <w:p w14:paraId="0D821CE6">
      <w:pPr>
        <w:numPr>
          <w:ilvl w:val="0"/>
          <w:numId w:val="0"/>
        </w:numPr>
        <w:snapToGrid w:val="0"/>
        <w:spacing w:line="520" w:lineRule="exact"/>
        <w:ind w:leftChars="200"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2本年支出5,173,136.90元，上年支出5,847,110.44元，同比减少673,973.54元，同比减少88.47%</w:t>
      </w:r>
    </w:p>
    <w:p w14:paraId="30675867">
      <w:pPr>
        <w:numPr>
          <w:ilvl w:val="0"/>
          <w:numId w:val="0"/>
        </w:numPr>
        <w:tabs>
          <w:tab w:val="left" w:pos="0"/>
        </w:tabs>
        <w:snapToGrid w:val="0"/>
        <w:spacing w:line="520" w:lineRule="exact"/>
        <w:ind w:left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收入减少的原因是工程款收入减少，支出减少的原因是职工经费大幅压缩。</w:t>
      </w:r>
    </w:p>
    <w:p w14:paraId="4BB28889">
      <w:pPr>
        <w:snapToGrid w:val="0"/>
        <w:spacing w:line="520" w:lineRule="exact"/>
        <w:ind w:firstLine="643" w:firstLineChars="200"/>
        <w:rPr>
          <w:rFonts w:hint="eastAsia" w:ascii="仿宋_GB2312" w:hAnsi="仿宋" w:eastAsia="仿宋_GB2312"/>
          <w:b/>
          <w:sz w:val="32"/>
          <w:szCs w:val="32"/>
          <w:highlight w:val="none"/>
          <w:lang w:eastAsia="zh-CN"/>
        </w:rPr>
      </w:pP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.非财政拨款收入、支出分析。</w:t>
      </w:r>
    </w:p>
    <w:p w14:paraId="29A48482">
      <w:p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本单位没有</w:t>
      </w:r>
      <w:r>
        <w:rPr>
          <w:rFonts w:hint="eastAsia" w:ascii="仿宋" w:hAnsi="仿宋" w:eastAsia="仿宋" w:cs="仿宋"/>
          <w:sz w:val="32"/>
          <w:szCs w:val="32"/>
          <w:highlight w:val="none"/>
        </w:rPr>
        <w:t>非财政拨款收入</w:t>
      </w:r>
      <w:r>
        <w:rPr>
          <w:rFonts w:hint="eastAsia" w:ascii="仿宋" w:hAnsi="仿宋" w:eastAsia="仿宋" w:cs="仿宋"/>
          <w:b w:val="0"/>
          <w:bCs/>
          <w:sz w:val="32"/>
          <w:szCs w:val="32"/>
          <w:highlight w:val="none"/>
        </w:rPr>
        <w:t>、支出</w:t>
      </w:r>
      <w:r>
        <w:rPr>
          <w:rFonts w:hint="eastAsia" w:ascii="仿宋" w:hAnsi="仿宋" w:eastAsia="仿宋" w:cs="仿宋"/>
          <w:sz w:val="32"/>
          <w:szCs w:val="32"/>
          <w:highlight w:val="none"/>
        </w:rPr>
        <w:t>情况</w:t>
      </w:r>
      <w:r>
        <w:rPr>
          <w:rFonts w:hint="eastAsia" w:ascii="仿宋" w:hAnsi="仿宋" w:eastAsia="仿宋" w:cs="仿宋"/>
          <w:sz w:val="32"/>
          <w:szCs w:val="32"/>
          <w:highlight w:val="none"/>
          <w:lang w:eastAsia="zh-CN"/>
        </w:rPr>
        <w:t>。</w:t>
      </w:r>
    </w:p>
    <w:p w14:paraId="315850B5">
      <w:pPr>
        <w:snapToGrid w:val="0"/>
        <w:spacing w:line="520" w:lineRule="exact"/>
        <w:ind w:firstLine="643" w:firstLineChars="200"/>
        <w:outlineLvl w:val="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（三）年末结转和结余情况。</w:t>
      </w:r>
    </w:p>
    <w:p w14:paraId="51DD0EF3">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1、财政拨款结转和结余</w:t>
      </w:r>
    </w:p>
    <w:p w14:paraId="39DD56EC">
      <w:pPr>
        <w:numPr>
          <w:ilvl w:val="0"/>
          <w:numId w:val="0"/>
        </w:num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部门决算主表</w:t>
      </w:r>
      <w:r>
        <w:rPr>
          <w:rFonts w:hint="eastAsia" w:ascii="仿宋" w:hAnsi="仿宋" w:eastAsia="仿宋" w:cs="仿宋"/>
          <w:sz w:val="32"/>
          <w:szCs w:val="32"/>
          <w:highlight w:val="none"/>
        </w:rPr>
        <w:t>报表项目</w:t>
      </w:r>
      <w:r>
        <w:rPr>
          <w:rFonts w:hint="eastAsia" w:ascii="仿宋" w:hAnsi="仿宋" w:eastAsia="仿宋" w:cs="仿宋"/>
          <w:sz w:val="32"/>
          <w:szCs w:val="32"/>
          <w:highlight w:val="none"/>
          <w:lang w:eastAsia="zh-CN"/>
        </w:rPr>
        <w:t>中</w:t>
      </w:r>
      <w:r>
        <w:rPr>
          <w:rFonts w:hint="eastAsia" w:ascii="仿宋" w:hAnsi="仿宋" w:eastAsia="仿宋" w:cs="仿宋"/>
          <w:sz w:val="32"/>
          <w:szCs w:val="32"/>
          <w:highlight w:val="none"/>
        </w:rPr>
        <w:t>财政拨款结转结余</w:t>
      </w:r>
      <w:r>
        <w:rPr>
          <w:rFonts w:hint="eastAsia" w:ascii="仿宋" w:hAnsi="仿宋" w:eastAsia="仿宋" w:cs="仿宋"/>
          <w:sz w:val="32"/>
          <w:szCs w:val="32"/>
          <w:highlight w:val="none"/>
          <w:lang w:val="en-US" w:eastAsia="zh-CN"/>
        </w:rPr>
        <w:t>0元。</w:t>
      </w:r>
    </w:p>
    <w:p w14:paraId="029D9A73">
      <w:pPr>
        <w:numPr>
          <w:ilvl w:val="0"/>
          <w:numId w:val="0"/>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（2）非财政拨款结转和结余0元。</w:t>
      </w:r>
    </w:p>
    <w:p w14:paraId="6B87D3C7">
      <w:pPr>
        <w:numPr>
          <w:ilvl w:val="0"/>
          <w:numId w:val="0"/>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本单位没有非财政拨款的结余。</w:t>
      </w:r>
    </w:p>
    <w:bookmarkEnd w:id="1"/>
    <w:p w14:paraId="6E6618CD">
      <w:pPr>
        <w:snapToGrid w:val="0"/>
        <w:spacing w:line="520" w:lineRule="exact"/>
        <w:ind w:firstLine="643" w:firstLineChars="200"/>
        <w:outlineLvl w:val="0"/>
        <w:rPr>
          <w:rFonts w:hint="eastAsia" w:ascii="楷体_GB2312" w:hAnsi="仿宋" w:eastAsia="楷体_GB2312"/>
          <w:b/>
          <w:dstrike w:val="0"/>
          <w:sz w:val="32"/>
          <w:szCs w:val="32"/>
          <w:highlight w:val="none"/>
        </w:rPr>
      </w:pPr>
      <w:bookmarkStart w:id="4" w:name="YS060103"/>
      <w:r>
        <w:rPr>
          <w:rFonts w:hint="eastAsia" w:ascii="楷体_GB2312" w:hAnsi="仿宋" w:eastAsia="楷体_GB2312"/>
          <w:b/>
          <w:dstrike w:val="0"/>
          <w:sz w:val="32"/>
          <w:szCs w:val="32"/>
          <w:highlight w:val="none"/>
        </w:rPr>
        <w:t>（四）与预算支出相关的其他指标分析。</w:t>
      </w:r>
    </w:p>
    <w:p w14:paraId="6C99B9A5">
      <w:pPr>
        <w:snapToGrid w:val="0"/>
        <w:spacing w:line="520" w:lineRule="exact"/>
        <w:ind w:firstLine="640" w:firstLineChars="200"/>
        <w:rPr>
          <w:rFonts w:hint="eastAsia" w:ascii="仿宋" w:hAnsi="仿宋" w:eastAsia="仿宋" w:cs="仿宋"/>
          <w:dstrike w:val="0"/>
          <w:sz w:val="32"/>
          <w:szCs w:val="32"/>
          <w:highlight w:val="none"/>
          <w:lang w:val="en-US" w:eastAsia="zh-CN"/>
        </w:rPr>
      </w:pPr>
      <w:r>
        <w:rPr>
          <w:rFonts w:hint="eastAsia" w:ascii="仿宋" w:hAnsi="仿宋" w:eastAsia="仿宋" w:cs="仿宋"/>
          <w:dstrike w:val="0"/>
          <w:sz w:val="32"/>
          <w:szCs w:val="32"/>
          <w:highlight w:val="none"/>
          <w:lang w:val="en-US" w:eastAsia="zh-CN"/>
        </w:rPr>
        <w:t>资产情况：单位新增一台车辆。</w:t>
      </w:r>
    </w:p>
    <w:p w14:paraId="2650999E">
      <w:pPr>
        <w:snapToGrid w:val="0"/>
        <w:spacing w:line="520" w:lineRule="exact"/>
        <w:ind w:firstLine="640" w:firstLineChars="200"/>
        <w:rPr>
          <w:rFonts w:hint="eastAsia" w:ascii="仿宋" w:hAnsi="仿宋" w:eastAsia="仿宋" w:cs="仿宋"/>
          <w:dstrike w:val="0"/>
          <w:sz w:val="32"/>
          <w:szCs w:val="32"/>
          <w:highlight w:val="none"/>
          <w:lang w:val="en-US" w:eastAsia="zh-CN"/>
        </w:rPr>
      </w:pPr>
      <w:r>
        <w:rPr>
          <w:rFonts w:hint="eastAsia" w:ascii="仿宋" w:hAnsi="仿宋" w:eastAsia="仿宋" w:cs="仿宋"/>
          <w:dstrike w:val="0"/>
          <w:sz w:val="32"/>
          <w:szCs w:val="32"/>
          <w:highlight w:val="none"/>
          <w:lang w:eastAsia="zh-CN"/>
        </w:rPr>
        <w:t>机构人员：</w:t>
      </w:r>
      <w:r>
        <w:rPr>
          <w:rFonts w:hint="eastAsia" w:ascii="仿宋" w:hAnsi="仿宋" w:eastAsia="仿宋" w:cs="仿宋"/>
          <w:dstrike w:val="0"/>
          <w:sz w:val="32"/>
          <w:szCs w:val="32"/>
          <w:highlight w:val="none"/>
          <w:lang w:val="en-US" w:eastAsia="zh-CN"/>
        </w:rPr>
        <w:t>新增一位退休人员。</w:t>
      </w:r>
    </w:p>
    <w:p w14:paraId="38157F49">
      <w:pPr>
        <w:snapToGrid w:val="0"/>
        <w:spacing w:line="520" w:lineRule="exact"/>
        <w:ind w:firstLine="640" w:firstLineChars="200"/>
        <w:rPr>
          <w:rFonts w:hint="eastAsia" w:ascii="仿宋" w:hAnsi="仿宋" w:eastAsia="仿宋" w:cs="仿宋"/>
          <w:dstrike w:val="0"/>
          <w:sz w:val="32"/>
          <w:szCs w:val="32"/>
          <w:highlight w:val="none"/>
          <w:lang w:eastAsia="zh-CN"/>
        </w:rPr>
      </w:pPr>
      <w:r>
        <w:rPr>
          <w:rFonts w:hint="eastAsia" w:ascii="仿宋" w:hAnsi="仿宋" w:eastAsia="仿宋" w:cs="仿宋"/>
          <w:dstrike w:val="0"/>
          <w:sz w:val="32"/>
          <w:szCs w:val="32"/>
          <w:highlight w:val="none"/>
          <w:lang w:val="en-US" w:eastAsia="zh-CN"/>
        </w:rPr>
        <w:t>单位没有</w:t>
      </w:r>
      <w:r>
        <w:rPr>
          <w:rFonts w:hint="eastAsia" w:ascii="仿宋" w:hAnsi="仿宋" w:eastAsia="仿宋" w:cs="仿宋"/>
          <w:dstrike w:val="0"/>
          <w:sz w:val="32"/>
          <w:szCs w:val="32"/>
          <w:highlight w:val="none"/>
          <w:lang w:eastAsia="zh-CN"/>
        </w:rPr>
        <w:t>非税收入。</w:t>
      </w:r>
    </w:p>
    <w:p w14:paraId="0FC8E866">
      <w:pPr>
        <w:snapToGrid w:val="0"/>
        <w:spacing w:line="520" w:lineRule="exact"/>
        <w:ind w:firstLine="640" w:firstLineChars="200"/>
        <w:rPr>
          <w:rFonts w:hint="default" w:ascii="仿宋_GB2312" w:hAnsi="仿宋" w:eastAsia="仿宋_GB2312"/>
          <w:dstrike w:val="0"/>
          <w:sz w:val="32"/>
          <w:szCs w:val="32"/>
          <w:highlight w:val="none"/>
          <w:lang w:val="en-US" w:eastAsia="zh-CN"/>
        </w:rPr>
      </w:pPr>
      <w:r>
        <w:rPr>
          <w:rFonts w:hint="eastAsia" w:ascii="仿宋" w:hAnsi="仿宋" w:eastAsia="仿宋" w:cs="仿宋"/>
          <w:dstrike w:val="0"/>
          <w:sz w:val="32"/>
          <w:szCs w:val="32"/>
          <w:highlight w:val="none"/>
          <w:lang w:val="en-US" w:eastAsia="zh-CN"/>
        </w:rPr>
        <w:t>新增车辆是因为单位工作需要。</w:t>
      </w:r>
    </w:p>
    <w:p w14:paraId="14989337">
      <w:pPr>
        <w:snapToGrid w:val="0"/>
        <w:spacing w:line="520" w:lineRule="exact"/>
        <w:ind w:firstLine="643" w:firstLineChars="200"/>
        <w:outlineLvl w:val="0"/>
        <w:rPr>
          <w:rFonts w:ascii="楷体_GB2312" w:hAnsi="仿宋" w:eastAsia="楷体_GB2312"/>
          <w:b/>
          <w:sz w:val="32"/>
          <w:szCs w:val="32"/>
          <w:highlight w:val="none"/>
        </w:rPr>
      </w:pPr>
      <w:r>
        <w:rPr>
          <w:rFonts w:hint="eastAsia" w:ascii="楷体_GB2312" w:hAnsi="仿宋" w:eastAsia="楷体_GB2312"/>
          <w:b/>
          <w:dstrike w:val="0"/>
          <w:sz w:val="32"/>
          <w:szCs w:val="32"/>
          <w:highlight w:val="none"/>
        </w:rPr>
        <w:t>（五）</w:t>
      </w:r>
      <w:r>
        <w:rPr>
          <w:rFonts w:hint="eastAsia" w:ascii="楷体_GB2312" w:hAnsi="仿宋" w:eastAsia="楷体_GB2312"/>
          <w:b/>
          <w:sz w:val="32"/>
          <w:szCs w:val="32"/>
          <w:highlight w:val="none"/>
        </w:rPr>
        <w:t>绩效目标完成情况。</w:t>
      </w:r>
    </w:p>
    <w:p w14:paraId="2F330FBF">
      <w:p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1.概述项目绩效目标完成情况。</w:t>
      </w:r>
    </w:p>
    <w:p w14:paraId="3806CDDD">
      <w:p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项目绩效完成100%。</w:t>
      </w:r>
    </w:p>
    <w:p w14:paraId="5195E776">
      <w:pPr>
        <w:numPr>
          <w:ilvl w:val="0"/>
          <w:numId w:val="0"/>
        </w:num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概述本单位整体支出绩效目标实现情况。</w:t>
      </w:r>
    </w:p>
    <w:p w14:paraId="63EE7DD2">
      <w:pPr>
        <w:numPr>
          <w:ilvl w:val="0"/>
          <w:numId w:val="0"/>
        </w:num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整体绩效完成100%。</w:t>
      </w:r>
    </w:p>
    <w:p w14:paraId="7A3DA0AB">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dstrike w:val="0"/>
          <w:sz w:val="32"/>
          <w:szCs w:val="32"/>
          <w:highlight w:val="none"/>
        </w:rPr>
        <w:t>（六）</w:t>
      </w:r>
      <w:r>
        <w:rPr>
          <w:rFonts w:hint="eastAsia" w:ascii="楷体_GB2312" w:hAnsi="仿宋" w:eastAsia="楷体_GB2312"/>
          <w:b/>
          <w:sz w:val="32"/>
          <w:szCs w:val="32"/>
          <w:highlight w:val="none"/>
        </w:rPr>
        <w:t>当年预算执行及绩效管理中存在问题、原因及改进措施。</w:t>
      </w:r>
    </w:p>
    <w:p w14:paraId="19882D22">
      <w:pPr>
        <w:snapToGrid w:val="0"/>
        <w:spacing w:line="520" w:lineRule="exact"/>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当年预算执行及绩效管理中不存在问题。</w:t>
      </w:r>
    </w:p>
    <w:bookmarkEnd w:id="4"/>
    <w:p w14:paraId="3926B273">
      <w:pPr>
        <w:snapToGrid w:val="0"/>
        <w:spacing w:line="520" w:lineRule="exact"/>
        <w:rPr>
          <w:rFonts w:hint="eastAsia" w:ascii="黑体" w:hAnsi="黑体" w:eastAsia="黑体"/>
          <w:sz w:val="32"/>
          <w:szCs w:val="32"/>
          <w:highlight w:val="none"/>
        </w:rPr>
      </w:pPr>
      <w:bookmarkStart w:id="5" w:name="YS060104"/>
      <w:r>
        <w:rPr>
          <w:rFonts w:hint="eastAsia" w:ascii="黑体" w:hAnsi="黑体" w:eastAsia="黑体"/>
          <w:sz w:val="32"/>
          <w:szCs w:val="32"/>
          <w:highlight w:val="none"/>
        </w:rPr>
        <w:t>三、本年度部门决算等财务工作开展情况</w:t>
      </w:r>
    </w:p>
    <w:bookmarkEnd w:id="5"/>
    <w:p w14:paraId="70C1FDDD">
      <w:p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（一）本单位财务管理、绩效管理、决算组织、编报、审核情况。</w:t>
      </w:r>
    </w:p>
    <w:p w14:paraId="4F04A60F">
      <w:pPr>
        <w:snapToGrid w:val="0"/>
        <w:spacing w:line="52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本单位财务管理、绩效管理、决算组织、编报、审核</w:t>
      </w:r>
      <w:r>
        <w:rPr>
          <w:rFonts w:hint="eastAsia" w:ascii="仿宋" w:hAnsi="仿宋" w:eastAsia="仿宋" w:cs="仿宋"/>
          <w:sz w:val="32"/>
          <w:szCs w:val="32"/>
          <w:highlight w:val="none"/>
          <w:lang w:val="en-US" w:eastAsia="zh-CN"/>
        </w:rPr>
        <w:t>全部按时准确完成。</w:t>
      </w:r>
    </w:p>
    <w:p w14:paraId="19613186">
      <w:pPr>
        <w:numPr>
          <w:ilvl w:val="0"/>
          <w:numId w:val="0"/>
        </w:numPr>
        <w:snapToGrid w:val="0"/>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本单位决算及绩效信息公开工作开展情况。</w:t>
      </w:r>
    </w:p>
    <w:p w14:paraId="5385D73C">
      <w:pPr>
        <w:numPr>
          <w:ilvl w:val="0"/>
          <w:numId w:val="0"/>
        </w:numPr>
        <w:snapToGrid w:val="0"/>
        <w:spacing w:line="52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本单位决算及绩效信息都完成公开。</w:t>
      </w:r>
    </w:p>
    <w:p w14:paraId="22914297">
      <w:pPr>
        <w:snapToGrid w:val="0"/>
        <w:spacing w:line="580" w:lineRule="exact"/>
        <w:ind w:firstLine="640" w:firstLineChars="200"/>
        <w:rPr>
          <w:rFonts w:hint="eastAsia" w:ascii="仿宋" w:hAnsi="仿宋" w:eastAsia="仿宋" w:cs="仿宋"/>
          <w:b/>
          <w:sz w:val="32"/>
          <w:szCs w:val="32"/>
          <w:highlight w:val="none"/>
        </w:rPr>
      </w:pPr>
      <w:r>
        <w:rPr>
          <w:rFonts w:hint="eastAsia" w:ascii="仿宋" w:hAnsi="仿宋" w:eastAsia="仿宋" w:cs="仿宋"/>
          <w:sz w:val="32"/>
          <w:szCs w:val="32"/>
          <w:highlight w:val="none"/>
        </w:rPr>
        <w:t>（三）对部门决算管理工作的意见和建议。</w:t>
      </w:r>
    </w:p>
    <w:p w14:paraId="42CAA941">
      <w:pPr>
        <w:snapToGrid w:val="0"/>
        <w:jc w:val="both"/>
        <w:rPr>
          <w:rFonts w:hint="eastAsia" w:ascii="仿宋" w:hAnsi="仿宋" w:eastAsia="仿宋" w:cs="仿宋"/>
          <w:sz w:val="32"/>
          <w:szCs w:val="32"/>
          <w:highlight w:val="none"/>
          <w:lang w:val="en-US" w:eastAsia="zh-CN"/>
        </w:rPr>
      </w:pPr>
      <w:bookmarkStart w:id="6" w:name="YS060200"/>
      <w:r>
        <w:rPr>
          <w:rFonts w:hint="eastAsia" w:ascii="仿宋" w:hAnsi="仿宋" w:eastAsia="仿宋" w:cs="仿宋"/>
          <w:sz w:val="32"/>
          <w:szCs w:val="32"/>
          <w:highlight w:val="none"/>
          <w:lang w:val="en-US" w:eastAsia="zh-CN"/>
        </w:rPr>
        <w:t>本年度对决算管理工作没有意见和建议。</w:t>
      </w:r>
    </w:p>
    <w:p w14:paraId="570815C1">
      <w:pPr>
        <w:snapToGrid w:val="0"/>
        <w:ind w:firstLine="640" w:firstLineChars="200"/>
        <w:jc w:val="center"/>
        <w:rPr>
          <w:rFonts w:hint="eastAsia" w:ascii="华文中宋" w:hAnsi="华文中宋" w:eastAsia="华文中宋"/>
          <w:sz w:val="32"/>
          <w:szCs w:val="32"/>
          <w:highlight w:val="none"/>
        </w:rPr>
      </w:pPr>
      <w:r>
        <w:rPr>
          <w:rFonts w:hint="eastAsia" w:ascii="华文中宋" w:hAnsi="华文中宋" w:eastAsia="华文中宋"/>
          <w:sz w:val="32"/>
          <w:szCs w:val="32"/>
          <w:highlight w:val="none"/>
        </w:rPr>
        <w:t>行政事业单位财务分析指标</w:t>
      </w:r>
    </w:p>
    <w:bookmarkEnd w:id="6"/>
    <w:p w14:paraId="3E641A45">
      <w:pPr>
        <w:snapToGrid w:val="0"/>
        <w:ind w:firstLine="640" w:firstLineChars="200"/>
        <w:rPr>
          <w:rFonts w:hint="eastAsia" w:ascii="仿宋_GB2312" w:hAnsi="仿宋" w:eastAsia="仿宋_GB2312"/>
          <w:sz w:val="32"/>
          <w:szCs w:val="32"/>
          <w:highlight w:val="none"/>
        </w:rPr>
      </w:pPr>
    </w:p>
    <w:p w14:paraId="3C33B49B">
      <w:pPr>
        <w:snapToGrid w:val="0"/>
        <w:rPr>
          <w:rFonts w:hint="eastAsia" w:ascii="黑体" w:hAnsi="黑体" w:eastAsia="黑体"/>
          <w:sz w:val="32"/>
          <w:szCs w:val="32"/>
          <w:highlight w:val="none"/>
        </w:rPr>
      </w:pPr>
      <w:bookmarkStart w:id="7" w:name="YS060201"/>
      <w:r>
        <w:rPr>
          <w:rFonts w:hint="eastAsia" w:ascii="黑体" w:hAnsi="黑体" w:eastAsia="黑体"/>
          <w:sz w:val="32"/>
          <w:szCs w:val="32"/>
          <w:highlight w:val="none"/>
        </w:rPr>
        <w:t>一、行政单位财务分析指标</w:t>
      </w:r>
    </w:p>
    <w:bookmarkEnd w:id="7"/>
    <w:p w14:paraId="10717ACA">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支出增长率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-0.115%。</w:t>
      </w:r>
    </w:p>
    <w:p w14:paraId="6D4678BB">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当年预算支出完成率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p>
    <w:p w14:paraId="6899BA88">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人均开支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235，142.59元。</w:t>
      </w:r>
    </w:p>
    <w:p w14:paraId="047B0C54">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项目支出比率</w:t>
      </w:r>
      <w:r>
        <w:rPr>
          <w:rFonts w:hint="eastAsia" w:ascii="仿宋" w:hAnsi="仿宋" w:eastAsia="仿宋" w:cs="仿宋"/>
          <w:sz w:val="32"/>
          <w:szCs w:val="32"/>
          <w:highlight w:val="none"/>
          <w:lang w:val="en-US" w:eastAsia="zh-CN"/>
        </w:rPr>
        <w:t>1。</w:t>
      </w:r>
    </w:p>
    <w:p w14:paraId="3C40A1C2">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人员支出比率</w:t>
      </w:r>
      <w:r>
        <w:rPr>
          <w:rFonts w:hint="eastAsia" w:ascii="仿宋" w:hAnsi="仿宋" w:eastAsia="仿宋" w:cs="仿宋"/>
          <w:sz w:val="32"/>
          <w:szCs w:val="32"/>
          <w:highlight w:val="none"/>
          <w:lang w:val="en-US" w:eastAsia="zh-CN"/>
        </w:rPr>
        <w:t>:1。</w:t>
      </w:r>
    </w:p>
    <w:p w14:paraId="0F05449F">
      <w:pPr>
        <w:snapToGrid w:val="0"/>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人车比例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7.33。</w:t>
      </w:r>
    </w:p>
    <w:p w14:paraId="4F883D69">
      <w:pPr>
        <w:snapToGrid w:val="0"/>
        <w:rPr>
          <w:rFonts w:hint="eastAsia" w:ascii="黑体" w:hAnsi="黑体" w:eastAsia="黑体"/>
          <w:sz w:val="32"/>
          <w:szCs w:val="32"/>
          <w:highlight w:val="none"/>
        </w:rPr>
      </w:pPr>
      <w:bookmarkStart w:id="8" w:name="YS060202"/>
      <w:bookmarkStart w:id="9" w:name="_GoBack"/>
      <w:bookmarkEnd w:id="9"/>
      <w:r>
        <w:rPr>
          <w:rFonts w:hint="eastAsia" w:ascii="黑体" w:hAnsi="黑体" w:eastAsia="黑体"/>
          <w:sz w:val="32"/>
          <w:szCs w:val="32"/>
          <w:highlight w:val="none"/>
        </w:rPr>
        <w:t>二、事业单位财务分析指标</w:t>
      </w:r>
    </w:p>
    <w:bookmarkEnd w:id="8"/>
    <w:p w14:paraId="20B60DBD">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预算收入完成率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p>
    <w:p w14:paraId="35475617">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预算支出完成率</w:t>
      </w:r>
      <w:r>
        <w:rPr>
          <w:rFonts w:hint="eastAsia" w:ascii="仿宋" w:hAnsi="仿宋" w:eastAsia="仿宋" w:cs="仿宋"/>
          <w:sz w:val="32"/>
          <w:szCs w:val="32"/>
          <w:highlight w:val="none"/>
          <w:lang w:val="en-US" w:eastAsia="zh-CN"/>
        </w:rPr>
        <w:t>:1。</w:t>
      </w:r>
    </w:p>
    <w:p w14:paraId="63245A40">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人员支出比率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56.67%</w:t>
      </w:r>
    </w:p>
    <w:p w14:paraId="2C2559B9">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公用支出比率＝</w:t>
      </w:r>
      <w:r>
        <w:rPr>
          <w:rFonts w:hint="eastAsia" w:ascii="仿宋" w:hAnsi="仿宋" w:eastAsia="仿宋" w:cs="仿宋"/>
          <w:sz w:val="32"/>
          <w:szCs w:val="32"/>
          <w:highlight w:val="none"/>
          <w:lang w:val="en-US" w:eastAsia="zh-CN"/>
        </w:rPr>
        <w:t>1</w:t>
      </w:r>
    </w:p>
    <w:p w14:paraId="0E4CE410">
      <w:pPr>
        <w:snapToGrid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人均基本支出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132.962.27元</w:t>
      </w:r>
    </w:p>
    <w:p w14:paraId="7793CEA6">
      <w:pPr>
        <w:snapToGrid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此外，行业事业单位还可根据相关财务制度规定和分析需要增加相关分析指标，如：</w:t>
      </w:r>
    </w:p>
    <w:p w14:paraId="7D9150BD">
      <w:pPr>
        <w:ind w:firstLine="707" w:firstLineChars="221"/>
        <w:rPr>
          <w:rFonts w:hint="eastAsia" w:ascii="仿宋" w:hAnsi="仿宋" w:eastAsia="仿宋" w:cs="仿宋"/>
          <w:sz w:val="32"/>
          <w:szCs w:val="32"/>
          <w:highlight w:val="none"/>
        </w:rPr>
      </w:pPr>
      <w:r>
        <w:rPr>
          <w:rFonts w:hint="eastAsia" w:ascii="仿宋" w:hAnsi="仿宋" w:eastAsia="仿宋" w:cs="仿宋"/>
          <w:sz w:val="32"/>
          <w:szCs w:val="32"/>
          <w:highlight w:val="none"/>
        </w:rPr>
        <w:t>1.财政拨款依存度, 衡量部门（单位）对财政拨款的依赖程度。</w:t>
      </w:r>
    </w:p>
    <w:p w14:paraId="088D8858">
      <w:pPr>
        <w:widowControl/>
        <w:ind w:firstLine="640" w:firstLineChars="200"/>
        <w:textAlignment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财政拨款依存度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100%</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9AF012-DA8C-4D46-8669-D8707B8C8689}"/>
  </w:font>
  <w:font w:name="黑体">
    <w:panose1 w:val="02010609060101010101"/>
    <w:charset w:val="86"/>
    <w:family w:val="auto"/>
    <w:pitch w:val="default"/>
    <w:sig w:usb0="800002BF" w:usb1="38CF7CFA" w:usb2="00000016" w:usb3="00000000" w:csb0="00040001" w:csb1="00000000"/>
    <w:embedRegular r:id="rId2" w:fontKey="{2C2584E0-25D6-4D7E-81FE-281197E6D5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4AFFC5EC-AA44-4860-9B73-B6B947601127}"/>
  </w:font>
  <w:font w:name="仿宋_GB2312">
    <w:altName w:val="仿宋"/>
    <w:panose1 w:val="02010609030101010101"/>
    <w:charset w:val="86"/>
    <w:family w:val="modern"/>
    <w:pitch w:val="default"/>
    <w:sig w:usb0="00000000" w:usb1="00000000" w:usb2="00000000" w:usb3="00000000" w:csb0="00040000" w:csb1="00000000"/>
    <w:embedRegular r:id="rId4" w:fontKey="{C1A558C1-1692-4322-93FE-38B46D5986D7}"/>
  </w:font>
  <w:font w:name="仿宋">
    <w:panose1 w:val="02010609060101010101"/>
    <w:charset w:val="86"/>
    <w:family w:val="modern"/>
    <w:pitch w:val="default"/>
    <w:sig w:usb0="800002BF" w:usb1="38CF7CFA" w:usb2="00000016" w:usb3="00000000" w:csb0="00040001" w:csb1="00000000"/>
    <w:embedRegular r:id="rId5" w:fontKey="{0653D26F-33D4-490F-842F-34D899EA4FEF}"/>
  </w:font>
  <w:font w:name="楷体_GB2312">
    <w:altName w:val="楷体"/>
    <w:panose1 w:val="02010609030101010101"/>
    <w:charset w:val="86"/>
    <w:family w:val="modern"/>
    <w:pitch w:val="default"/>
    <w:sig w:usb0="00000000" w:usb1="00000000" w:usb2="00000000" w:usb3="00000000" w:csb0="00040000" w:csb1="00000000"/>
    <w:embedRegular r:id="rId6" w:fontKey="{5397B383-921A-4C24-B4A6-4D9E488F7C61}"/>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DD464EC8-E9EF-4772-9A03-3060ECE038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9A7A">
    <w:pPr>
      <w:pStyle w:val="5"/>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14:paraId="7FAC72E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16EE2"/>
    <w:multiLevelType w:val="singleLevel"/>
    <w:tmpl w:val="C3116EE2"/>
    <w:lvl w:ilvl="0" w:tentative="0">
      <w:start w:val="2"/>
      <w:numFmt w:val="decimal"/>
      <w:suff w:val="nothing"/>
      <w:lvlText w:val="%1．"/>
      <w:lvlJc w:val="left"/>
    </w:lvl>
  </w:abstractNum>
  <w:abstractNum w:abstractNumId="1">
    <w:nsid w:val="EFFC8AAD"/>
    <w:multiLevelType w:val="singleLevel"/>
    <w:tmpl w:val="EFFC8AAD"/>
    <w:lvl w:ilvl="0" w:tentative="0">
      <w:start w:val="4"/>
      <w:numFmt w:val="decimal"/>
      <w:suff w:val="nothing"/>
      <w:lvlText w:val="%1."/>
      <w:lvlJc w:val="left"/>
      <w:pPr>
        <w:tabs>
          <w:tab w:val="left" w:pos="0"/>
        </w:tabs>
      </w:pPr>
    </w:lvl>
  </w:abstractNum>
  <w:abstractNum w:abstractNumId="2">
    <w:nsid w:val="FC3CE776"/>
    <w:multiLevelType w:val="singleLevel"/>
    <w:tmpl w:val="FC3CE77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6B"/>
    <w:rsid w:val="00002EA9"/>
    <w:rsid w:val="00034F1F"/>
    <w:rsid w:val="00060783"/>
    <w:rsid w:val="00061F81"/>
    <w:rsid w:val="00062490"/>
    <w:rsid w:val="00075EF6"/>
    <w:rsid w:val="000858E2"/>
    <w:rsid w:val="000C5EB4"/>
    <w:rsid w:val="000D2068"/>
    <w:rsid w:val="00101419"/>
    <w:rsid w:val="0012590A"/>
    <w:rsid w:val="001923BE"/>
    <w:rsid w:val="00195093"/>
    <w:rsid w:val="001A1581"/>
    <w:rsid w:val="001B227F"/>
    <w:rsid w:val="0020035B"/>
    <w:rsid w:val="0021589F"/>
    <w:rsid w:val="002303E5"/>
    <w:rsid w:val="00235A94"/>
    <w:rsid w:val="0024226F"/>
    <w:rsid w:val="002640A8"/>
    <w:rsid w:val="00267D86"/>
    <w:rsid w:val="00271903"/>
    <w:rsid w:val="00277A3A"/>
    <w:rsid w:val="00281E96"/>
    <w:rsid w:val="002854AE"/>
    <w:rsid w:val="002916EC"/>
    <w:rsid w:val="00293C33"/>
    <w:rsid w:val="002B0409"/>
    <w:rsid w:val="002B5E76"/>
    <w:rsid w:val="002C4D4C"/>
    <w:rsid w:val="002D6392"/>
    <w:rsid w:val="002E4FB7"/>
    <w:rsid w:val="00310AAB"/>
    <w:rsid w:val="00317C02"/>
    <w:rsid w:val="00337BB1"/>
    <w:rsid w:val="003C429A"/>
    <w:rsid w:val="003D2019"/>
    <w:rsid w:val="003E1AAC"/>
    <w:rsid w:val="003F2441"/>
    <w:rsid w:val="004135C7"/>
    <w:rsid w:val="00417985"/>
    <w:rsid w:val="00422C08"/>
    <w:rsid w:val="00425516"/>
    <w:rsid w:val="00445EFD"/>
    <w:rsid w:val="00450F65"/>
    <w:rsid w:val="00473DC3"/>
    <w:rsid w:val="0048423D"/>
    <w:rsid w:val="004A516D"/>
    <w:rsid w:val="004D3022"/>
    <w:rsid w:val="004D73C5"/>
    <w:rsid w:val="0050254C"/>
    <w:rsid w:val="00526C45"/>
    <w:rsid w:val="00532B71"/>
    <w:rsid w:val="005433E6"/>
    <w:rsid w:val="00554195"/>
    <w:rsid w:val="00556182"/>
    <w:rsid w:val="005579AB"/>
    <w:rsid w:val="00567A72"/>
    <w:rsid w:val="0058144D"/>
    <w:rsid w:val="005905E3"/>
    <w:rsid w:val="005A1C67"/>
    <w:rsid w:val="005A3D5E"/>
    <w:rsid w:val="005E3F33"/>
    <w:rsid w:val="005E4E4D"/>
    <w:rsid w:val="005F0EE9"/>
    <w:rsid w:val="006001D6"/>
    <w:rsid w:val="0064232D"/>
    <w:rsid w:val="006C5540"/>
    <w:rsid w:val="006E07A4"/>
    <w:rsid w:val="006E60B3"/>
    <w:rsid w:val="00702A60"/>
    <w:rsid w:val="00706984"/>
    <w:rsid w:val="007170E3"/>
    <w:rsid w:val="007205E7"/>
    <w:rsid w:val="00722D25"/>
    <w:rsid w:val="0073534B"/>
    <w:rsid w:val="00740B92"/>
    <w:rsid w:val="00753608"/>
    <w:rsid w:val="00755FBC"/>
    <w:rsid w:val="007A3A5D"/>
    <w:rsid w:val="007B56C0"/>
    <w:rsid w:val="007E190A"/>
    <w:rsid w:val="00827359"/>
    <w:rsid w:val="00873070"/>
    <w:rsid w:val="009020C2"/>
    <w:rsid w:val="0091134E"/>
    <w:rsid w:val="00936CDD"/>
    <w:rsid w:val="009375CC"/>
    <w:rsid w:val="009677F8"/>
    <w:rsid w:val="009906CE"/>
    <w:rsid w:val="0099463A"/>
    <w:rsid w:val="009946F2"/>
    <w:rsid w:val="009B0E44"/>
    <w:rsid w:val="00A40A62"/>
    <w:rsid w:val="00A72869"/>
    <w:rsid w:val="00AA4E58"/>
    <w:rsid w:val="00B15E47"/>
    <w:rsid w:val="00B25D13"/>
    <w:rsid w:val="00B27A04"/>
    <w:rsid w:val="00B37CE8"/>
    <w:rsid w:val="00BC2CAE"/>
    <w:rsid w:val="00C0006E"/>
    <w:rsid w:val="00C00DD7"/>
    <w:rsid w:val="00C019E2"/>
    <w:rsid w:val="00C12E4C"/>
    <w:rsid w:val="00C33B94"/>
    <w:rsid w:val="00C40858"/>
    <w:rsid w:val="00C4437E"/>
    <w:rsid w:val="00C6456D"/>
    <w:rsid w:val="00C86F58"/>
    <w:rsid w:val="00C922FC"/>
    <w:rsid w:val="00CB64BD"/>
    <w:rsid w:val="00CD1B8C"/>
    <w:rsid w:val="00D21FBC"/>
    <w:rsid w:val="00D22B6A"/>
    <w:rsid w:val="00D36C1E"/>
    <w:rsid w:val="00D5398F"/>
    <w:rsid w:val="00D8075D"/>
    <w:rsid w:val="00D8690C"/>
    <w:rsid w:val="00DE6147"/>
    <w:rsid w:val="00E247A4"/>
    <w:rsid w:val="00E5453B"/>
    <w:rsid w:val="00E65DA3"/>
    <w:rsid w:val="00E94608"/>
    <w:rsid w:val="00EB5A04"/>
    <w:rsid w:val="00EC4F2A"/>
    <w:rsid w:val="00ED69D3"/>
    <w:rsid w:val="00F9579B"/>
    <w:rsid w:val="00F961CE"/>
    <w:rsid w:val="00FE560C"/>
    <w:rsid w:val="00FF7E02"/>
    <w:rsid w:val="02680801"/>
    <w:rsid w:val="04E26BE5"/>
    <w:rsid w:val="08C34CF9"/>
    <w:rsid w:val="0A920AA8"/>
    <w:rsid w:val="0B2A78E3"/>
    <w:rsid w:val="0E2E53D2"/>
    <w:rsid w:val="0FDD776B"/>
    <w:rsid w:val="15EC6C6C"/>
    <w:rsid w:val="16983E89"/>
    <w:rsid w:val="1A23154F"/>
    <w:rsid w:val="1E5F7104"/>
    <w:rsid w:val="22B0777E"/>
    <w:rsid w:val="23E10F23"/>
    <w:rsid w:val="24C55171"/>
    <w:rsid w:val="25AC0F50"/>
    <w:rsid w:val="282956CA"/>
    <w:rsid w:val="2ADA3585"/>
    <w:rsid w:val="2C872B7A"/>
    <w:rsid w:val="2DF4A957"/>
    <w:rsid w:val="3003488D"/>
    <w:rsid w:val="33CE3E7B"/>
    <w:rsid w:val="341E6110"/>
    <w:rsid w:val="38A65953"/>
    <w:rsid w:val="3C016B94"/>
    <w:rsid w:val="40515008"/>
    <w:rsid w:val="43031194"/>
    <w:rsid w:val="44686424"/>
    <w:rsid w:val="45D901D5"/>
    <w:rsid w:val="45F4424B"/>
    <w:rsid w:val="49971F00"/>
    <w:rsid w:val="49FB7EBE"/>
    <w:rsid w:val="4C7701CD"/>
    <w:rsid w:val="4C9D0A33"/>
    <w:rsid w:val="4F314FBE"/>
    <w:rsid w:val="50EE3E7E"/>
    <w:rsid w:val="53EB406E"/>
    <w:rsid w:val="54233E4E"/>
    <w:rsid w:val="54C33B12"/>
    <w:rsid w:val="558F09C4"/>
    <w:rsid w:val="5B9F77DD"/>
    <w:rsid w:val="5C0929D2"/>
    <w:rsid w:val="6669720C"/>
    <w:rsid w:val="669F4F05"/>
    <w:rsid w:val="6C7D608C"/>
    <w:rsid w:val="6C9B22C1"/>
    <w:rsid w:val="6DA501BA"/>
    <w:rsid w:val="711041C2"/>
    <w:rsid w:val="755D0BBE"/>
    <w:rsid w:val="7717C855"/>
    <w:rsid w:val="773A11E7"/>
    <w:rsid w:val="7BF70619"/>
    <w:rsid w:val="7DF3EC3C"/>
    <w:rsid w:val="7FDF5995"/>
    <w:rsid w:val="7FDFE098"/>
    <w:rsid w:val="BF5F704B"/>
    <w:rsid w:val="BFFF9E49"/>
    <w:rsid w:val="DB7F5C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sz w:val="18"/>
      <w:szCs w:val="18"/>
    </w:r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qFormat/>
    <w:uiPriority w:val="0"/>
    <w:rPr>
      <w:color w:val="0000FF"/>
      <w:u w:val="single"/>
    </w:rPr>
  </w:style>
  <w:style w:type="character" w:customStyle="1" w:styleId="12">
    <w:name w:val="文档结构图 Char"/>
    <w:link w:val="2"/>
    <w:qFormat/>
    <w:uiPriority w:val="0"/>
    <w:rPr>
      <w:rFonts w:ascii="宋体"/>
      <w:kern w:val="2"/>
      <w:sz w:val="18"/>
      <w:szCs w:val="18"/>
    </w:rPr>
  </w:style>
  <w:style w:type="character" w:customStyle="1" w:styleId="13">
    <w:name w:val="页脚 字符"/>
    <w:link w:val="5"/>
    <w:uiPriority w:val="99"/>
    <w:rPr>
      <w:kern w:val="2"/>
      <w:sz w:val="18"/>
      <w:szCs w:val="18"/>
    </w:rPr>
  </w:style>
  <w:style w:type="character" w:customStyle="1" w:styleId="14">
    <w:name w:val="页眉 字符"/>
    <w:link w:val="6"/>
    <w:uiPriority w:val="0"/>
    <w:rPr>
      <w:kern w:val="2"/>
      <w:sz w:val="18"/>
      <w:szCs w:val="18"/>
    </w:rPr>
  </w:style>
  <w:style w:type="paragraph" w:customStyle="1" w:styleId="15">
    <w:name w:val="正文-公1"/>
    <w:basedOn w:val="16"/>
    <w:next w:val="1"/>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_Style 16"/>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Freesoho</Company>
  <Pages>6</Pages>
  <Words>2059</Words>
  <Characters>2639</Characters>
  <Lines>16</Lines>
  <Paragraphs>4</Paragraphs>
  <TotalTime>200</TotalTime>
  <ScaleCrop>false</ScaleCrop>
  <LinksUpToDate>false</LinksUpToDate>
  <CharactersWithSpaces>2645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2023-09-16T02:48:00Z</dcterms:created>
  <dc:creator>lfq</dc:creator>
  <cp:lastModifiedBy>一袭倾城</cp:lastModifiedBy>
  <dcterms:modified xsi:type="dcterms:W3CDTF">2025-01-21T02:40:33Z</dcterms:modified>
  <dc:title>部门决算分析报告撰写提纲（部门用）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7474D5C21E04493C86B0A7A959B99F66_13</vt:lpwstr>
  </property>
  <property fmtid="{D5CDD505-2E9C-101B-9397-08002B2CF9AE}" pid="4" name="KSOTemplateDocerSaveRecord">
    <vt:lpwstr>eyJoZGlkIjoiZWZkNGRmZTdkZDI4NjRiNzEwOTQ4ZTMxMmQ5ZjA3NzciLCJ1c2VySWQiOiI0NjY1NTY0OTAifQ==</vt:lpwstr>
  </property>
</Properties>
</file>