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辽宁省盘锦市兴隆台区统计局</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辽宁省盘锦市兴隆台区统计局</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辽宁省盘锦市兴隆台区统计局</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辽宁省盘锦市兴隆台区统计局</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辽宁省盘锦市兴隆台区统计局</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辽宁省盘锦市兴隆台区统计局概况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承担组织领导和协调全区统计工作、确保统计数据真实准确的责任，贯彻执行国家、省、市基本统计制度、统计标准和统计指标体系，建立完善新经济统计调查制度，制定全区统计发展规划，依法开展统计执法检查，查处统计违法行为，加强统计系统诚信体系建设。</w:t>
        <w:br/>
        <w:t xml:space="preserve">    （二）建立健全全区国民经济核算体系，组织实施全区国民经济核算制度和全区投入产出调查制度，核算全区生产总值，汇编提供国民经济核算资料，监督、管理和指导全区国民经济核算工作。</w:t>
        <w:br/>
        <w:t xml:space="preserve">    （三）会同有关部门组织实施全区人口、经济、农业等国情国力普查和重大专项调查，收集、汇总、整理和提供有关国情国力、区情区力方面的统计数据。</w:t>
        <w:br/>
        <w:t xml:space="preserve">    （四）组织实施国民经济和社会发展各行业统计调查，收集、汇总、整理和提供有关调查的统计数据，综合整理和提供地质勘查、旅游、交通运输、邮政、教育、卫生、社会保障、公用事业等全区性基本统计数据。</w:t>
        <w:br/>
        <w:t xml:space="preserve">    （五）组织实施能源、投资、消费、科技、人口、劳动力、社会发展基本情况、环境基本状况、新经济情况等统计调查，收集、汇总、整理和提供有关统计数据，综合整理和提供资源、房屋、对外贸易、对外经济等全区性基本统计数据，统一核定、管理、公布全区性基本统计资料，定期发布全区国民经济和社会发展情况的统计信息，对全区国民经济、社会发展、科技进步和资源环境情况进行统计分析、统计监测和统计监督，向区委、区政府及有关部门提供统计信息和咨询建议。</w:t>
        <w:br/>
        <w:t xml:space="preserve">    （六）管理全区各部门的统计调查项目，指导专业统计基础工作和基层统计业务基础建设；建立健全统计数据质量审核、监控和评估制度并组织实施。</w:t>
        <w:br/>
        <w:t xml:space="preserve">    （七）指导全区统计专业技术队伍建设，协助市局组织全区统计专业技术职务中的高级资格初审工作。</w:t>
        <w:br/>
        <w:t xml:space="preserve">    （八）建立并管理全区统计信息化系统和数据库系统，组织实施统计数据库和网络的基本标准和运行规则，指导全区统计信息化系统建设、运行维护及信息安全，负责统计经费相关监督管理工作。</w:t>
        <w:br/>
        <w:t xml:space="preserve">    （九）收集和整理区外统计数据，组织实施与外市县区统计交流。</w:t>
        <w:br/>
        <w:t xml:space="preserve">    （十）完成区委、区政府交办的其他任务。</w:t>
        <w:br/>
        <w:t xml:space="preserve">    （十一）职能转变。</w:t>
        <w:br/>
        <w:t xml:space="preserve">    1.加强全区经济运行监测分析和经济形势预测研判。组织开展经济热点专题研究，为区委、区政府科学决策提供参考建议，发挥参谋助手作用。</w:t>
        <w:br/>
        <w:t xml:space="preserve">    2.建立健全“三新”统计监测制度。充分利用“三新”统计分类，进一步拓展“三新”统计范围，逐步完善“三新”统计制度、调查方法和“三新”增加值核算方法，加强兴隆台区新经济发展的统计分析研究。</w:t>
        <w:br/>
        <w:t xml:space="preserve">    3.加强对部门统计的协调和指导。为部门统计调查提供相关统计业务咨询和统计标准,会同有关部门共同维护、更新统计基本单位名录库，积极推进部门统计信息共享，强化统计部门统筹协调分析。</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辽宁省盘锦市兴隆台区统计局</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辽宁省盘锦市兴隆台区统计局（本级）、辽宁省盘锦市兴隆台区统计普查中心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232.81</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232.81</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232.81</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增加232.81万元，增长0.00%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预算编制科学合理</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232.81</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217.88</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93.58</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工资福利支出202.00万元；商品和服务支出15.88万元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14.94</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6.42</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主要包括专项统计业务和一般行政管理事务等业务支出。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增加232.81万元，增长0.00%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预算编制科学合理</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预算编制科学合理</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232.81</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217.88</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14.94</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增加232.81万元，增长0.00%</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预算编制科学合理</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82.88</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93.15</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31.78</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2023年度一般公共预算财政拨款支出232.81万元。按支出功能分类科目分，包括：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1.一般公共服务支出184.41万元，具体包括：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统计信息事务（款）行政运行（项）99.86万元,主要是行政运行等支出，完成年初预算的56.54%，决算数与年初预算数存在差异的主要原因是落实财政过紧日子要求，压缩相关经费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统计信息事务（款）一般行政管理事务（项）13.99万元,主要是一般行政管理事务等支出，完成年初预算的31.09%，决算数与年初预算数存在差异的主要原因是落实财政过紧日子要求，压缩相关经费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一般公共服务支出（类）统计信息事务（款）专项统计业务（项）0.95万元,主要是专项统计业务等支出，完成年初预算的0.48%，决算数与年初预算数存在差异的主要原因是落实财政过紧日子要求，压缩相关经费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（4）一般公共服务支出（类）统计信息事务（款）事业运行（项）69.61万元,主要是事业运行等支出，完成年初预算的0%，决算数与年初预算数存在差异的主要原因是落实财政过紧日子要求，压缩相关经费支出。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2.社会保障和就业支出19.89万元，具体包括：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机关事业单位基本养老保险缴费支出（项）19.89万元,主要是机关事业单位基本养老保险缴费支出等支出，完成年初预算的0.8%，决算数与年初预算数存在差异的主要原因是本年工资无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3.卫生健康支出10.06万元，具体包括：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（1）卫生健康支出（类）行政事业单位医疗（款）行政单位医疗（项）3.73万元,主要是行政单位医疗等支出，完成年初预算的0.39%，决算数与年初预算数存在差异的主要原因是本年工资无调整，。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（2）卫生健康支出（类）行政事业单位医疗（款）事业单位医疗（项）3.87万元,主要是事业单位医疗等支出，完成年初预算的0%，决算数与年初预算数存在差异的主要原因是本年工资无调整。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（3）卫生健康支出（类）行政事业单位医疗（款）公务员医疗补助（项）2.13万元,主要是公务员医疗补助等支出，完成年初预算的0.79%，决算数与年初预算数存在差异的主要原因是本年工资无调整。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卫生健康支出（类）行政事业单位医疗（款）其他行政事业单位医疗支出（项）0.33万元,主要是其他行政事业单位医疗支出等支出，完成年初预算的0.49%，决算数与年初预算数存在差异的主要原因是本年工资无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4.住房保障支出18.46万元，具体包括：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（1）住房保障支出（类）住房改革支出（款）住房公积金（项）18.46万元,主要是住房公积金等支出，完成年初预算的0.95%，决算数与年初预算数存在差异的主要原因是本年工资无调整。</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预算编制科学合理</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预算编制科学合理</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预算编制科学合理</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预算编制科学合理</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预算编制科学合理</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预算编制科学合理</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预算编制科学合理</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217.88</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202.00</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15.88</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10.17</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比上年增加10.17万元，增长0.00%</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今年新成立事业单位</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预算编制科学合理</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预算编制科学合理</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预算编制科学合理</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1.部门整体绩效自评情况</w:t>
        <w:br/>
        <w:t xml:space="preserve">    根据预算绩效管理要求，辽宁省盘锦市兴隆台区统计局对（本级）组织开展整体绩效自评工作，涉及资金233.9万元，其中财政拨款金额233.9万元，自评得分100分。</w:t>
        <w:br/>
        <w:t xml:space="preserve">    详见附件《辽宁省盘锦市兴隆台区统计局（本级）整体绩效自评表》。</w:t>
        <w:br/>
        <w:t xml:space="preserve">    2.项目绩效自评情况</w:t>
        <w:br/>
        <w:t xml:space="preserve">    2023年度，辽宁省盘锦市兴隆台区统计局（本级）4个项目开展项目绩效自评工作，涉及资金14.94万元，其中财政拨款资金14.94万元，自评覆盖率达到100%，自评平均分63.6分。</w:t>
        <w:br/>
        <w:t xml:space="preserve">    详见附件《预算项目（政策）绩效自评表》</w:t>
        <w:br/>
        <w:t xml:space="preserve">    3.部门重点评价情况</w:t>
        <w:br/>
        <w:t xml:space="preserve">    2023年度，辽宁省盘锦市兴隆台区统计局（本级）未开展部门重点评价工作。</w:t>
        <w:br/>
        <w:t xml:space="preserve">    4.财政重点评价情况</w:t>
        <w:br/>
        <w:t xml:space="preserve">    2023年度，兴隆台区财政局未对辽宁省盘锦市兴隆台区统计局（本级）的项目开展财政重点评价工作。</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w:t>
      </w:r>
    </w:p>
    <w:p>
      <w:pPr>
        <w:spacing w:line="540" w:lineRule="exact"/>
        <w:ind w:firstLine="640" w:firstLineChars="200"/>
        <w:rPr>
          <w:rFonts w:ascii="仿宋_GB2312" w:eastAsia="仿宋_GB2312" w:hint="eastAsia"/>
          <w:sz w:val="32"/>
          <w:szCs w:val="32"/>
        </w:rPr>
      </w:pPr>
      <w:r>
        <w:rPr>
          <w:rFonts w:ascii="仿宋_GB2312" w:eastAsia="仿宋_GB2312" w:hint="eastAsia"/>
          <w:sz w:val="32"/>
          <w:szCs w:val="32"/>
        </w:rPr>
        <w:t xml:space="preserve">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w:t>
      </w:r>
      <w:bookmarkStart w:id="0" w:name="_GoBack"/>
      <w:bookmarkEnd w:id="0"/>
      <w:r>
        <w:rPr>
          <w:rFonts w:ascii="仿宋_GB2312" w:eastAsia="仿宋_GB2312" w:hint="eastAsia"/>
          <w:sz w:val="32"/>
          <w:szCs w:val="32"/>
        </w:rPr>
        <w:t xml:space="preserve">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（部门决算涉及的支出功能分类全部项级科目，逐一解释）...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部门：辽宁省盘锦市兴隆台区统计局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232.81</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184.41</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19.89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10.06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18.46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232.81</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232.81</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232.81</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232.81</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部门：辽宁省盘锦市兴隆台区统计局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232.81</w:t>
            </w:r>
          </w:p>
        </w:tc>
        <w:tc>
          <w:tcPr>
            <w:tcW w:w="1160" w:type="dxa"/>
            <w:tcBorders/>
            <w:vAlign w:val="center"/>
          </w:tcPr>
          <w:p>
            <w:pPr>
              <w:jc w:val="right"/>
            </w:pPr>
            <w:r>
              <w:rPr>
                <w:rFonts w:ascii="宋体" w:eastAsia="宋体" w:hAnsi="宋体" w:cs="宋体"/>
                <w:b/>
                <w:i w:val="0"/>
                <w:color w:val="000000"/>
                <w:sz w:val="14"/>
              </w:rPr>
              <w:t xml:space="preserve">232.81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184.41</w:t>
            </w:r>
          </w:p>
        </w:tc>
        <w:tc>
          <w:tcPr>
            <w:tcW w:w="1160" w:type="dxa"/>
            <w:tcBorders/>
            <w:vAlign w:val="center"/>
          </w:tcPr>
          <w:p>
            <w:pPr>
              <w:jc w:val="right"/>
            </w:pPr>
            <w:r>
              <w:rPr>
                <w:rFonts w:ascii="宋体" w:eastAsia="宋体" w:hAnsi="宋体" w:cs="宋体"/>
                <w:b w:val="0"/>
                <w:i w:val="0"/>
                <w:color w:val="000000"/>
                <w:sz w:val="14"/>
              </w:rPr>
              <w:t xml:space="preserve">184.41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统计信息事务</w:t>
            </w:r>
          </w:p>
        </w:tc>
        <w:tc>
          <w:tcPr>
            <w:tcW w:w="1160" w:type="dxa"/>
            <w:tcBorders/>
            <w:vAlign w:val="center"/>
          </w:tcPr>
          <w:p>
            <w:pPr>
              <w:jc w:val="right"/>
            </w:pPr>
            <w:r>
              <w:rPr>
                <w:rFonts w:ascii="宋体" w:eastAsia="宋体" w:hAnsi="宋体" w:cs="宋体"/>
                <w:b w:val="0"/>
                <w:i w:val="0"/>
                <w:color w:val="000000"/>
                <w:sz w:val="14"/>
              </w:rPr>
              <w:t xml:space="preserve">184.41</w:t>
            </w:r>
          </w:p>
        </w:tc>
        <w:tc>
          <w:tcPr>
            <w:tcW w:w="1160" w:type="dxa"/>
            <w:tcBorders/>
            <w:vAlign w:val="center"/>
          </w:tcPr>
          <w:p>
            <w:pPr>
              <w:jc w:val="right"/>
            </w:pPr>
            <w:r>
              <w:rPr>
                <w:rFonts w:ascii="宋体" w:eastAsia="宋体" w:hAnsi="宋体" w:cs="宋体"/>
                <w:b w:val="0"/>
                <w:i w:val="0"/>
                <w:color w:val="000000"/>
                <w:sz w:val="14"/>
              </w:rPr>
              <w:t xml:space="preserve">184.41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99.86</w:t>
            </w:r>
          </w:p>
        </w:tc>
        <w:tc>
          <w:tcPr>
            <w:tcW w:w="1160" w:type="dxa"/>
            <w:tcBorders/>
            <w:vAlign w:val="center"/>
          </w:tcPr>
          <w:p>
            <w:pPr>
              <w:jc w:val="right"/>
            </w:pPr>
            <w:r>
              <w:rPr>
                <w:rFonts w:ascii="宋体" w:eastAsia="宋体" w:hAnsi="宋体" w:cs="宋体"/>
                <w:b w:val="0"/>
                <w:i w:val="0"/>
                <w:color w:val="000000"/>
                <w:sz w:val="14"/>
              </w:rPr>
              <w:t xml:space="preserve">99.86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一般行政管理事务</w:t>
            </w:r>
          </w:p>
        </w:tc>
        <w:tc>
          <w:tcPr>
            <w:tcW w:w="1160" w:type="dxa"/>
            <w:tcBorders/>
            <w:vAlign w:val="center"/>
          </w:tcPr>
          <w:p>
            <w:pPr>
              <w:jc w:val="right"/>
            </w:pPr>
            <w:r>
              <w:rPr>
                <w:rFonts w:ascii="宋体" w:eastAsia="宋体" w:hAnsi="宋体" w:cs="宋体"/>
                <w:b w:val="0"/>
                <w:i w:val="0"/>
                <w:color w:val="000000"/>
                <w:sz w:val="14"/>
              </w:rPr>
              <w:t xml:space="preserve">13.99</w:t>
            </w:r>
          </w:p>
        </w:tc>
        <w:tc>
          <w:tcPr>
            <w:tcW w:w="1160" w:type="dxa"/>
            <w:tcBorders/>
            <w:vAlign w:val="center"/>
          </w:tcPr>
          <w:p>
            <w:pPr>
              <w:jc w:val="right"/>
            </w:pPr>
            <w:r>
              <w:rPr>
                <w:rFonts w:ascii="宋体" w:eastAsia="宋体" w:hAnsi="宋体" w:cs="宋体"/>
                <w:b w:val="0"/>
                <w:i w:val="0"/>
                <w:color w:val="000000"/>
                <w:sz w:val="14"/>
              </w:rPr>
              <w:t xml:space="preserve">13.99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专项统计业务</w:t>
            </w:r>
          </w:p>
        </w:tc>
        <w:tc>
          <w:tcPr>
            <w:tcW w:w="1160" w:type="dxa"/>
            <w:tcBorders/>
            <w:vAlign w:val="center"/>
          </w:tcPr>
          <w:p>
            <w:pPr>
              <w:jc w:val="right"/>
            </w:pPr>
            <w:r>
              <w:rPr>
                <w:rFonts w:ascii="宋体" w:eastAsia="宋体" w:hAnsi="宋体" w:cs="宋体"/>
                <w:b w:val="0"/>
                <w:i w:val="0"/>
                <w:color w:val="000000"/>
                <w:sz w:val="14"/>
              </w:rPr>
              <w:t xml:space="preserve">0.95</w:t>
            </w:r>
          </w:p>
        </w:tc>
        <w:tc>
          <w:tcPr>
            <w:tcW w:w="1160" w:type="dxa"/>
            <w:tcBorders/>
            <w:vAlign w:val="center"/>
          </w:tcPr>
          <w:p>
            <w:pPr>
              <w:jc w:val="right"/>
            </w:pPr>
            <w:r>
              <w:rPr>
                <w:rFonts w:ascii="宋体" w:eastAsia="宋体" w:hAnsi="宋体" w:cs="宋体"/>
                <w:b w:val="0"/>
                <w:i w:val="0"/>
                <w:color w:val="000000"/>
                <w:sz w:val="14"/>
              </w:rPr>
              <w:t xml:space="preserve">0.95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2010550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69.61</w:t>
            </w:r>
          </w:p>
        </w:tc>
        <w:tc>
          <w:tcPr>
            <w:tcW w:w="1160" w:type="dxa"/>
            <w:tcBorders/>
            <w:vAlign w:val="center"/>
          </w:tcPr>
          <w:p>
            <w:pPr>
              <w:jc w:val="right"/>
            </w:pPr>
            <w:r>
              <w:rPr>
                <w:rFonts w:ascii="宋体" w:eastAsia="宋体" w:hAnsi="宋体" w:cs="宋体"/>
                <w:b w:val="0"/>
                <w:i w:val="0"/>
                <w:color w:val="000000"/>
                <w:sz w:val="14"/>
              </w:rPr>
              <w:t xml:space="preserve">69.61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19.89</w:t>
            </w:r>
          </w:p>
        </w:tc>
        <w:tc>
          <w:tcPr>
            <w:tcW w:w="1160" w:type="dxa"/>
            <w:tcBorders/>
            <w:vAlign w:val="center"/>
          </w:tcPr>
          <w:p>
            <w:pPr>
              <w:jc w:val="right"/>
            </w:pPr>
            <w:r>
              <w:rPr>
                <w:rFonts w:ascii="宋体" w:eastAsia="宋体" w:hAnsi="宋体" w:cs="宋体"/>
                <w:b w:val="0"/>
                <w:i w:val="0"/>
                <w:color w:val="000000"/>
                <w:sz w:val="14"/>
              </w:rPr>
              <w:t xml:space="preserve">19.89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19.89</w:t>
            </w:r>
          </w:p>
        </w:tc>
        <w:tc>
          <w:tcPr>
            <w:tcW w:w="1160" w:type="dxa"/>
            <w:tcBorders/>
            <w:vAlign w:val="center"/>
          </w:tcPr>
          <w:p>
            <w:pPr>
              <w:jc w:val="right"/>
            </w:pPr>
            <w:r>
              <w:rPr>
                <w:rFonts w:ascii="宋体" w:eastAsia="宋体" w:hAnsi="宋体" w:cs="宋体"/>
                <w:b w:val="0"/>
                <w:i w:val="0"/>
                <w:color w:val="000000"/>
                <w:sz w:val="14"/>
              </w:rPr>
              <w:t xml:space="preserve">19.89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19.89</w:t>
            </w:r>
          </w:p>
        </w:tc>
        <w:tc>
          <w:tcPr>
            <w:tcW w:w="1160" w:type="dxa"/>
            <w:tcBorders/>
            <w:vAlign w:val="center"/>
          </w:tcPr>
          <w:p>
            <w:pPr>
              <w:jc w:val="right"/>
            </w:pPr>
            <w:r>
              <w:rPr>
                <w:rFonts w:ascii="宋体" w:eastAsia="宋体" w:hAnsi="宋体" w:cs="宋体"/>
                <w:b w:val="0"/>
                <w:i w:val="0"/>
                <w:color w:val="000000"/>
                <w:sz w:val="14"/>
              </w:rPr>
              <w:t xml:space="preserve">19.89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10.06</w:t>
            </w:r>
          </w:p>
        </w:tc>
        <w:tc>
          <w:tcPr>
            <w:tcW w:w="1160" w:type="dxa"/>
            <w:tcBorders/>
            <w:vAlign w:val="center"/>
          </w:tcPr>
          <w:p>
            <w:pPr>
              <w:jc w:val="right"/>
            </w:pPr>
            <w:r>
              <w:rPr>
                <w:rFonts w:ascii="宋体" w:eastAsia="宋体" w:hAnsi="宋体" w:cs="宋体"/>
                <w:b w:val="0"/>
                <w:i w:val="0"/>
                <w:color w:val="000000"/>
                <w:sz w:val="14"/>
              </w:rPr>
              <w:t xml:space="preserve">10.06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10.06</w:t>
            </w:r>
          </w:p>
        </w:tc>
        <w:tc>
          <w:tcPr>
            <w:tcW w:w="1160" w:type="dxa"/>
            <w:tcBorders/>
            <w:vAlign w:val="center"/>
          </w:tcPr>
          <w:p>
            <w:pPr>
              <w:jc w:val="right"/>
            </w:pPr>
            <w:r>
              <w:rPr>
                <w:rFonts w:ascii="宋体" w:eastAsia="宋体" w:hAnsi="宋体" w:cs="宋体"/>
                <w:b w:val="0"/>
                <w:i w:val="0"/>
                <w:color w:val="000000"/>
                <w:sz w:val="14"/>
              </w:rPr>
              <w:t xml:space="preserve">10.06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3.73</w:t>
            </w:r>
          </w:p>
        </w:tc>
        <w:tc>
          <w:tcPr>
            <w:tcW w:w="1160" w:type="dxa"/>
            <w:tcBorders/>
            <w:vAlign w:val="center"/>
          </w:tcPr>
          <w:p>
            <w:pPr>
              <w:jc w:val="right"/>
            </w:pPr>
            <w:r>
              <w:rPr>
                <w:rFonts w:ascii="宋体" w:eastAsia="宋体" w:hAnsi="宋体" w:cs="宋体"/>
                <w:b w:val="0"/>
                <w:i w:val="0"/>
                <w:color w:val="000000"/>
                <w:sz w:val="14"/>
              </w:rPr>
              <w:t xml:space="preserve">3.73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3.87</w:t>
            </w:r>
          </w:p>
        </w:tc>
        <w:tc>
          <w:tcPr>
            <w:tcW w:w="1160" w:type="dxa"/>
            <w:tcBorders/>
            <w:vAlign w:val="center"/>
          </w:tcPr>
          <w:p>
            <w:pPr>
              <w:jc w:val="right"/>
            </w:pPr>
            <w:r>
              <w:rPr>
                <w:rFonts w:ascii="宋体" w:eastAsia="宋体" w:hAnsi="宋体" w:cs="宋体"/>
                <w:b w:val="0"/>
                <w:i w:val="0"/>
                <w:color w:val="000000"/>
                <w:sz w:val="14"/>
              </w:rPr>
              <w:t xml:space="preserve">3.87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公务员医疗补助</w:t>
            </w:r>
          </w:p>
        </w:tc>
        <w:tc>
          <w:tcPr>
            <w:tcW w:w="1160" w:type="dxa"/>
            <w:tcBorders/>
            <w:vAlign w:val="center"/>
          </w:tcPr>
          <w:p>
            <w:pPr>
              <w:jc w:val="right"/>
            </w:pPr>
            <w:r>
              <w:rPr>
                <w:rFonts w:ascii="宋体" w:eastAsia="宋体" w:hAnsi="宋体" w:cs="宋体"/>
                <w:b w:val="0"/>
                <w:i w:val="0"/>
                <w:color w:val="000000"/>
                <w:sz w:val="14"/>
              </w:rPr>
              <w:t xml:space="preserve">2.13</w:t>
            </w:r>
          </w:p>
        </w:tc>
        <w:tc>
          <w:tcPr>
            <w:tcW w:w="1160" w:type="dxa"/>
            <w:tcBorders/>
            <w:vAlign w:val="center"/>
          </w:tcPr>
          <w:p>
            <w:pPr>
              <w:jc w:val="right"/>
            </w:pPr>
            <w:r>
              <w:rPr>
                <w:rFonts w:ascii="宋体" w:eastAsia="宋体" w:hAnsi="宋体" w:cs="宋体"/>
                <w:b w:val="0"/>
                <w:i w:val="0"/>
                <w:color w:val="000000"/>
                <w:sz w:val="14"/>
              </w:rPr>
              <w:t xml:space="preserve">2.13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0.33</w:t>
            </w:r>
          </w:p>
        </w:tc>
        <w:tc>
          <w:tcPr>
            <w:tcW w:w="1160" w:type="dxa"/>
            <w:tcBorders/>
            <w:vAlign w:val="center"/>
          </w:tcPr>
          <w:p>
            <w:pPr>
              <w:jc w:val="right"/>
            </w:pPr>
            <w:r>
              <w:rPr>
                <w:rFonts w:ascii="宋体" w:eastAsia="宋体" w:hAnsi="宋体" w:cs="宋体"/>
                <w:b w:val="0"/>
                <w:i w:val="0"/>
                <w:color w:val="000000"/>
                <w:sz w:val="14"/>
              </w:rPr>
              <w:t xml:space="preserve">0.33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18.46</w:t>
            </w:r>
          </w:p>
        </w:tc>
        <w:tc>
          <w:tcPr>
            <w:tcW w:w="1160" w:type="dxa"/>
            <w:tcBorders/>
            <w:vAlign w:val="center"/>
          </w:tcPr>
          <w:p>
            <w:pPr>
              <w:jc w:val="right"/>
            </w:pPr>
            <w:r>
              <w:rPr>
                <w:rFonts w:ascii="宋体" w:eastAsia="宋体" w:hAnsi="宋体" w:cs="宋体"/>
                <w:b w:val="0"/>
                <w:i w:val="0"/>
                <w:color w:val="000000"/>
                <w:sz w:val="14"/>
              </w:rPr>
              <w:t xml:space="preserve">18.46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18.46</w:t>
            </w:r>
          </w:p>
        </w:tc>
        <w:tc>
          <w:tcPr>
            <w:tcW w:w="1160" w:type="dxa"/>
            <w:tcBorders/>
            <w:vAlign w:val="center"/>
          </w:tcPr>
          <w:p>
            <w:pPr>
              <w:jc w:val="right"/>
            </w:pPr>
            <w:r>
              <w:rPr>
                <w:rFonts w:ascii="宋体" w:eastAsia="宋体" w:hAnsi="宋体" w:cs="宋体"/>
                <w:b w:val="0"/>
                <w:i w:val="0"/>
                <w:color w:val="000000"/>
                <w:sz w:val="14"/>
              </w:rPr>
              <w:t xml:space="preserve">18.46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18.46</w:t>
            </w:r>
          </w:p>
        </w:tc>
        <w:tc>
          <w:tcPr>
            <w:tcW w:w="1160" w:type="dxa"/>
            <w:tcBorders/>
            <w:vAlign w:val="center"/>
          </w:tcPr>
          <w:p>
            <w:pPr>
              <w:jc w:val="right"/>
            </w:pPr>
            <w:r>
              <w:rPr>
                <w:rFonts w:ascii="宋体" w:eastAsia="宋体" w:hAnsi="宋体" w:cs="宋体"/>
                <w:b w:val="0"/>
                <w:i w:val="0"/>
                <w:color w:val="000000"/>
                <w:sz w:val="14"/>
              </w:rPr>
              <w:t xml:space="preserve">18.46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部门：辽宁省盘锦市兴隆台区统计局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232.81</w:t>
            </w:r>
          </w:p>
        </w:tc>
        <w:tc>
          <w:tcPr>
            <w:tcW w:w="1120" w:type="dxa"/>
            <w:tcBorders/>
            <w:vAlign w:val="center"/>
          </w:tcPr>
          <w:p>
            <w:pPr>
              <w:jc w:val="right"/>
            </w:pPr>
            <w:r>
              <w:rPr>
                <w:rFonts w:ascii="宋体" w:eastAsia="宋体" w:hAnsi="宋体" w:cs="宋体"/>
                <w:b/>
                <w:i w:val="0"/>
                <w:color w:val="000000"/>
                <w:sz w:val="16"/>
              </w:rPr>
              <w:t xml:space="preserve">217.88</w:t>
            </w:r>
          </w:p>
        </w:tc>
        <w:tc>
          <w:tcPr>
            <w:tcW w:w="1120" w:type="dxa"/>
            <w:tcBorders/>
            <w:vAlign w:val="center"/>
          </w:tcPr>
          <w:p>
            <w:pPr>
              <w:jc w:val="right"/>
            </w:pPr>
            <w:r>
              <w:rPr>
                <w:rFonts w:ascii="宋体" w:eastAsia="宋体" w:hAnsi="宋体" w:cs="宋体"/>
                <w:b/>
                <w:i w:val="0"/>
                <w:color w:val="000000"/>
                <w:sz w:val="16"/>
              </w:rPr>
              <w:t xml:space="preserve">14.94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184.41</w:t>
            </w:r>
          </w:p>
        </w:tc>
        <w:tc>
          <w:tcPr>
            <w:tcW w:w="1120" w:type="dxa"/>
            <w:tcBorders/>
            <w:vAlign w:val="center"/>
          </w:tcPr>
          <w:p>
            <w:pPr>
              <w:jc w:val="right"/>
            </w:pPr>
            <w:r>
              <w:rPr>
                <w:rFonts w:ascii="宋体" w:eastAsia="宋体" w:hAnsi="宋体" w:cs="宋体"/>
                <w:b w:val="0"/>
                <w:i w:val="0"/>
                <w:color w:val="000000"/>
                <w:sz w:val="16"/>
              </w:rPr>
              <w:t xml:space="preserve">169.47</w:t>
            </w:r>
          </w:p>
        </w:tc>
        <w:tc>
          <w:tcPr>
            <w:tcW w:w="1120" w:type="dxa"/>
            <w:tcBorders/>
            <w:vAlign w:val="center"/>
          </w:tcPr>
          <w:p>
            <w:pPr>
              <w:jc w:val="right"/>
            </w:pPr>
            <w:r>
              <w:rPr>
                <w:rFonts w:ascii="宋体" w:eastAsia="宋体" w:hAnsi="宋体" w:cs="宋体"/>
                <w:b w:val="0"/>
                <w:i w:val="0"/>
                <w:color w:val="000000"/>
                <w:sz w:val="16"/>
              </w:rPr>
              <w:t xml:space="preserve">14.94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统计信息事务</w:t>
            </w:r>
          </w:p>
        </w:tc>
        <w:tc>
          <w:tcPr>
            <w:tcW w:w="1120" w:type="dxa"/>
            <w:tcBorders/>
            <w:vAlign w:val="center"/>
          </w:tcPr>
          <w:p>
            <w:pPr>
              <w:jc w:val="right"/>
            </w:pPr>
            <w:r>
              <w:rPr>
                <w:rFonts w:ascii="宋体" w:eastAsia="宋体" w:hAnsi="宋体" w:cs="宋体"/>
                <w:b w:val="0"/>
                <w:i w:val="0"/>
                <w:color w:val="000000"/>
                <w:sz w:val="16"/>
              </w:rPr>
              <w:t xml:space="preserve">184.41</w:t>
            </w:r>
          </w:p>
        </w:tc>
        <w:tc>
          <w:tcPr>
            <w:tcW w:w="1120" w:type="dxa"/>
            <w:tcBorders/>
            <w:vAlign w:val="center"/>
          </w:tcPr>
          <w:p>
            <w:pPr>
              <w:jc w:val="right"/>
            </w:pPr>
            <w:r>
              <w:rPr>
                <w:rFonts w:ascii="宋体" w:eastAsia="宋体" w:hAnsi="宋体" w:cs="宋体"/>
                <w:b w:val="0"/>
                <w:i w:val="0"/>
                <w:color w:val="000000"/>
                <w:sz w:val="16"/>
              </w:rPr>
              <w:t xml:space="preserve">169.47</w:t>
            </w:r>
          </w:p>
        </w:tc>
        <w:tc>
          <w:tcPr>
            <w:tcW w:w="1120" w:type="dxa"/>
            <w:tcBorders/>
            <w:vAlign w:val="center"/>
          </w:tcPr>
          <w:p>
            <w:pPr>
              <w:jc w:val="right"/>
            </w:pPr>
            <w:r>
              <w:rPr>
                <w:rFonts w:ascii="宋体" w:eastAsia="宋体" w:hAnsi="宋体" w:cs="宋体"/>
                <w:b w:val="0"/>
                <w:i w:val="0"/>
                <w:color w:val="000000"/>
                <w:sz w:val="16"/>
              </w:rPr>
              <w:t xml:space="preserve">14.94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99.86</w:t>
            </w:r>
          </w:p>
        </w:tc>
        <w:tc>
          <w:tcPr>
            <w:tcW w:w="1120" w:type="dxa"/>
            <w:tcBorders/>
            <w:vAlign w:val="center"/>
          </w:tcPr>
          <w:p>
            <w:pPr>
              <w:jc w:val="right"/>
            </w:pPr>
            <w:r>
              <w:rPr>
                <w:rFonts w:ascii="宋体" w:eastAsia="宋体" w:hAnsi="宋体" w:cs="宋体"/>
                <w:b w:val="0"/>
                <w:i w:val="0"/>
                <w:color w:val="000000"/>
                <w:sz w:val="16"/>
              </w:rPr>
              <w:t xml:space="preserve">99.86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一般行政管理事务</w:t>
            </w:r>
          </w:p>
        </w:tc>
        <w:tc>
          <w:tcPr>
            <w:tcW w:w="1120" w:type="dxa"/>
            <w:tcBorders/>
            <w:vAlign w:val="center"/>
          </w:tcPr>
          <w:p>
            <w:pPr>
              <w:jc w:val="right"/>
            </w:pPr>
            <w:r>
              <w:rPr>
                <w:rFonts w:ascii="宋体" w:eastAsia="宋体" w:hAnsi="宋体" w:cs="宋体"/>
                <w:b w:val="0"/>
                <w:i w:val="0"/>
                <w:color w:val="000000"/>
                <w:sz w:val="16"/>
              </w:rPr>
              <w:t xml:space="preserve">13.99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13.99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专项统计业务</w:t>
            </w:r>
          </w:p>
        </w:tc>
        <w:tc>
          <w:tcPr>
            <w:tcW w:w="1120" w:type="dxa"/>
            <w:tcBorders/>
            <w:vAlign w:val="center"/>
          </w:tcPr>
          <w:p>
            <w:pPr>
              <w:jc w:val="right"/>
            </w:pPr>
            <w:r>
              <w:rPr>
                <w:rFonts w:ascii="宋体" w:eastAsia="宋体" w:hAnsi="宋体" w:cs="宋体"/>
                <w:b w:val="0"/>
                <w:i w:val="0"/>
                <w:color w:val="000000"/>
                <w:sz w:val="16"/>
              </w:rPr>
              <w:t xml:space="preserve">0.95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0.95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2010550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69.61</w:t>
            </w:r>
          </w:p>
        </w:tc>
        <w:tc>
          <w:tcPr>
            <w:tcW w:w="1120" w:type="dxa"/>
            <w:tcBorders/>
            <w:vAlign w:val="center"/>
          </w:tcPr>
          <w:p>
            <w:pPr>
              <w:jc w:val="right"/>
            </w:pPr>
            <w:r>
              <w:rPr>
                <w:rFonts w:ascii="宋体" w:eastAsia="宋体" w:hAnsi="宋体" w:cs="宋体"/>
                <w:b w:val="0"/>
                <w:i w:val="0"/>
                <w:color w:val="000000"/>
                <w:sz w:val="16"/>
              </w:rPr>
              <w:t xml:space="preserve">69.61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19.89</w:t>
            </w:r>
          </w:p>
        </w:tc>
        <w:tc>
          <w:tcPr>
            <w:tcW w:w="1120" w:type="dxa"/>
            <w:tcBorders/>
            <w:vAlign w:val="center"/>
          </w:tcPr>
          <w:p>
            <w:pPr>
              <w:jc w:val="right"/>
            </w:pPr>
            <w:r>
              <w:rPr>
                <w:rFonts w:ascii="宋体" w:eastAsia="宋体" w:hAnsi="宋体" w:cs="宋体"/>
                <w:b w:val="0"/>
                <w:i w:val="0"/>
                <w:color w:val="000000"/>
                <w:sz w:val="16"/>
              </w:rPr>
              <w:t xml:space="preserve">19.89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19.89</w:t>
            </w:r>
          </w:p>
        </w:tc>
        <w:tc>
          <w:tcPr>
            <w:tcW w:w="1120" w:type="dxa"/>
            <w:tcBorders/>
            <w:vAlign w:val="center"/>
          </w:tcPr>
          <w:p>
            <w:pPr>
              <w:jc w:val="right"/>
            </w:pPr>
            <w:r>
              <w:rPr>
                <w:rFonts w:ascii="宋体" w:eastAsia="宋体" w:hAnsi="宋体" w:cs="宋体"/>
                <w:b w:val="0"/>
                <w:i w:val="0"/>
                <w:color w:val="000000"/>
                <w:sz w:val="16"/>
              </w:rPr>
              <w:t xml:space="preserve">19.89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19.89</w:t>
            </w:r>
          </w:p>
        </w:tc>
        <w:tc>
          <w:tcPr>
            <w:tcW w:w="1120" w:type="dxa"/>
            <w:tcBorders/>
            <w:vAlign w:val="center"/>
          </w:tcPr>
          <w:p>
            <w:pPr>
              <w:jc w:val="right"/>
            </w:pPr>
            <w:r>
              <w:rPr>
                <w:rFonts w:ascii="宋体" w:eastAsia="宋体" w:hAnsi="宋体" w:cs="宋体"/>
                <w:b w:val="0"/>
                <w:i w:val="0"/>
                <w:color w:val="000000"/>
                <w:sz w:val="16"/>
              </w:rPr>
              <w:t xml:space="preserve">19.89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10.06</w:t>
            </w:r>
          </w:p>
        </w:tc>
        <w:tc>
          <w:tcPr>
            <w:tcW w:w="1120" w:type="dxa"/>
            <w:tcBorders/>
            <w:vAlign w:val="center"/>
          </w:tcPr>
          <w:p>
            <w:pPr>
              <w:jc w:val="right"/>
            </w:pPr>
            <w:r>
              <w:rPr>
                <w:rFonts w:ascii="宋体" w:eastAsia="宋体" w:hAnsi="宋体" w:cs="宋体"/>
                <w:b w:val="0"/>
                <w:i w:val="0"/>
                <w:color w:val="000000"/>
                <w:sz w:val="16"/>
              </w:rPr>
              <w:t xml:space="preserve">10.06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10.06</w:t>
            </w:r>
          </w:p>
        </w:tc>
        <w:tc>
          <w:tcPr>
            <w:tcW w:w="1120" w:type="dxa"/>
            <w:tcBorders/>
            <w:vAlign w:val="center"/>
          </w:tcPr>
          <w:p>
            <w:pPr>
              <w:jc w:val="right"/>
            </w:pPr>
            <w:r>
              <w:rPr>
                <w:rFonts w:ascii="宋体" w:eastAsia="宋体" w:hAnsi="宋体" w:cs="宋体"/>
                <w:b w:val="0"/>
                <w:i w:val="0"/>
                <w:color w:val="000000"/>
                <w:sz w:val="16"/>
              </w:rPr>
              <w:t xml:space="preserve">10.06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3.73</w:t>
            </w:r>
          </w:p>
        </w:tc>
        <w:tc>
          <w:tcPr>
            <w:tcW w:w="1120" w:type="dxa"/>
            <w:tcBorders/>
            <w:vAlign w:val="center"/>
          </w:tcPr>
          <w:p>
            <w:pPr>
              <w:jc w:val="right"/>
            </w:pPr>
            <w:r>
              <w:rPr>
                <w:rFonts w:ascii="宋体" w:eastAsia="宋体" w:hAnsi="宋体" w:cs="宋体"/>
                <w:b w:val="0"/>
                <w:i w:val="0"/>
                <w:color w:val="000000"/>
                <w:sz w:val="16"/>
              </w:rPr>
              <w:t xml:space="preserve">3.73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3.87</w:t>
            </w:r>
          </w:p>
        </w:tc>
        <w:tc>
          <w:tcPr>
            <w:tcW w:w="1120" w:type="dxa"/>
            <w:tcBorders/>
            <w:vAlign w:val="center"/>
          </w:tcPr>
          <w:p>
            <w:pPr>
              <w:jc w:val="right"/>
            </w:pPr>
            <w:r>
              <w:rPr>
                <w:rFonts w:ascii="宋体" w:eastAsia="宋体" w:hAnsi="宋体" w:cs="宋体"/>
                <w:b w:val="0"/>
                <w:i w:val="0"/>
                <w:color w:val="000000"/>
                <w:sz w:val="16"/>
              </w:rPr>
              <w:t xml:space="preserve">3.87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公务员医疗补助</w:t>
            </w:r>
          </w:p>
        </w:tc>
        <w:tc>
          <w:tcPr>
            <w:tcW w:w="1120" w:type="dxa"/>
            <w:tcBorders/>
            <w:vAlign w:val="center"/>
          </w:tcPr>
          <w:p>
            <w:pPr>
              <w:jc w:val="right"/>
            </w:pPr>
            <w:r>
              <w:rPr>
                <w:rFonts w:ascii="宋体" w:eastAsia="宋体" w:hAnsi="宋体" w:cs="宋体"/>
                <w:b w:val="0"/>
                <w:i w:val="0"/>
                <w:color w:val="000000"/>
                <w:sz w:val="16"/>
              </w:rPr>
              <w:t xml:space="preserve">2.13</w:t>
            </w:r>
          </w:p>
        </w:tc>
        <w:tc>
          <w:tcPr>
            <w:tcW w:w="1120" w:type="dxa"/>
            <w:tcBorders/>
            <w:vAlign w:val="center"/>
          </w:tcPr>
          <w:p>
            <w:pPr>
              <w:jc w:val="right"/>
            </w:pPr>
            <w:r>
              <w:rPr>
                <w:rFonts w:ascii="宋体" w:eastAsia="宋体" w:hAnsi="宋体" w:cs="宋体"/>
                <w:b w:val="0"/>
                <w:i w:val="0"/>
                <w:color w:val="000000"/>
                <w:sz w:val="16"/>
              </w:rPr>
              <w:t xml:space="preserve">2.13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0.33</w:t>
            </w:r>
          </w:p>
        </w:tc>
        <w:tc>
          <w:tcPr>
            <w:tcW w:w="1120" w:type="dxa"/>
            <w:tcBorders/>
            <w:vAlign w:val="center"/>
          </w:tcPr>
          <w:p>
            <w:pPr>
              <w:jc w:val="right"/>
            </w:pPr>
            <w:r>
              <w:rPr>
                <w:rFonts w:ascii="宋体" w:eastAsia="宋体" w:hAnsi="宋体" w:cs="宋体"/>
                <w:b w:val="0"/>
                <w:i w:val="0"/>
                <w:color w:val="000000"/>
                <w:sz w:val="16"/>
              </w:rPr>
              <w:t xml:space="preserve">0.33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18.46</w:t>
            </w:r>
          </w:p>
        </w:tc>
        <w:tc>
          <w:tcPr>
            <w:tcW w:w="1120" w:type="dxa"/>
            <w:tcBorders/>
            <w:vAlign w:val="center"/>
          </w:tcPr>
          <w:p>
            <w:pPr>
              <w:jc w:val="right"/>
            </w:pPr>
            <w:r>
              <w:rPr>
                <w:rFonts w:ascii="宋体" w:eastAsia="宋体" w:hAnsi="宋体" w:cs="宋体"/>
                <w:b w:val="0"/>
                <w:i w:val="0"/>
                <w:color w:val="000000"/>
                <w:sz w:val="16"/>
              </w:rPr>
              <w:t xml:space="preserve">18.46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18.46</w:t>
            </w:r>
          </w:p>
        </w:tc>
        <w:tc>
          <w:tcPr>
            <w:tcW w:w="1120" w:type="dxa"/>
            <w:tcBorders/>
            <w:vAlign w:val="center"/>
          </w:tcPr>
          <w:p>
            <w:pPr>
              <w:jc w:val="right"/>
            </w:pPr>
            <w:r>
              <w:rPr>
                <w:rFonts w:ascii="宋体" w:eastAsia="宋体" w:hAnsi="宋体" w:cs="宋体"/>
                <w:b w:val="0"/>
                <w:i w:val="0"/>
                <w:color w:val="000000"/>
                <w:sz w:val="16"/>
              </w:rPr>
              <w:t xml:space="preserve">18.46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18.46</w:t>
            </w:r>
          </w:p>
        </w:tc>
        <w:tc>
          <w:tcPr>
            <w:tcW w:w="1120" w:type="dxa"/>
            <w:tcBorders/>
            <w:vAlign w:val="center"/>
          </w:tcPr>
          <w:p>
            <w:pPr>
              <w:jc w:val="right"/>
            </w:pPr>
            <w:r>
              <w:rPr>
                <w:rFonts w:ascii="宋体" w:eastAsia="宋体" w:hAnsi="宋体" w:cs="宋体"/>
                <w:b w:val="0"/>
                <w:i w:val="0"/>
                <w:color w:val="000000"/>
                <w:sz w:val="16"/>
              </w:rPr>
              <w:t xml:space="preserve">18.46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部门：辽宁省盘锦市兴隆台区统计局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232.81</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184.41</w:t>
            </w:r>
          </w:p>
        </w:tc>
        <w:tc>
          <w:tcPr>
            <w:tcW w:w="1100" w:type="dxa"/>
            <w:tcBorders/>
            <w:vAlign w:val="center"/>
          </w:tcPr>
          <w:p>
            <w:pPr>
              <w:jc w:val="right"/>
            </w:pPr>
            <w:r>
              <w:rPr>
                <w:rFonts w:ascii="宋体" w:eastAsia="宋体" w:hAnsi="宋体" w:cs="宋体"/>
                <w:b w:val="0"/>
                <w:i w:val="0"/>
                <w:color w:val="000000"/>
                <w:sz w:val="14"/>
              </w:rPr>
              <w:t xml:space="preserve">184.41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19.89</w:t>
            </w:r>
          </w:p>
        </w:tc>
        <w:tc>
          <w:tcPr>
            <w:tcW w:w="1100" w:type="dxa"/>
            <w:tcBorders/>
            <w:vAlign w:val="center"/>
          </w:tcPr>
          <w:p>
            <w:pPr>
              <w:jc w:val="right"/>
            </w:pPr>
            <w:r>
              <w:rPr>
                <w:rFonts w:ascii="宋体" w:eastAsia="宋体" w:hAnsi="宋体" w:cs="宋体"/>
                <w:b w:val="0"/>
                <w:i w:val="0"/>
                <w:color w:val="000000"/>
                <w:sz w:val="14"/>
              </w:rPr>
              <w:t xml:space="preserve">19.89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10.06</w:t>
            </w:r>
          </w:p>
        </w:tc>
        <w:tc>
          <w:tcPr>
            <w:tcW w:w="1100" w:type="dxa"/>
            <w:tcBorders/>
            <w:vAlign w:val="center"/>
          </w:tcPr>
          <w:p>
            <w:pPr>
              <w:jc w:val="right"/>
            </w:pPr>
            <w:r>
              <w:rPr>
                <w:rFonts w:ascii="宋体" w:eastAsia="宋体" w:hAnsi="宋体" w:cs="宋体"/>
                <w:b w:val="0"/>
                <w:i w:val="0"/>
                <w:color w:val="000000"/>
                <w:sz w:val="14"/>
              </w:rPr>
              <w:t xml:space="preserve">10.06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18.46</w:t>
            </w:r>
          </w:p>
        </w:tc>
        <w:tc>
          <w:tcPr>
            <w:tcW w:w="1100" w:type="dxa"/>
            <w:tcBorders/>
            <w:vAlign w:val="center"/>
          </w:tcPr>
          <w:p>
            <w:pPr>
              <w:jc w:val="right"/>
            </w:pPr>
            <w:r>
              <w:rPr>
                <w:rFonts w:ascii="宋体" w:eastAsia="宋体" w:hAnsi="宋体" w:cs="宋体"/>
                <w:b w:val="0"/>
                <w:i w:val="0"/>
                <w:color w:val="000000"/>
                <w:sz w:val="14"/>
              </w:rPr>
              <w:t xml:space="preserve">18.46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232.81</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232.81</w:t>
            </w:r>
          </w:p>
        </w:tc>
        <w:tc>
          <w:tcPr>
            <w:tcW w:w="1100" w:type="dxa"/>
            <w:tcBorders/>
            <w:vAlign w:val="center"/>
          </w:tcPr>
          <w:p>
            <w:pPr>
              <w:jc w:val="right"/>
            </w:pPr>
            <w:r>
              <w:rPr>
                <w:rFonts w:ascii="宋体" w:eastAsia="宋体" w:hAnsi="宋体" w:cs="宋体"/>
                <w:b w:val="0"/>
                <w:i w:val="0"/>
                <w:color w:val="000000"/>
                <w:sz w:val="14"/>
              </w:rPr>
              <w:t xml:space="preserve">232.81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232.81</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232.81</w:t>
            </w:r>
          </w:p>
        </w:tc>
        <w:tc>
          <w:tcPr>
            <w:tcW w:w="1100" w:type="dxa"/>
            <w:tcBorders/>
            <w:vAlign w:val="center"/>
          </w:tcPr>
          <w:p>
            <w:pPr>
              <w:jc w:val="right"/>
            </w:pPr>
            <w:r>
              <w:rPr>
                <w:rFonts w:ascii="宋体" w:eastAsia="宋体" w:hAnsi="宋体" w:cs="宋体"/>
                <w:b w:val="0"/>
                <w:i w:val="0"/>
                <w:color w:val="000000"/>
                <w:sz w:val="14"/>
              </w:rPr>
              <w:t xml:space="preserve">232.81</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部门：辽宁省盘锦市兴隆台区统计局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232.81</w:t>
            </w:r>
          </w:p>
        </w:tc>
        <w:tc>
          <w:tcPr>
            <w:tcW w:w="1980" w:type="dxa"/>
            <w:tcBorders/>
            <w:vAlign w:val="center"/>
          </w:tcPr>
          <w:p>
            <w:pPr>
              <w:jc w:val="right"/>
            </w:pPr>
            <w:r>
              <w:rPr>
                <w:rFonts w:ascii="宋体" w:eastAsia="宋体" w:hAnsi="宋体" w:cs="宋体"/>
                <w:b/>
                <w:i w:val="0"/>
                <w:color w:val="000000"/>
                <w:sz w:val="20"/>
              </w:rPr>
              <w:t xml:space="preserve">217.88</w:t>
            </w:r>
          </w:p>
        </w:tc>
        <w:tc>
          <w:tcPr>
            <w:tcW w:w="1952" w:type="dxa"/>
            <w:tcBorders/>
            <w:vAlign w:val="center"/>
          </w:tcPr>
          <w:p>
            <w:pPr>
              <w:jc w:val="right"/>
            </w:pPr>
            <w:r>
              <w:rPr>
                <w:rFonts w:ascii="宋体" w:eastAsia="宋体" w:hAnsi="宋体" w:cs="宋体"/>
                <w:b/>
                <w:i w:val="0"/>
                <w:color w:val="000000"/>
                <w:sz w:val="20"/>
              </w:rPr>
              <w:t xml:space="preserve">14.94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184.41</w:t>
            </w:r>
          </w:p>
        </w:tc>
        <w:tc>
          <w:tcPr>
            <w:tcW w:w="1980" w:type="dxa"/>
            <w:tcBorders/>
            <w:vAlign w:val="center"/>
          </w:tcPr>
          <w:p>
            <w:pPr>
              <w:jc w:val="right"/>
            </w:pPr>
            <w:r>
              <w:rPr>
                <w:rFonts w:ascii="宋体" w:eastAsia="宋体" w:hAnsi="宋体" w:cs="宋体"/>
                <w:b w:val="0"/>
                <w:i w:val="0"/>
                <w:color w:val="000000"/>
                <w:sz w:val="20"/>
              </w:rPr>
              <w:t xml:space="preserve">169.47</w:t>
            </w:r>
          </w:p>
        </w:tc>
        <w:tc>
          <w:tcPr>
            <w:tcW w:w="1952" w:type="dxa"/>
            <w:tcBorders/>
            <w:vAlign w:val="center"/>
          </w:tcPr>
          <w:p>
            <w:pPr>
              <w:jc w:val="right"/>
            </w:pPr>
            <w:r>
              <w:rPr>
                <w:rFonts w:ascii="宋体" w:eastAsia="宋体" w:hAnsi="宋体" w:cs="宋体"/>
                <w:b w:val="0"/>
                <w:i w:val="0"/>
                <w:color w:val="000000"/>
                <w:sz w:val="20"/>
              </w:rPr>
              <w:t xml:space="preserve">14.94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统计信息事务</w:t>
            </w:r>
          </w:p>
        </w:tc>
        <w:tc>
          <w:tcPr>
            <w:tcW w:w="1980" w:type="dxa"/>
            <w:tcBorders/>
            <w:vAlign w:val="center"/>
          </w:tcPr>
          <w:p>
            <w:pPr>
              <w:jc w:val="right"/>
            </w:pPr>
            <w:r>
              <w:rPr>
                <w:rFonts w:ascii="宋体" w:eastAsia="宋体" w:hAnsi="宋体" w:cs="宋体"/>
                <w:b w:val="0"/>
                <w:i w:val="0"/>
                <w:color w:val="000000"/>
                <w:sz w:val="20"/>
              </w:rPr>
              <w:t xml:space="preserve">184.41</w:t>
            </w:r>
          </w:p>
        </w:tc>
        <w:tc>
          <w:tcPr>
            <w:tcW w:w="1980" w:type="dxa"/>
            <w:tcBorders/>
            <w:vAlign w:val="center"/>
          </w:tcPr>
          <w:p>
            <w:pPr>
              <w:jc w:val="right"/>
            </w:pPr>
            <w:r>
              <w:rPr>
                <w:rFonts w:ascii="宋体" w:eastAsia="宋体" w:hAnsi="宋体" w:cs="宋体"/>
                <w:b w:val="0"/>
                <w:i w:val="0"/>
                <w:color w:val="000000"/>
                <w:sz w:val="20"/>
              </w:rPr>
              <w:t xml:space="preserve">169.47</w:t>
            </w:r>
          </w:p>
        </w:tc>
        <w:tc>
          <w:tcPr>
            <w:tcW w:w="1952" w:type="dxa"/>
            <w:tcBorders/>
            <w:vAlign w:val="center"/>
          </w:tcPr>
          <w:p>
            <w:pPr>
              <w:jc w:val="right"/>
            </w:pPr>
            <w:r>
              <w:rPr>
                <w:rFonts w:ascii="宋体" w:eastAsia="宋体" w:hAnsi="宋体" w:cs="宋体"/>
                <w:b w:val="0"/>
                <w:i w:val="0"/>
                <w:color w:val="000000"/>
                <w:sz w:val="20"/>
              </w:rPr>
              <w:t xml:space="preserve">14.94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99.86</w:t>
            </w:r>
          </w:p>
        </w:tc>
        <w:tc>
          <w:tcPr>
            <w:tcW w:w="1980" w:type="dxa"/>
            <w:tcBorders/>
            <w:vAlign w:val="center"/>
          </w:tcPr>
          <w:p>
            <w:pPr>
              <w:jc w:val="right"/>
            </w:pPr>
            <w:r>
              <w:rPr>
                <w:rFonts w:ascii="宋体" w:eastAsia="宋体" w:hAnsi="宋体" w:cs="宋体"/>
                <w:b w:val="0"/>
                <w:i w:val="0"/>
                <w:color w:val="000000"/>
                <w:sz w:val="20"/>
              </w:rPr>
              <w:t xml:space="preserve">99.86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一般行政管理事务</w:t>
            </w:r>
          </w:p>
        </w:tc>
        <w:tc>
          <w:tcPr>
            <w:tcW w:w="1980" w:type="dxa"/>
            <w:tcBorders/>
            <w:vAlign w:val="center"/>
          </w:tcPr>
          <w:p>
            <w:pPr>
              <w:jc w:val="right"/>
            </w:pPr>
            <w:r>
              <w:rPr>
                <w:rFonts w:ascii="宋体" w:eastAsia="宋体" w:hAnsi="宋体" w:cs="宋体"/>
                <w:b w:val="0"/>
                <w:i w:val="0"/>
                <w:color w:val="000000"/>
                <w:sz w:val="20"/>
              </w:rPr>
              <w:t xml:space="preserve">13.99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13.99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专项统计业务</w:t>
            </w:r>
          </w:p>
        </w:tc>
        <w:tc>
          <w:tcPr>
            <w:tcW w:w="1980" w:type="dxa"/>
            <w:tcBorders/>
            <w:vAlign w:val="center"/>
          </w:tcPr>
          <w:p>
            <w:pPr>
              <w:jc w:val="right"/>
            </w:pPr>
            <w:r>
              <w:rPr>
                <w:rFonts w:ascii="宋体" w:eastAsia="宋体" w:hAnsi="宋体" w:cs="宋体"/>
                <w:b w:val="0"/>
                <w:i w:val="0"/>
                <w:color w:val="000000"/>
                <w:sz w:val="20"/>
              </w:rPr>
              <w:t xml:space="preserve">0.95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0.95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2010550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69.61</w:t>
            </w:r>
          </w:p>
        </w:tc>
        <w:tc>
          <w:tcPr>
            <w:tcW w:w="1980" w:type="dxa"/>
            <w:tcBorders/>
            <w:vAlign w:val="center"/>
          </w:tcPr>
          <w:p>
            <w:pPr>
              <w:jc w:val="right"/>
            </w:pPr>
            <w:r>
              <w:rPr>
                <w:rFonts w:ascii="宋体" w:eastAsia="宋体" w:hAnsi="宋体" w:cs="宋体"/>
                <w:b w:val="0"/>
                <w:i w:val="0"/>
                <w:color w:val="000000"/>
                <w:sz w:val="20"/>
              </w:rPr>
              <w:t xml:space="preserve">69.61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19.89</w:t>
            </w:r>
          </w:p>
        </w:tc>
        <w:tc>
          <w:tcPr>
            <w:tcW w:w="1980" w:type="dxa"/>
            <w:tcBorders/>
            <w:vAlign w:val="center"/>
          </w:tcPr>
          <w:p>
            <w:pPr>
              <w:jc w:val="right"/>
            </w:pPr>
            <w:r>
              <w:rPr>
                <w:rFonts w:ascii="宋体" w:eastAsia="宋体" w:hAnsi="宋体" w:cs="宋体"/>
                <w:b w:val="0"/>
                <w:i w:val="0"/>
                <w:color w:val="000000"/>
                <w:sz w:val="20"/>
              </w:rPr>
              <w:t xml:space="preserve">19.89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19.89</w:t>
            </w:r>
          </w:p>
        </w:tc>
        <w:tc>
          <w:tcPr>
            <w:tcW w:w="1980" w:type="dxa"/>
            <w:tcBorders/>
            <w:vAlign w:val="center"/>
          </w:tcPr>
          <w:p>
            <w:pPr>
              <w:jc w:val="right"/>
            </w:pPr>
            <w:r>
              <w:rPr>
                <w:rFonts w:ascii="宋体" w:eastAsia="宋体" w:hAnsi="宋体" w:cs="宋体"/>
                <w:b w:val="0"/>
                <w:i w:val="0"/>
                <w:color w:val="000000"/>
                <w:sz w:val="20"/>
              </w:rPr>
              <w:t xml:space="preserve">19.89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19.89</w:t>
            </w:r>
          </w:p>
        </w:tc>
        <w:tc>
          <w:tcPr>
            <w:tcW w:w="1980" w:type="dxa"/>
            <w:tcBorders/>
            <w:vAlign w:val="center"/>
          </w:tcPr>
          <w:p>
            <w:pPr>
              <w:jc w:val="right"/>
            </w:pPr>
            <w:r>
              <w:rPr>
                <w:rFonts w:ascii="宋体" w:eastAsia="宋体" w:hAnsi="宋体" w:cs="宋体"/>
                <w:b w:val="0"/>
                <w:i w:val="0"/>
                <w:color w:val="000000"/>
                <w:sz w:val="20"/>
              </w:rPr>
              <w:t xml:space="preserve">19.89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10.06</w:t>
            </w:r>
          </w:p>
        </w:tc>
        <w:tc>
          <w:tcPr>
            <w:tcW w:w="1980" w:type="dxa"/>
            <w:tcBorders/>
            <w:vAlign w:val="center"/>
          </w:tcPr>
          <w:p>
            <w:pPr>
              <w:jc w:val="right"/>
            </w:pPr>
            <w:r>
              <w:rPr>
                <w:rFonts w:ascii="宋体" w:eastAsia="宋体" w:hAnsi="宋体" w:cs="宋体"/>
                <w:b w:val="0"/>
                <w:i w:val="0"/>
                <w:color w:val="000000"/>
                <w:sz w:val="20"/>
              </w:rPr>
              <w:t xml:space="preserve">10.06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10.06</w:t>
            </w:r>
          </w:p>
        </w:tc>
        <w:tc>
          <w:tcPr>
            <w:tcW w:w="1980" w:type="dxa"/>
            <w:tcBorders/>
            <w:vAlign w:val="center"/>
          </w:tcPr>
          <w:p>
            <w:pPr>
              <w:jc w:val="right"/>
            </w:pPr>
            <w:r>
              <w:rPr>
                <w:rFonts w:ascii="宋体" w:eastAsia="宋体" w:hAnsi="宋体" w:cs="宋体"/>
                <w:b w:val="0"/>
                <w:i w:val="0"/>
                <w:color w:val="000000"/>
                <w:sz w:val="20"/>
              </w:rPr>
              <w:t xml:space="preserve">10.06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3.73</w:t>
            </w:r>
          </w:p>
        </w:tc>
        <w:tc>
          <w:tcPr>
            <w:tcW w:w="1980" w:type="dxa"/>
            <w:tcBorders/>
            <w:vAlign w:val="center"/>
          </w:tcPr>
          <w:p>
            <w:pPr>
              <w:jc w:val="right"/>
            </w:pPr>
            <w:r>
              <w:rPr>
                <w:rFonts w:ascii="宋体" w:eastAsia="宋体" w:hAnsi="宋体" w:cs="宋体"/>
                <w:b w:val="0"/>
                <w:i w:val="0"/>
                <w:color w:val="000000"/>
                <w:sz w:val="20"/>
              </w:rPr>
              <w:t xml:space="preserve">3.73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3.87</w:t>
            </w:r>
          </w:p>
        </w:tc>
        <w:tc>
          <w:tcPr>
            <w:tcW w:w="1980" w:type="dxa"/>
            <w:tcBorders/>
            <w:vAlign w:val="center"/>
          </w:tcPr>
          <w:p>
            <w:pPr>
              <w:jc w:val="right"/>
            </w:pPr>
            <w:r>
              <w:rPr>
                <w:rFonts w:ascii="宋体" w:eastAsia="宋体" w:hAnsi="宋体" w:cs="宋体"/>
                <w:b w:val="0"/>
                <w:i w:val="0"/>
                <w:color w:val="000000"/>
                <w:sz w:val="20"/>
              </w:rPr>
              <w:t xml:space="preserve">3.87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公务员医疗补助</w:t>
            </w:r>
          </w:p>
        </w:tc>
        <w:tc>
          <w:tcPr>
            <w:tcW w:w="1980" w:type="dxa"/>
            <w:tcBorders/>
            <w:vAlign w:val="center"/>
          </w:tcPr>
          <w:p>
            <w:pPr>
              <w:jc w:val="right"/>
            </w:pPr>
            <w:r>
              <w:rPr>
                <w:rFonts w:ascii="宋体" w:eastAsia="宋体" w:hAnsi="宋体" w:cs="宋体"/>
                <w:b w:val="0"/>
                <w:i w:val="0"/>
                <w:color w:val="000000"/>
                <w:sz w:val="20"/>
              </w:rPr>
              <w:t xml:space="preserve">2.13</w:t>
            </w:r>
          </w:p>
        </w:tc>
        <w:tc>
          <w:tcPr>
            <w:tcW w:w="1980" w:type="dxa"/>
            <w:tcBorders/>
            <w:vAlign w:val="center"/>
          </w:tcPr>
          <w:p>
            <w:pPr>
              <w:jc w:val="right"/>
            </w:pPr>
            <w:r>
              <w:rPr>
                <w:rFonts w:ascii="宋体" w:eastAsia="宋体" w:hAnsi="宋体" w:cs="宋体"/>
                <w:b w:val="0"/>
                <w:i w:val="0"/>
                <w:color w:val="000000"/>
                <w:sz w:val="20"/>
              </w:rPr>
              <w:t xml:space="preserve">2.13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0.33</w:t>
            </w:r>
          </w:p>
        </w:tc>
        <w:tc>
          <w:tcPr>
            <w:tcW w:w="1980" w:type="dxa"/>
            <w:tcBorders/>
            <w:vAlign w:val="center"/>
          </w:tcPr>
          <w:p>
            <w:pPr>
              <w:jc w:val="right"/>
            </w:pPr>
            <w:r>
              <w:rPr>
                <w:rFonts w:ascii="宋体" w:eastAsia="宋体" w:hAnsi="宋体" w:cs="宋体"/>
                <w:b w:val="0"/>
                <w:i w:val="0"/>
                <w:color w:val="000000"/>
                <w:sz w:val="20"/>
              </w:rPr>
              <w:t xml:space="preserve">0.33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18.46</w:t>
            </w:r>
          </w:p>
        </w:tc>
        <w:tc>
          <w:tcPr>
            <w:tcW w:w="1980" w:type="dxa"/>
            <w:tcBorders/>
            <w:vAlign w:val="center"/>
          </w:tcPr>
          <w:p>
            <w:pPr>
              <w:jc w:val="right"/>
            </w:pPr>
            <w:r>
              <w:rPr>
                <w:rFonts w:ascii="宋体" w:eastAsia="宋体" w:hAnsi="宋体" w:cs="宋体"/>
                <w:b w:val="0"/>
                <w:i w:val="0"/>
                <w:color w:val="000000"/>
                <w:sz w:val="20"/>
              </w:rPr>
              <w:t xml:space="preserve">18.46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18.46</w:t>
            </w:r>
          </w:p>
        </w:tc>
        <w:tc>
          <w:tcPr>
            <w:tcW w:w="1980" w:type="dxa"/>
            <w:tcBorders/>
            <w:vAlign w:val="center"/>
          </w:tcPr>
          <w:p>
            <w:pPr>
              <w:jc w:val="right"/>
            </w:pPr>
            <w:r>
              <w:rPr>
                <w:rFonts w:ascii="宋体" w:eastAsia="宋体" w:hAnsi="宋体" w:cs="宋体"/>
                <w:b w:val="0"/>
                <w:i w:val="0"/>
                <w:color w:val="000000"/>
                <w:sz w:val="20"/>
              </w:rPr>
              <w:t xml:space="preserve">18.46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18.46</w:t>
            </w:r>
          </w:p>
        </w:tc>
        <w:tc>
          <w:tcPr>
            <w:tcW w:w="1980" w:type="dxa"/>
            <w:tcBorders/>
            <w:vAlign w:val="center"/>
          </w:tcPr>
          <w:p>
            <w:pPr>
              <w:jc w:val="right"/>
            </w:pPr>
            <w:r>
              <w:rPr>
                <w:rFonts w:ascii="宋体" w:eastAsia="宋体" w:hAnsi="宋体" w:cs="宋体"/>
                <w:b w:val="0"/>
                <w:i w:val="0"/>
                <w:color w:val="000000"/>
                <w:sz w:val="20"/>
              </w:rPr>
              <w:t xml:space="preserve">18.46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部门：辽宁省盘锦市兴隆台区统计局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202.00</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15.88</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67.79</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2.91</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24.12</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3.63</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36.05</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jc w:val="right"/>
            </w:pPr>
            <w:r>
              <w:rPr>
                <w:rFonts w:ascii="宋体" w:eastAsia="宋体" w:hAnsi="宋体" w:cs="宋体"/>
                <w:b w:val="0"/>
                <w:i w:val="0"/>
                <w:color w:val="000000"/>
                <w:sz w:val="14"/>
              </w:rPr>
              <w:t xml:space="preserve">0.04</w:t>
            </w: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25.32</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19.89</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0.31</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7.57</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jc w:val="right"/>
            </w:pPr>
            <w:r>
              <w:rPr>
                <w:rFonts w:ascii="宋体" w:eastAsia="宋体" w:hAnsi="宋体" w:cs="宋体"/>
                <w:b w:val="0"/>
                <w:i w:val="0"/>
                <w:color w:val="000000"/>
                <w:sz w:val="14"/>
              </w:rPr>
              <w:t xml:space="preserve">2.13</w:t>
            </w: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0.68</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0.33</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18.46</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jc w:val="right"/>
            </w:pPr>
            <w:r>
              <w:rPr>
                <w:rFonts w:ascii="宋体" w:eastAsia="宋体" w:hAnsi="宋体" w:cs="宋体"/>
                <w:b w:val="0"/>
                <w:i w:val="0"/>
                <w:color w:val="000000"/>
                <w:sz w:val="14"/>
              </w:rPr>
              <w:t xml:space="preserve">2.87</w:t>
            </w: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jc w:val="right"/>
            </w:pPr>
            <w:r>
              <w:rPr>
                <w:rFonts w:ascii="宋体" w:eastAsia="宋体" w:hAnsi="宋体" w:cs="宋体"/>
                <w:b w:val="0"/>
                <w:i w:val="0"/>
                <w:color w:val="000000"/>
                <w:sz w:val="14"/>
              </w:rPr>
              <w:t xml:space="preserve">0.20</w:t>
            </w: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5.59</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202.00</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15.88</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部门：辽宁省盘锦市兴隆台区统计局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部门：辽宁省盘锦市兴隆台区统计局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部门：辽宁省盘锦市兴隆台区统计局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trPr>
          <w:trHeight w:hRule="exact" w:val="304"/>
          <w:jc w:val="center"/>
        </w:trPr>
        <w:tc>
          <w:tcPr>
            <w:tcW w:w="14837"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4"/>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4"/>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314011辽宁省盘锦市兴隆台区统计局-211103000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233.9</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233.9</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年度主要任务</w:t>
            </w: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22.6233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22.62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13.3</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97.456508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97.45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13.3</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4.207742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4.2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13.4</w:t>
            </w: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年度目标</w:t>
            </w: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一）承担组织领导和协调全区统计工作、确保统计数据真实准确的责任，贯彻执行国家、省、市基本统计制度、统计标准和统计指标体系，建立完善新经济统计调查制度，制定全区统计发展规划，依法开展统计执法检查，查处统计违法行为，加强统计系统诚信体系建设。</w:t>
            </w:r>
          </w:p>
          <w:p>
            <w:pPr>
              <w:snapToGrid w:val="0"/>
              <w:spacing w:before="0" w:beforeAutospacing="0" w:after="0" w:afterAutospacing="0" w:line="240" w:lineRule="auto"/>
              <w:jc w:val="center"/>
              <w:rPr/>
            </w:pPr>
            <w:r>
              <w:rPr>
                <w:rFonts w:ascii="宋体" w:eastAsia="宋体" w:hAnsi="宋体" w:cs="宋体"/>
                <w:b w:val="0"/>
                <w:i w:val="0"/>
                <w:color w:val="000000"/>
                <w:sz w:val="21"/>
              </w:rPr>
              <w:t xml:space="preserve">（二）建立健全全区国民经济核算体系，组织实施全区国民经济核算制度和全区投入产出调查制度，核算全区生产总值，汇编提供国民经济核算资料，监督、管理和指导全区国民经济核算工作。</w:t>
            </w:r>
          </w:p>
          <w:p>
            <w:pPr>
              <w:snapToGrid w:val="0"/>
              <w:spacing w:before="0" w:beforeAutospacing="0" w:after="0" w:afterAutospacing="0" w:line="240" w:lineRule="auto"/>
              <w:jc w:val="center"/>
              <w:rPr/>
            </w:pPr>
            <w:r>
              <w:rPr>
                <w:rFonts w:ascii="宋体" w:eastAsia="宋体" w:hAnsi="宋体" w:cs="宋体"/>
                <w:b w:val="0"/>
                <w:i w:val="0"/>
                <w:color w:val="000000"/>
                <w:sz w:val="21"/>
              </w:rPr>
              <w:t xml:space="preserve">（三）会同有关部门组织实施全区人口、经济、农业等国情国力普查和重大专项调查，收集、汇总、整理和提供有关国情国力、区情区力方面的统计数据。</w:t>
            </w:r>
          </w:p>
          <w:p>
            <w:pPr>
              <w:snapToGrid w:val="0"/>
              <w:spacing w:before="0" w:beforeAutospacing="0" w:after="0" w:afterAutospacing="0" w:line="240" w:lineRule="auto"/>
              <w:jc w:val="center"/>
              <w:rPr/>
            </w:pPr>
            <w:r>
              <w:rPr>
                <w:rFonts w:ascii="宋体" w:eastAsia="宋体" w:hAnsi="宋体" w:cs="宋体"/>
                <w:b w:val="0"/>
                <w:i w:val="0"/>
                <w:color w:val="000000"/>
                <w:sz w:val="21"/>
              </w:rPr>
              <w:t xml:space="preserve">（四）组织实施国民经济和社会发展各行业统计调查，收集、汇总、整理和提供有关调查的统计数据，综合整理和提供地质勘查、旅游、交通运输、邮政、教育、卫生、社会保障、公用事业等全区性基本统计数据。</w:t>
            </w:r>
          </w:p>
          <w:p>
            <w:pPr>
              <w:snapToGrid w:val="0"/>
              <w:spacing w:before="0" w:beforeAutospacing="0" w:after="0" w:afterAutospacing="0" w:line="240" w:lineRule="auto"/>
              <w:jc w:val="center"/>
              <w:rPr/>
            </w:pPr>
            <w:r>
              <w:rPr>
                <w:rFonts w:ascii="宋体" w:eastAsia="宋体" w:hAnsi="宋体" w:cs="宋体"/>
                <w:b w:val="0"/>
                <w:i w:val="0"/>
                <w:color w:val="000000"/>
                <w:sz w:val="21"/>
              </w:rPr>
              <w:t xml:space="preserve">（五）组织实施能源、投资、消费、科技、人口、劳动力、社会发展基本情况、环境基本状况、新经济情况等统计调查，收集、汇总、整理和提供有关统计数据，综合整理和提供资源、房屋、对外贸易、对外经济等全区性基本统计数据，统一核定、管理、公布全区性基本统计资料，定期发布全区国民经济和社会发展情况的统计信息，对全区国民经济、社会发展、科技进步和资源环境情况进行统计分析、统计监测和统计监督，向区委、区政府及有关部门提供统计信息和咨询建议。</w:t>
            </w:r>
          </w:p>
          <w:p>
            <w:pPr>
              <w:snapToGrid w:val="0"/>
              <w:spacing w:before="0" w:beforeAutospacing="0" w:after="0" w:afterAutospacing="0" w:line="240" w:lineRule="auto"/>
              <w:jc w:val="center"/>
              <w:rPr/>
            </w:pPr>
            <w:r>
              <w:rPr>
                <w:rFonts w:ascii="宋体" w:eastAsia="宋体" w:hAnsi="宋体" w:cs="宋体"/>
                <w:b w:val="0"/>
                <w:i w:val="0"/>
                <w:color w:val="000000"/>
                <w:sz w:val="21"/>
              </w:rPr>
              <w:t xml:space="preserve">（六）管理全区各部门的统计调查项目，指导专业统计基础工作和基层统计业务基础建设；建立健全统计数据质量审核、监控和评估制度并组织实施。</w:t>
            </w:r>
          </w:p>
          <w:p>
            <w:pPr>
              <w:snapToGrid w:val="0"/>
              <w:spacing w:before="0" w:beforeAutospacing="0" w:after="0" w:afterAutospacing="0" w:line="240" w:lineRule="auto"/>
              <w:jc w:val="center"/>
              <w:rPr/>
            </w:pPr>
            <w:r>
              <w:rPr>
                <w:rFonts w:ascii="宋体" w:eastAsia="宋体" w:hAnsi="宋体" w:cs="宋体"/>
                <w:b w:val="0"/>
                <w:i w:val="0"/>
                <w:color w:val="000000"/>
                <w:sz w:val="21"/>
              </w:rPr>
              <w:t xml:space="preserve">（七）指导全区统计专业技术队伍建设，协助市局组织全区统计专业技术职务中的高级资格初审工作。</w:t>
            </w:r>
          </w:p>
          <w:p>
            <w:pPr>
              <w:snapToGrid w:val="0"/>
              <w:spacing w:before="0" w:beforeAutospacing="0" w:after="0" w:afterAutospacing="0" w:line="240" w:lineRule="auto"/>
              <w:jc w:val="center"/>
              <w:rPr/>
            </w:pPr>
            <w:r>
              <w:rPr>
                <w:rFonts w:ascii="宋体" w:eastAsia="宋体" w:hAnsi="宋体" w:cs="宋体"/>
                <w:b w:val="0"/>
                <w:i w:val="0"/>
                <w:color w:val="000000"/>
                <w:sz w:val="21"/>
              </w:rPr>
              <w:t xml:space="preserve">（八）建立并管理全区统计信息化系统和数据库系统，组织实施统计数据库和网络的基本标准和运行规则，指导全区统计信息化系统建设、运行维护及信息安全，负责统计经费相关监督管理工作。</w:t>
            </w:r>
          </w:p>
          <w:p>
            <w:pPr>
              <w:snapToGrid w:val="0"/>
              <w:spacing w:before="0" w:beforeAutospacing="0" w:after="0" w:afterAutospacing="0" w:line="240" w:lineRule="auto"/>
              <w:jc w:val="center"/>
              <w:rPr/>
            </w:pPr>
            <w:r>
              <w:rPr>
                <w:rFonts w:ascii="宋体" w:eastAsia="宋体" w:hAnsi="宋体" w:cs="宋体"/>
                <w:b w:val="0"/>
                <w:i w:val="0"/>
                <w:color w:val="000000"/>
                <w:sz w:val="21"/>
              </w:rPr>
              <w:t xml:space="preserve">（九）收集和整理区外统计数据，组织实施与外市县区统计交流。</w:t>
            </w:r>
          </w:p>
          <w:p>
            <w:pPr>
              <w:snapToGrid w:val="0"/>
              <w:spacing w:before="0" w:beforeAutospacing="0" w:after="0" w:afterAutospacing="0" w:line="240" w:lineRule="auto"/>
              <w:jc w:val="center"/>
              <w:rPr/>
            </w:pPr>
            <w:r>
              <w:rPr>
                <w:rFonts w:ascii="宋体" w:eastAsia="宋体" w:hAnsi="宋体" w:cs="宋体"/>
                <w:b w:val="0"/>
                <w:i w:val="0"/>
                <w:color w:val="000000"/>
                <w:sz w:val="21"/>
              </w:rPr>
              <w:t xml:space="preserve">（十）完成区委、区政府交办的其他任务。</w:t>
            </w:r>
          </w:p>
          <w:p>
            <w:pPr>
              <w:snapToGrid w:val="0"/>
              <w:spacing w:before="0" w:beforeAutospacing="0" w:after="0" w:afterAutospacing="0" w:line="240" w:lineRule="auto"/>
              <w:jc w:val="center"/>
              <w:rPr/>
            </w:pPr>
            <w:r>
              <w:rPr>
                <w:rFonts w:ascii="宋体" w:eastAsia="宋体" w:hAnsi="宋体" w:cs="宋体"/>
                <w:b w:val="0"/>
                <w:i w:val="0"/>
                <w:color w:val="000000"/>
                <w:sz w:val="21"/>
              </w:rPr>
              <w:t xml:space="preserve">（十一）职能转变。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承担组织领导和协调全区统计工作、确保统计数据真实准确的责任，贯彻执行国家、省、市基本统计制度、统计标准和统计指标体系，建立完善新经济统计调查制度，制定全区统计发展规划，依法开展统计执法检查，查处统计违法行为，加强统计系统诚信体系建设。</w:t>
            </w:r>
          </w:p>
          <w:p>
            <w:pPr>
              <w:snapToGrid w:val="0"/>
              <w:spacing w:before="0" w:beforeAutospacing="0" w:after="0" w:afterAutospacing="0" w:line="240" w:lineRule="auto"/>
              <w:jc w:val="center"/>
              <w:rPr/>
            </w:pPr>
            <w:r>
              <w:rPr>
                <w:rFonts w:ascii="宋体" w:eastAsia="宋体" w:hAnsi="宋体" w:cs="宋体"/>
                <w:b w:val="0"/>
                <w:i w:val="0"/>
                <w:color w:val="000000"/>
                <w:sz w:val="21"/>
              </w:rPr>
              <w:t xml:space="preserve">建立健全全区国民经济核算体系，组织实施全区国民经济核算制度和全区投入产出调查制度，核算全区生产总值，汇编提供国民经济核算资料，监督、管理和指导全区国民经济核算工作。</w:t>
            </w:r>
          </w:p>
          <w:p>
            <w:pPr>
              <w:snapToGrid w:val="0"/>
              <w:spacing w:before="0" w:beforeAutospacing="0" w:after="0" w:afterAutospacing="0" w:line="240" w:lineRule="auto"/>
              <w:jc w:val="center"/>
              <w:rPr/>
            </w:pPr>
            <w:r>
              <w:rPr>
                <w:rFonts w:ascii="宋体" w:eastAsia="宋体" w:hAnsi="宋体" w:cs="宋体"/>
                <w:b w:val="0"/>
                <w:i w:val="0"/>
                <w:color w:val="000000"/>
                <w:sz w:val="21"/>
              </w:rPr>
              <w:t xml:space="preserve">会同有关部门组织实施全区人口、经济、农业等国情国力普查和重大专项调查，收集、汇总、整理和提供有关国情国力、区情区力方面的统计数据。</w:t>
            </w:r>
          </w:p>
          <w:p>
            <w:pPr>
              <w:snapToGrid w:val="0"/>
              <w:spacing w:before="0" w:beforeAutospacing="0" w:after="0" w:afterAutospacing="0" w:line="240" w:lineRule="auto"/>
              <w:jc w:val="center"/>
              <w:rPr/>
            </w:pPr>
            <w:r>
              <w:rPr>
                <w:rFonts w:ascii="宋体" w:eastAsia="宋体" w:hAnsi="宋体" w:cs="宋体"/>
                <w:b w:val="0"/>
                <w:i w:val="0"/>
                <w:color w:val="000000"/>
                <w:sz w:val="21"/>
              </w:rPr>
              <w:t xml:space="preserve">组织实施国民经济和社会发展各行业统计调查，收集、汇总、整理和提供有关调查的统计数据，综合整理和提供地质勘查、旅游、交通运输、邮政、教育、卫生、社会保障、公用事业等全区性基本统计数据。</w:t>
            </w:r>
          </w:p>
          <w:p>
            <w:pPr>
              <w:snapToGrid w:val="0"/>
              <w:spacing w:before="0" w:beforeAutospacing="0" w:after="0" w:afterAutospacing="0" w:line="240" w:lineRule="auto"/>
              <w:jc w:val="center"/>
              <w:rPr/>
            </w:pPr>
            <w:r>
              <w:rPr>
                <w:rFonts w:ascii="宋体" w:eastAsia="宋体" w:hAnsi="宋体" w:cs="宋体"/>
                <w:b w:val="0"/>
                <w:i w:val="0"/>
                <w:color w:val="000000"/>
                <w:sz w:val="21"/>
              </w:rPr>
              <w:t xml:space="preserve">组织实施能源、投资、消费、科技、人口、劳动力、社会发展基本情况、环境基本状况、新经济情况等统计调查，收集、汇总、整理和提供有关统计数据，综合整理和提供资源、房屋、对外贸易、对外经济等全区性基本统计数据，统一核定、管理、公布全区性基本统计资料，定期发布全区国民经济和社会发展情况的统计信息，对全区国民经济、社会发展、科技进步和资源环境情况进行统计分析、统计监测和统计监督，向区委、区政府及有关部门提供统计信息和咨询建议。</w:t>
            </w:r>
          </w:p>
          <w:p>
            <w:pPr>
              <w:snapToGrid w:val="0"/>
              <w:spacing w:before="0" w:beforeAutospacing="0" w:after="0" w:afterAutospacing="0" w:line="240" w:lineRule="auto"/>
              <w:jc w:val="center"/>
              <w:rPr/>
            </w:pPr>
            <w:r>
              <w:rPr>
                <w:rFonts w:ascii="宋体" w:eastAsia="宋体" w:hAnsi="宋体" w:cs="宋体"/>
                <w:b w:val="0"/>
                <w:i w:val="0"/>
                <w:color w:val="000000"/>
                <w:sz w:val="21"/>
              </w:rPr>
              <w:t xml:space="preserve">管理全区各部门的统计调查项目，指导专业统计基础工作和基层统计业务基础建设；建立健全统计数据质量审核、监控和评估制度并组织实施。</w:t>
            </w:r>
          </w:p>
          <w:p>
            <w:pPr>
              <w:snapToGrid w:val="0"/>
              <w:spacing w:before="0" w:beforeAutospacing="0" w:after="0" w:afterAutospacing="0" w:line="240" w:lineRule="auto"/>
              <w:jc w:val="center"/>
              <w:rPr/>
            </w:pPr>
            <w:r>
              <w:rPr>
                <w:rFonts w:ascii="宋体" w:eastAsia="宋体" w:hAnsi="宋体" w:cs="宋体"/>
                <w:b w:val="0"/>
                <w:i w:val="0"/>
                <w:color w:val="000000"/>
                <w:sz w:val="21"/>
              </w:rPr>
              <w:t xml:space="preserve">指导全区统计专业技术队伍建设，协助市局组织全区统计专业技术职务中的高级资格初审工作。</w:t>
            </w:r>
          </w:p>
          <w:p>
            <w:pPr>
              <w:snapToGrid w:val="0"/>
              <w:spacing w:before="0" w:beforeAutospacing="0" w:after="0" w:afterAutospacing="0" w:line="240" w:lineRule="auto"/>
              <w:jc w:val="center"/>
              <w:rPr/>
            </w:pPr>
            <w:r>
              <w:rPr>
                <w:rFonts w:ascii="宋体" w:eastAsia="宋体" w:hAnsi="宋体" w:cs="宋体"/>
                <w:b w:val="0"/>
                <w:i w:val="0"/>
                <w:color w:val="000000"/>
                <w:sz w:val="21"/>
              </w:rPr>
              <w:t xml:space="preserve">建立并管理全区统计信息化系统和数据库系统，组织实施统计数据库和网络的基本标准和运行规则，指导全区统计信息化系统建设、运行维护及信息安全，负责统计经费相关监督管理工作。</w:t>
            </w:r>
          </w:p>
          <w:p>
            <w:pPr>
              <w:snapToGrid w:val="0"/>
              <w:spacing w:before="0" w:beforeAutospacing="0" w:after="0" w:afterAutospacing="0" w:line="240" w:lineRule="auto"/>
              <w:jc w:val="center"/>
              <w:rPr/>
            </w:pPr>
            <w:r>
              <w:rPr>
                <w:rFonts w:ascii="宋体" w:eastAsia="宋体" w:hAnsi="宋体" w:cs="宋体"/>
                <w:b w:val="0"/>
                <w:i w:val="0"/>
                <w:color w:val="000000"/>
                <w:sz w:val="21"/>
              </w:rPr>
              <w:t xml:space="preserve"> 收集和整理区外统计数据，组织实施与外市县区统计交流。</w:t>
            </w:r>
          </w:p>
          <w:p>
            <w:pPr>
              <w:snapToGrid w:val="0"/>
              <w:spacing w:before="0" w:beforeAutospacing="0" w:after="0" w:afterAutospacing="0" w:line="240" w:lineRule="auto"/>
              <w:jc w:val="center"/>
              <w:rPr/>
            </w:pPr>
            <w:r>
              <w:rPr>
                <w:rFonts w:ascii="宋体" w:eastAsia="宋体" w:hAnsi="宋体" w:cs="宋体"/>
                <w:b w:val="0"/>
                <w:i w:val="0"/>
                <w:color w:val="000000"/>
                <w:sz w:val="21"/>
              </w:rPr>
              <w:t xml:space="preserve">成区委、区政府交办的其他任务。</w:t>
            </w:r>
          </w:p>
          <w:p>
            <w:pPr>
              <w:snapToGrid w:val="0"/>
              <w:spacing w:before="0" w:beforeAutospacing="0" w:after="0" w:afterAutospacing="0" w:line="240" w:lineRule="auto"/>
              <w:jc w:val="center"/>
              <w:rPr/>
            </w:pPr>
            <w:r>
              <w:rPr>
                <w:rFonts w:ascii="宋体" w:eastAsia="宋体" w:hAnsi="宋体" w:cs="宋体"/>
                <w:b w:val="0"/>
                <w:i w:val="0"/>
                <w:color w:val="000000"/>
                <w:sz w:val="21"/>
              </w:rPr>
              <w:t xml:space="preserve">职能转变。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703"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绩效指标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一级指标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二级指标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三级指标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运算符号</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指标值</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度量单位</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完成程度</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c>
          <w:tcPr>
            <w:tcW w:w="46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经费保障原因分析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制度保障原因分析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人员保障原因分析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硬件条件保障原因分析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其他原因分析</w:t>
            </w:r>
          </w:p>
        </w:tc>
        <w:tc>
          <w:tcPr>
            <w:tcW w:w="2775"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履职效能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重点工作履行情况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重点工作办结率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整体工作完成情况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总体工作完成率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工作完成及时率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工作质量达标率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基础管理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依法行政能力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预算调整率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结转结余变动率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管理效率</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预算绩效目标覆盖率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预算监督管理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预决算公开情况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全部公开</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预算收支管理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预算收入管理规范性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预算支出管理规范性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内控制度有效性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固定资产利用率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政府采购管理违法违规行为发生次数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运行成本</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成本控制成效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“三公”经费变动率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在职人员控制率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社会效应</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社会效益</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统计信息公开及时性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完成目标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主管部门满意度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上级主管部门满意度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可持续性</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体制机制改革</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人才培养机制健全性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健全</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36"/>
          <w:jc w:val="center"/>
        </w:trPr>
        <w:tc>
          <w:tcPr>
            <w:tcW w:w="7437"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100</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具体建议内容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加强各单位财务人员关于资产方面知识的培训，切实提高业务能力和业务水平，管理好单位的资产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结果应用建议_建议核减下一年度经费数额</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建议消减低效、无效资金或结构调整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建议回收长期沉淀的资金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36"/>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统计报表工作经费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辽宁省盘锦市兴隆台区统计局-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辽宁省盘锦市兴隆台区统计局-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改进预算项目管理改进措施和方式并预算一次核定、资金分年度拨付，减少或取消相应的安排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统计报表工作经费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辽宁省盘锦市兴隆台区统计局-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辽宁省盘锦市兴隆台区统计局-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改进预算项目管理改进措施和方式并预算一次核定、资金分年度拨付，减少或取消相应的安排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统计报表印刷费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辽宁省盘锦市兴隆台区统计局-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辽宁省盘锦市兴隆台区统计局-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改进预算项目管理、改进预算项目管理措施、改进预算项目管理方式、改进预算项目管理程度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专项调查费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辽宁省盘锦市兴隆台区统计局-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辽宁省盘锦市兴隆台区统计局-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0.95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47.64%</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确保单位正常运行</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4.76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35.76425</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改进预算项目管理、改进预算项目管理措施、改进预算项目管理方式、改进预算项目管理程度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04"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80730"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12"/>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ZGJhZmY1Yzg2MTExYzhmZjMxMTQ3ZDkwN2ExZTUwYmE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4085</Words>
  <Characters>12794</Characters>
  <Application>WPS Office_12.1.0.16417_F1E327BC-269C-435d-A152-05C5408002CA</Application>
  <DocSecurity>0</DocSecurity>
  <Lines>90</Lines>
  <Paragraphs>25</Paragraphs>
  <Company>Microsoft</Company>
  <CharactersWithSpaces>12919</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legion1</cp:lastModifiedBy>
  <cp:revision>10</cp:revision>
  <cp:lastPrinted>2023-07-31T21:56:00Z</cp:lastPrinted>
  <dcterms:created xsi:type="dcterms:W3CDTF">2024-05-11T01:33:00Z</dcterms:created>
  <dcterms:modified xsi:type="dcterms:W3CDTF">2024-08-27T09:11:37Z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2052-12.1.0.16417</vt:lpwstr>
  </property>
  <property fmtid="{D5CDD505-2E9C-101B-9397-08002B2CF9AE}" pid="3" name="ICV">
    <vt:lpwstr>EC9CEE0467244214B2233E74EBAAD9F6_13</vt:lpwstr>
  </property>
</Properties>
</file>