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F53FE8">
      <w:pPr>
        <w:spacing w:line="540" w:lineRule="exact"/>
        <w:rPr>
          <w:rFonts w:ascii="黑体" w:hAnsi="黑体" w:eastAsia="黑体" w:cs="黑体"/>
          <w:bCs/>
          <w:sz w:val="28"/>
          <w:szCs w:val="28"/>
        </w:rPr>
      </w:pPr>
      <w:bookmarkStart w:id="10" w:name="_GoBack"/>
      <w:bookmarkEnd w:id="10"/>
      <w:r>
        <w:rPr>
          <w:rFonts w:hint="eastAsia" w:ascii="黑体" w:hAnsi="黑体" w:eastAsia="黑体" w:cs="黑体"/>
          <w:bCs/>
          <w:sz w:val="28"/>
          <w:szCs w:val="28"/>
        </w:rPr>
        <w:t>附件</w:t>
      </w:r>
      <w:r>
        <w:rPr>
          <w:rFonts w:ascii="黑体" w:hAnsi="黑体" w:eastAsia="黑体" w:cs="黑体"/>
          <w:bCs/>
          <w:sz w:val="28"/>
          <w:szCs w:val="28"/>
        </w:rPr>
        <w:t>2</w:t>
      </w:r>
    </w:p>
    <w:p w14:paraId="03FA3162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531E4AE5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5E7751CB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16A50D6D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6DCF85D9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5EDFBBDD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2C4B70F3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380A769A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4BB55FBC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065564ED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76DAEECF">
      <w:pPr>
        <w:spacing w:line="540" w:lineRule="exact"/>
        <w:jc w:val="center"/>
        <w:rPr>
          <w:rFonts w:ascii="宋体" w:hAnsi="宋体"/>
          <w:b/>
          <w:sz w:val="52"/>
          <w:szCs w:val="52"/>
        </w:rPr>
      </w:pPr>
      <w:r>
        <w:rPr>
          <w:rFonts w:hint="eastAsia" w:ascii="宋体" w:hAnsi="宋体"/>
          <w:b/>
          <w:sz w:val="52"/>
          <w:szCs w:val="52"/>
        </w:rPr>
        <w:t>盘锦市兴隆台区曙光街道办事处</w:t>
      </w:r>
    </w:p>
    <w:p w14:paraId="5D5C2565">
      <w:pPr>
        <w:spacing w:line="540" w:lineRule="exact"/>
        <w:jc w:val="center"/>
        <w:rPr>
          <w:rFonts w:ascii="宋体" w:hAnsi="宋体"/>
          <w:b/>
          <w:sz w:val="52"/>
          <w:szCs w:val="52"/>
        </w:rPr>
      </w:pPr>
      <w:r>
        <w:rPr>
          <w:rFonts w:hint="eastAsia" w:ascii="宋体" w:hAnsi="宋体"/>
          <w:b/>
          <w:sz w:val="52"/>
          <w:szCs w:val="52"/>
        </w:rPr>
        <w:t>2021年度部门决算</w:t>
      </w:r>
    </w:p>
    <w:p w14:paraId="3EA0B25A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10FDB83F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433176E5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2C83F6DC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56902F3B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336B9CAC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6EA9C13E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5940164B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4BC560DE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0189769F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269CB98D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1D293A61">
      <w:pPr>
        <w:spacing w:line="540" w:lineRule="exact"/>
        <w:jc w:val="center"/>
        <w:rPr>
          <w:b/>
          <w:sz w:val="44"/>
          <w:szCs w:val="44"/>
          <w:u w:val="single"/>
        </w:rPr>
      </w:pPr>
    </w:p>
    <w:p w14:paraId="0D6E3311">
      <w:pPr>
        <w:spacing w:line="540" w:lineRule="exact"/>
        <w:jc w:val="center"/>
        <w:rPr>
          <w:b/>
          <w:sz w:val="44"/>
          <w:szCs w:val="44"/>
        </w:rPr>
      </w:pPr>
    </w:p>
    <w:p w14:paraId="72972F37">
      <w:pPr>
        <w:spacing w:line="540" w:lineRule="exact"/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目    录</w:t>
      </w:r>
    </w:p>
    <w:p w14:paraId="6C42D85E">
      <w:pPr>
        <w:spacing w:line="540" w:lineRule="exact"/>
        <w:rPr>
          <w:b/>
          <w:sz w:val="44"/>
          <w:szCs w:val="44"/>
          <w:u w:val="single"/>
        </w:rPr>
      </w:pPr>
    </w:p>
    <w:p w14:paraId="03CEAE59">
      <w:pPr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第一部分    部门概况</w:t>
      </w:r>
    </w:p>
    <w:p w14:paraId="4A1AD23F">
      <w:pPr>
        <w:numPr>
          <w:ilvl w:val="0"/>
          <w:numId w:val="1"/>
        </w:numPr>
        <w:spacing w:line="540" w:lineRule="exact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>主要职责</w:t>
      </w:r>
    </w:p>
    <w:p w14:paraId="13ECAF3D">
      <w:pPr>
        <w:numPr>
          <w:ilvl w:val="0"/>
          <w:numId w:val="1"/>
        </w:numPr>
        <w:spacing w:line="540" w:lineRule="exact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>部门决算单位构成</w:t>
      </w:r>
    </w:p>
    <w:p w14:paraId="08FB495B">
      <w:pPr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第二部分    2021年度部门决算情况说明</w:t>
      </w:r>
    </w:p>
    <w:p w14:paraId="4E99C922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一、收入支出决算总体情况说明</w:t>
      </w:r>
    </w:p>
    <w:p w14:paraId="492B4BD0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二、财政拨款收入支出决算情况说明</w:t>
      </w:r>
    </w:p>
    <w:p w14:paraId="1D43E87E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三、一般公共预算财政拨款“三公”经费支出决算情况说明</w:t>
      </w:r>
    </w:p>
    <w:p w14:paraId="1A6FF0B4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四、一般公共预算财政拨款基本支出决算情况说明</w:t>
      </w:r>
    </w:p>
    <w:p w14:paraId="170C098C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五、其他重要事项的情况说明</w:t>
      </w:r>
    </w:p>
    <w:p w14:paraId="040B0763">
      <w:pPr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第三部分    名词解释</w:t>
      </w:r>
    </w:p>
    <w:p w14:paraId="721CBFF2">
      <w:pPr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第四部分    2021年度部门决算报表</w:t>
      </w:r>
    </w:p>
    <w:p w14:paraId="02945A17">
      <w:pPr>
        <w:spacing w:line="540" w:lineRule="exact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一、2021年度</w:t>
      </w:r>
      <w:r>
        <w:rPr>
          <w:rFonts w:hint="eastAsia" w:ascii="仿宋_GB2312" w:hAnsi="仿宋" w:eastAsia="仿宋_GB2312"/>
          <w:sz w:val="32"/>
          <w:szCs w:val="32"/>
        </w:rPr>
        <w:t>收入支出决算总表</w:t>
      </w:r>
    </w:p>
    <w:p w14:paraId="15C4C501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二、2021年度收入决算表</w:t>
      </w:r>
    </w:p>
    <w:p w14:paraId="07C27F4F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三、2021年度支出决算表</w:t>
      </w:r>
    </w:p>
    <w:p w14:paraId="1B3DDA79">
      <w:pPr>
        <w:spacing w:line="540" w:lineRule="exact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四、2021年度</w:t>
      </w:r>
      <w:r>
        <w:rPr>
          <w:rFonts w:hint="eastAsia" w:ascii="仿宋_GB2312" w:hAnsi="仿宋" w:eastAsia="仿宋_GB2312"/>
          <w:sz w:val="32"/>
          <w:szCs w:val="32"/>
        </w:rPr>
        <w:t>财政拨款收入支出决算表</w:t>
      </w:r>
    </w:p>
    <w:p w14:paraId="3C7B457E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五、2021年度一般公共预算</w:t>
      </w:r>
      <w:r>
        <w:rPr>
          <w:rFonts w:ascii="仿宋_GB2312" w:eastAsia="仿宋_GB2312"/>
          <w:sz w:val="32"/>
          <w:szCs w:val="32"/>
        </w:rPr>
        <w:t>财政拨款支出决算表</w:t>
      </w:r>
    </w:p>
    <w:p w14:paraId="13E5513B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六、2021年度一般公共预算</w:t>
      </w:r>
      <w:r>
        <w:rPr>
          <w:rFonts w:ascii="仿宋_GB2312" w:eastAsia="仿宋_GB2312"/>
          <w:sz w:val="32"/>
          <w:szCs w:val="32"/>
        </w:rPr>
        <w:t>财政拨款</w:t>
      </w:r>
      <w:r>
        <w:rPr>
          <w:rFonts w:hint="eastAsia" w:ascii="仿宋_GB2312" w:eastAsia="仿宋_GB2312"/>
          <w:sz w:val="32"/>
          <w:szCs w:val="32"/>
        </w:rPr>
        <w:t>基本支出</w:t>
      </w:r>
      <w:r>
        <w:rPr>
          <w:rFonts w:ascii="仿宋_GB2312" w:eastAsia="仿宋_GB2312"/>
          <w:sz w:val="32"/>
          <w:szCs w:val="32"/>
        </w:rPr>
        <w:t>决算表</w:t>
      </w:r>
    </w:p>
    <w:p w14:paraId="6DC0811A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七、2021年度</w:t>
      </w:r>
      <w:r>
        <w:rPr>
          <w:rFonts w:ascii="仿宋_GB2312" w:eastAsia="仿宋_GB2312"/>
          <w:sz w:val="32"/>
          <w:szCs w:val="32"/>
        </w:rPr>
        <w:t>政府性基金预算财政拨款支出决算表</w:t>
      </w:r>
    </w:p>
    <w:p w14:paraId="402BC9F5">
      <w:pPr>
        <w:spacing w:line="540" w:lineRule="exact"/>
        <w:ind w:left="640" w:hanging="640" w:hanging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八、2021年度一般公共预算财政拨款“三公”经费支出决算表</w:t>
      </w:r>
    </w:p>
    <w:p w14:paraId="245AA598">
      <w:pPr>
        <w:spacing w:line="540" w:lineRule="exact"/>
        <w:ind w:left="640" w:hanging="640" w:hanging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九、2021年度国有资本经营预算财政拨款支出决算表</w:t>
      </w:r>
    </w:p>
    <w:p w14:paraId="1B84BF7D">
      <w:pPr>
        <w:spacing w:line="540" w:lineRule="exact"/>
        <w:jc w:val="center"/>
        <w:rPr>
          <w:rFonts w:ascii="黑体" w:hAnsi="黑体" w:eastAsia="黑体"/>
          <w:b/>
          <w:sz w:val="44"/>
          <w:szCs w:val="44"/>
          <w:u w:val="single"/>
        </w:rPr>
      </w:pPr>
    </w:p>
    <w:p w14:paraId="39A48E36">
      <w:pPr>
        <w:spacing w:line="540" w:lineRule="exact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/>
          <w:b/>
          <w:sz w:val="44"/>
          <w:szCs w:val="44"/>
          <w:u w:val="single"/>
        </w:rPr>
        <w:br w:type="page"/>
      </w:r>
      <w:r>
        <w:rPr>
          <w:rFonts w:hint="eastAsia" w:ascii="宋体" w:hAnsi="宋体"/>
          <w:b/>
          <w:sz w:val="36"/>
          <w:szCs w:val="36"/>
        </w:rPr>
        <w:t>第一部分 部门概况</w:t>
      </w:r>
    </w:p>
    <w:p w14:paraId="63BDF143">
      <w:pPr>
        <w:spacing w:line="540" w:lineRule="exact"/>
        <w:ind w:firstLine="640" w:firstLineChars="200"/>
        <w:jc w:val="left"/>
        <w:rPr>
          <w:rFonts w:ascii="黑体" w:eastAsia="黑体"/>
          <w:sz w:val="32"/>
          <w:szCs w:val="32"/>
        </w:rPr>
      </w:pPr>
    </w:p>
    <w:p w14:paraId="14630602">
      <w:pPr>
        <w:spacing w:line="540" w:lineRule="exact"/>
        <w:ind w:firstLine="640" w:firstLineChars="200"/>
        <w:jc w:val="lef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一、主要职责</w:t>
      </w:r>
    </w:p>
    <w:p w14:paraId="48906077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曙光街道办事处是政府的派出机构，受区政府直接领导，行使政府赋予的权力，负责辖区内经济建设、城市管理、计划生育、社区服务、社会救济保障、治安保卫等行政管理工作，主要职责是：</w:t>
      </w:r>
    </w:p>
    <w:p w14:paraId="3CFAD347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1、贯彻上级党委和政府的决议、决定，对居民进行思想、政治教育和社会主义法制教育，在辖区内积极组织开展两个文明建设。</w:t>
      </w:r>
    </w:p>
    <w:p w14:paraId="1F2E0E07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2、管理街道经济工作，制订街道经济发展规划并组织实施。</w:t>
      </w:r>
    </w:p>
    <w:p w14:paraId="44878F61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3、负责搞好辖区内城市环境管理工作，搞好社区服务、社区文化、民政社保和其他社会管理工作，负责社会治安综合治理和计划生育工作。</w:t>
      </w:r>
    </w:p>
    <w:p w14:paraId="26A21121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4、负责指导，帮助辖区社区居民委员会开展工作，提高自治能力。</w:t>
      </w:r>
    </w:p>
    <w:p w14:paraId="1D1FE67C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5、协助劳动就业部门做好待业人员的管理，劳动就业和再就业工作。</w:t>
      </w:r>
    </w:p>
    <w:p w14:paraId="41C28CAD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6、协助有关部门做好街道工商、税务等工作。</w:t>
      </w:r>
    </w:p>
    <w:p w14:paraId="0DB05E76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7、负责指导和组织开展群众文化、科普、体育及卫生保健工作。</w:t>
      </w:r>
    </w:p>
    <w:p w14:paraId="5BA69E54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8、接待、办理人民群众来信来访，真实反映群众的意见和要求，保障辖区稳定。</w:t>
      </w:r>
    </w:p>
    <w:p w14:paraId="09243717"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9、承办上级党委和上级政府交办的其它工作。  </w:t>
      </w:r>
    </w:p>
    <w:p w14:paraId="06F102C6">
      <w:pPr>
        <w:spacing w:line="360" w:lineRule="auto"/>
        <w:ind w:firstLine="480" w:firstLineChars="1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10、街道办事处是独立核算单位，会计机构一个。</w:t>
      </w:r>
    </w:p>
    <w:p w14:paraId="67697DBF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根据本单位主要职责，内设机构如下：</w:t>
      </w:r>
    </w:p>
    <w:p w14:paraId="73219707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(一)党政综合办公室(党建工作办公室)。负责人大、政</w:t>
      </w:r>
    </w:p>
    <w:p w14:paraId="24C8CF0C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协、纪检监察、组织、人事、宣传、统战、人民武装、民族宗教、侨务和工会、共青团、妇联等群团工作；负责街道综合办事机构、区直驻街道机构、区直事业单位对街道设立的分支机构、辖区内“两新”组织的党组织设置、党员发展、党员管理、党群活动等党建工作，指导各级党群组织开展各类活动等工作；负责党建引领智慧洽理等工作；负责文电信息、政务公开、机要保密、统计财务、后勤保障、档案管理、实绩考核、督促检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eastAsia="zh-CN"/>
        </w:rPr>
        <w:t>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、综合协调等工作；负责“一街一所”等经济发展工作。</w:t>
      </w:r>
    </w:p>
    <w:p w14:paraId="189B5B68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（二) 社会治理办公室。负责平安建设、法治建设、信访投诉、人民调解、行政调解、矛盾纠纷排查调处等工作，预防和减少重大矛盾纠纷及群体性事件的发生，及时向上级和信访部门反映社情民意，并做好上访群众的稳定工作。</w:t>
      </w:r>
    </w:p>
    <w:p w14:paraId="3D150403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(三)公共服务办公室。负责民政、社保、教育、卫生健康、</w:t>
      </w:r>
    </w:p>
    <w:p w14:paraId="6394A622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科技、就业、退役军人、残疾人和红十字会等工作；负责优化区域营商环境及街管行政审批事项的组织实施；负责指导居民委员会开展工作，指导群众性自洽组织建设，培育管理社会组织；负责街道公共办事大厅管理工作。</w:t>
      </w:r>
    </w:p>
    <w:p w14:paraId="207868CD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(四)城市管理办公室。负责保障性住房工作；负责辖区城市建设监督工作；负责对集贸市场进行指导、督促和检查；负责对辖区的市容环境卫生工作进行监督管理，落实“门前四包”责任制；负责辖区城管工作的部署，督查、开展各项综合整治活动；配合相关部门做好辖区综合行政执法等工作；负责辖区内文明城市创建等工作；配合相关部门做好土地整理工作。</w:t>
      </w:r>
    </w:p>
    <w:p w14:paraId="467CA877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(五)生态环保办公室。认真贯彻落实和宣传环境保护法律、条例和规定，组织协调生态环境宣传教育，推动社会组织和公众参与生态环境保护工作，配合生态环保部门落实有关工作要求；负责辖区河务管理、河长制任务落实等相关工作；负责防汛、宜居乡村、城市禁养区等相关工作</w:t>
      </w:r>
    </w:p>
    <w:p w14:paraId="150A3C38">
      <w:pPr>
        <w:ind w:firstLine="640" w:firstLineChars="200"/>
        <w:outlineLvl w:val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(六)应急管理办公室。负责组织编制全街总体公共应急预案和安全生产类、自然灾害类专项预案，综合协调应急预案衔接工作；配合相关部门做好市场监督管理等工作；负责辖区应急管理、安全生产宣传教育和培训工作，监督检查食品生产经营单位食品安全情况和商贸生产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经营</w:t>
      </w:r>
      <w:r>
        <w:rPr>
          <w:rFonts w:hint="eastAsia" w:ascii="仿宋_GB2312" w:eastAsia="仿宋_GB2312"/>
          <w:color w:val="000000"/>
          <w:sz w:val="32"/>
          <w:szCs w:val="32"/>
        </w:rPr>
        <w:t>单位贯彻执行安全生产法律法规情况及其安全生产条件管理工作；负责燃气安全检查工作；负责气象灾害、地震灾害等相关工作；负责处理辖区内各种突发事件，重大问题及时向上级机关汇报。</w:t>
      </w:r>
    </w:p>
    <w:p w14:paraId="14BF19CF">
      <w:pPr>
        <w:spacing w:line="540" w:lineRule="exact"/>
        <w:ind w:firstLine="640" w:firstLineChars="200"/>
        <w:jc w:val="lef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二、部门决算单位构成</w:t>
      </w:r>
    </w:p>
    <w:p w14:paraId="60C2E5D0">
      <w:pPr>
        <w:spacing w:line="540" w:lineRule="exact"/>
        <w:ind w:firstLine="643" w:firstLineChars="200"/>
        <w:jc w:val="left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纳入某部门2021年部门决算编制范围的二级预算单位包括：</w:t>
      </w:r>
    </w:p>
    <w:p w14:paraId="548662EF">
      <w:pPr>
        <w:spacing w:line="54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bookmarkStart w:id="0" w:name="OLE_LINK4"/>
      <w:bookmarkStart w:id="1" w:name="OLE_LINK3"/>
      <w:r>
        <w:rPr>
          <w:rFonts w:hint="eastAsia" w:ascii="仿宋" w:hAnsi="仿宋" w:eastAsia="仿宋"/>
          <w:sz w:val="32"/>
          <w:szCs w:val="32"/>
        </w:rPr>
        <w:t>曙光街道办事处</w:t>
      </w:r>
      <w:r>
        <w:rPr>
          <w:rFonts w:hint="eastAsia" w:ascii="仿宋_GB2312" w:eastAsia="仿宋_GB2312"/>
          <w:sz w:val="32"/>
          <w:szCs w:val="32"/>
        </w:rPr>
        <w:t>无下设二级预算单位</w:t>
      </w:r>
    </w:p>
    <w:bookmarkEnd w:id="0"/>
    <w:bookmarkEnd w:id="1"/>
    <w:p w14:paraId="47C2577E">
      <w:pPr>
        <w:spacing w:line="540" w:lineRule="exact"/>
        <w:ind w:firstLine="723" w:firstLineChars="200"/>
        <w:jc w:val="center"/>
        <w:rPr>
          <w:rFonts w:ascii="宋体" w:hAnsi="宋体"/>
          <w:b/>
          <w:sz w:val="36"/>
          <w:szCs w:val="36"/>
        </w:rPr>
      </w:pPr>
    </w:p>
    <w:p w14:paraId="6E592F1D">
      <w:pPr>
        <w:spacing w:line="540" w:lineRule="exact"/>
        <w:ind w:firstLine="723" w:firstLineChars="200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第二部分 2021年度部门决算情况说明</w:t>
      </w:r>
    </w:p>
    <w:p w14:paraId="186B5D06">
      <w:pPr>
        <w:spacing w:line="540" w:lineRule="exact"/>
        <w:rPr>
          <w:rFonts w:ascii="宋体" w:hAnsi="宋体"/>
          <w:b/>
          <w:sz w:val="36"/>
          <w:szCs w:val="36"/>
        </w:rPr>
      </w:pPr>
    </w:p>
    <w:p w14:paraId="7D2CAB13">
      <w:pPr>
        <w:spacing w:line="540" w:lineRule="exact"/>
        <w:ind w:firstLine="627" w:firstLineChars="196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一、收入支出决算总体情况说明</w:t>
      </w:r>
    </w:p>
    <w:p w14:paraId="0576D0C1">
      <w:pPr>
        <w:spacing w:line="540" w:lineRule="exact"/>
        <w:ind w:firstLine="66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（一）收入总计840.24万元，包括：</w:t>
      </w:r>
    </w:p>
    <w:p w14:paraId="50C93CDB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1.财政拨款收入840.24万元，占</w:t>
      </w:r>
      <w:r>
        <w:rPr>
          <w:rFonts w:ascii="仿宋_GB2312" w:hAnsi="宋体" w:eastAsia="仿宋_GB2312"/>
          <w:sz w:val="32"/>
          <w:szCs w:val="32"/>
        </w:rPr>
        <w:t>收入总计的</w:t>
      </w:r>
      <w:r>
        <w:rPr>
          <w:rFonts w:hint="eastAsia" w:ascii="仿宋_GB2312" w:hAnsi="宋体" w:eastAsia="仿宋_GB2312"/>
          <w:sz w:val="32"/>
          <w:szCs w:val="32"/>
        </w:rPr>
        <w:t>100</w:t>
      </w:r>
      <w:r>
        <w:rPr>
          <w:rFonts w:ascii="仿宋_GB2312" w:hAnsi="宋体" w:eastAsia="仿宋_GB2312"/>
          <w:sz w:val="32"/>
          <w:szCs w:val="32"/>
        </w:rPr>
        <w:t>%</w:t>
      </w:r>
      <w:r>
        <w:rPr>
          <w:rFonts w:hint="eastAsia" w:ascii="仿宋_GB2312" w:hAnsi="宋体" w:eastAsia="仿宋_GB2312"/>
          <w:sz w:val="32"/>
          <w:szCs w:val="32"/>
        </w:rPr>
        <w:t>。其中：一般公共预算财政拨款收入820.30万元，政府性基金收入0万元，国有资本经营预算财政拨款收入19.94万元。</w:t>
      </w:r>
    </w:p>
    <w:p w14:paraId="3C34AF40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与上年相比，今年收入减少95.73万元，降低10.23%，主要原因：</w:t>
      </w:r>
      <w:bookmarkStart w:id="2" w:name="OLE_LINK6"/>
      <w:bookmarkStart w:id="3" w:name="OLE_LINK7"/>
      <w:r>
        <w:rPr>
          <w:rFonts w:hint="eastAsia" w:ascii="黑体" w:hAnsi="黑体" w:eastAsia="黑体"/>
          <w:sz w:val="32"/>
          <w:szCs w:val="32"/>
        </w:rPr>
        <w:t>一</w:t>
      </w:r>
      <w:r>
        <w:rPr>
          <w:rFonts w:hint="eastAsia" w:ascii="仿宋_GB2312" w:hAnsi="黑体" w:eastAsia="仿宋_GB2312"/>
          <w:sz w:val="32"/>
          <w:szCs w:val="32"/>
        </w:rPr>
        <w:t>人员减少，其中人员调出2人，退休1人</w:t>
      </w:r>
      <w:r>
        <w:rPr>
          <w:rFonts w:hint="eastAsia" w:ascii="仿宋_GB2312" w:hAnsi="宋体" w:eastAsia="仿宋_GB2312"/>
          <w:sz w:val="32"/>
          <w:szCs w:val="32"/>
        </w:rPr>
        <w:t>，</w:t>
      </w:r>
      <w:r>
        <w:rPr>
          <w:rFonts w:hint="eastAsia" w:ascii="仿宋_GB2312" w:hAnsi="黑体" w:eastAsia="仿宋_GB2312"/>
          <w:sz w:val="32"/>
          <w:szCs w:val="32"/>
        </w:rPr>
        <w:t>人员减少，费用降低；</w:t>
      </w:r>
      <w:r>
        <w:rPr>
          <w:rFonts w:hint="eastAsia" w:ascii="黑体" w:hAnsi="黑体" w:eastAsia="黑体"/>
          <w:sz w:val="32"/>
          <w:szCs w:val="32"/>
        </w:rPr>
        <w:t>二</w:t>
      </w:r>
      <w:r>
        <w:rPr>
          <w:rFonts w:hint="eastAsia" w:ascii="仿宋_GB2312" w:hAnsi="宋体" w:eastAsia="仿宋_GB2312"/>
          <w:sz w:val="32"/>
          <w:szCs w:val="32"/>
        </w:rPr>
        <w:t>本年度未发生污水处理产生的相关费用</w:t>
      </w:r>
      <w:bookmarkEnd w:id="2"/>
      <w:bookmarkEnd w:id="3"/>
      <w:r>
        <w:rPr>
          <w:rFonts w:hint="eastAsia" w:ascii="仿宋_GB2312" w:hAnsi="宋体" w:eastAsia="仿宋_GB2312"/>
          <w:sz w:val="32"/>
          <w:szCs w:val="32"/>
        </w:rPr>
        <w:t>。</w:t>
      </w:r>
    </w:p>
    <w:p w14:paraId="0137158B">
      <w:pPr>
        <w:spacing w:line="540" w:lineRule="exact"/>
        <w:ind w:firstLine="66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（二）支出总计840.24万元，包括：</w:t>
      </w:r>
    </w:p>
    <w:p w14:paraId="55581487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1.基本支出750.78万元，占支出总计的89.35%。主要是为保障机构正常运转、完成日常工作任务而发生的各项支出，其中：工资福利支出576.06万元，对个人和家庭的补助支出23.50万元，商品和服务支出151.22万元。</w:t>
      </w:r>
    </w:p>
    <w:p w14:paraId="3E541EF6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2.项目支出89.46万元，占支出总计的10.65%。主要包括一般公共服务支出53.08万元；公共安全支出0.27万元；社会保障和就业支出16.17万元；国有资本经营预算支出19.94万元。</w:t>
      </w:r>
    </w:p>
    <w:p w14:paraId="2F319C67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与上年相比，今年支出减少121.03万元，降低57.50%，主要原因：</w:t>
      </w:r>
      <w:r>
        <w:rPr>
          <w:rFonts w:hint="eastAsia" w:ascii="仿宋_GB2312" w:hAnsi="黑体" w:eastAsia="仿宋_GB2312"/>
          <w:sz w:val="32"/>
          <w:szCs w:val="32"/>
        </w:rPr>
        <w:t>是</w:t>
      </w:r>
      <w:r>
        <w:rPr>
          <w:rFonts w:hint="eastAsia" w:ascii="仿宋_GB2312" w:hAnsi="宋体" w:eastAsia="仿宋_GB2312"/>
          <w:sz w:val="32"/>
          <w:szCs w:val="32"/>
        </w:rPr>
        <w:t>其他政府办公厅（室）及相关事务支出减少，其中一是也就是说本年度结算的上一年度工程量减少；二是</w:t>
      </w:r>
      <w:bookmarkStart w:id="4" w:name="OLE_LINK5"/>
      <w:r>
        <w:rPr>
          <w:rFonts w:hint="eastAsia" w:ascii="仿宋_GB2312" w:hAnsi="宋体" w:eastAsia="仿宋_GB2312"/>
          <w:sz w:val="32"/>
          <w:szCs w:val="32"/>
        </w:rPr>
        <w:t>本年度未发生污水处理产生的相关费用</w:t>
      </w:r>
      <w:bookmarkEnd w:id="4"/>
      <w:r>
        <w:rPr>
          <w:rFonts w:hint="eastAsia" w:ascii="仿宋_GB2312" w:hAnsi="宋体" w:eastAsia="仿宋_GB2312"/>
          <w:sz w:val="32"/>
          <w:szCs w:val="32"/>
        </w:rPr>
        <w:t>。</w:t>
      </w:r>
    </w:p>
    <w:p w14:paraId="2FC90F67">
      <w:pPr>
        <w:spacing w:line="540" w:lineRule="exact"/>
        <w:ind w:firstLine="66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（三）年末结转和结余0万元。</w:t>
      </w:r>
    </w:p>
    <w:p w14:paraId="13BB3E99">
      <w:pPr>
        <w:spacing w:line="540" w:lineRule="exact"/>
        <w:ind w:firstLine="66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二、财政拨款支出决算情况说明</w:t>
      </w:r>
    </w:p>
    <w:p w14:paraId="7EABA33D">
      <w:pPr>
        <w:spacing w:line="540" w:lineRule="exact"/>
        <w:ind w:firstLine="66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（一）总体情况。</w:t>
      </w:r>
    </w:p>
    <w:p w14:paraId="41569EB7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2021年度财政拨款支出840.24万元，其中：基本支出750.78万元，项目支出89.46万元。与</w:t>
      </w:r>
      <w:r>
        <w:rPr>
          <w:rFonts w:ascii="仿宋_GB2312" w:hAnsi="宋体" w:eastAsia="仿宋_GB2312"/>
          <w:sz w:val="32"/>
          <w:szCs w:val="32"/>
        </w:rPr>
        <w:t>上年相比，</w:t>
      </w:r>
      <w:r>
        <w:rPr>
          <w:rFonts w:hint="eastAsia" w:ascii="仿宋_GB2312" w:hAnsi="宋体" w:eastAsia="仿宋_GB2312"/>
          <w:sz w:val="32"/>
          <w:szCs w:val="32"/>
        </w:rPr>
        <w:t>财政拨款支出减少95.73万元，降低10.23%，主要原因：</w:t>
      </w:r>
      <w:r>
        <w:rPr>
          <w:rFonts w:hint="eastAsia" w:ascii="黑体" w:hAnsi="黑体" w:eastAsia="黑体"/>
          <w:sz w:val="32"/>
          <w:szCs w:val="32"/>
        </w:rPr>
        <w:t>一是</w:t>
      </w:r>
      <w:r>
        <w:rPr>
          <w:rFonts w:hint="eastAsia" w:ascii="仿宋_GB2312" w:hAnsi="黑体" w:eastAsia="仿宋_GB2312"/>
          <w:sz w:val="32"/>
          <w:szCs w:val="32"/>
        </w:rPr>
        <w:t>人员减少，其中人员</w:t>
      </w:r>
      <w:bookmarkStart w:id="5" w:name="OLE_LINK9"/>
      <w:bookmarkStart w:id="6" w:name="OLE_LINK8"/>
      <w:r>
        <w:rPr>
          <w:rFonts w:hint="eastAsia" w:ascii="仿宋_GB2312" w:hAnsi="黑体" w:eastAsia="仿宋_GB2312"/>
          <w:sz w:val="32"/>
          <w:szCs w:val="32"/>
        </w:rPr>
        <w:t>调出2人，退休1人</w:t>
      </w:r>
      <w:bookmarkEnd w:id="5"/>
      <w:bookmarkEnd w:id="6"/>
      <w:r>
        <w:rPr>
          <w:rFonts w:hint="eastAsia" w:ascii="仿宋_GB2312" w:hAnsi="宋体" w:eastAsia="仿宋_GB2312"/>
          <w:sz w:val="32"/>
          <w:szCs w:val="32"/>
        </w:rPr>
        <w:t>，</w:t>
      </w:r>
      <w:r>
        <w:rPr>
          <w:rFonts w:hint="eastAsia" w:ascii="仿宋_GB2312" w:hAnsi="黑体" w:eastAsia="仿宋_GB2312"/>
          <w:sz w:val="32"/>
          <w:szCs w:val="32"/>
        </w:rPr>
        <w:t>人员减少，费用降低；</w:t>
      </w:r>
      <w:r>
        <w:rPr>
          <w:rFonts w:hint="eastAsia" w:ascii="黑体" w:hAnsi="黑体" w:eastAsia="黑体"/>
          <w:sz w:val="32"/>
          <w:szCs w:val="32"/>
        </w:rPr>
        <w:t>二是</w:t>
      </w:r>
      <w:r>
        <w:rPr>
          <w:rFonts w:hint="eastAsia" w:ascii="仿宋_GB2312" w:hAnsi="宋体" w:eastAsia="仿宋_GB2312"/>
          <w:sz w:val="32"/>
          <w:szCs w:val="32"/>
        </w:rPr>
        <w:t>本年度未发生污水处理产生的相关费用。与年初预算相比，2021年度财政拨款支出完成年初预算的104.82%，其中：基本支出完成年初预算的107.64%，项目完成年初预算的85.91%。</w:t>
      </w:r>
    </w:p>
    <w:p w14:paraId="46D4D116">
      <w:pPr>
        <w:spacing w:line="540" w:lineRule="exact"/>
        <w:ind w:firstLine="66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（二）一般公共预算财政拨款支出情况。</w:t>
      </w:r>
    </w:p>
    <w:p w14:paraId="7EF602D1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2021年度一般公共预算财政拨款支出801.64万元，按支出功能分类科目分，包括：一般公共服务支出307.52万元，占38.36</w:t>
      </w:r>
      <w:r>
        <w:rPr>
          <w:rFonts w:ascii="仿宋_GB2312" w:hAnsi="宋体" w:eastAsia="仿宋_GB2312"/>
          <w:sz w:val="32"/>
          <w:szCs w:val="32"/>
        </w:rPr>
        <w:t>%</w:t>
      </w:r>
      <w:r>
        <w:rPr>
          <w:rFonts w:hint="eastAsia" w:ascii="仿宋_GB2312" w:hAnsi="宋体" w:eastAsia="仿宋_GB2312"/>
          <w:sz w:val="32"/>
          <w:szCs w:val="32"/>
        </w:rPr>
        <w:t>；公共安全支出5.43万元，占0.68%；社会保障和就业支出446.15万元，占55.66%；卫生健康支出25.93万元，占3.23%；住房保障支出16.61万元，占2.07%。</w:t>
      </w:r>
    </w:p>
    <w:p w14:paraId="57CAC411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1.一般公共服务支出307.52万元，具体包括：</w:t>
      </w:r>
    </w:p>
    <w:p w14:paraId="3B6A0DB9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（1）行政运行165.96万元，</w:t>
      </w:r>
      <w:r>
        <w:rPr>
          <w:rFonts w:hint="eastAsia" w:ascii="仿宋" w:hAnsi="仿宋" w:eastAsia="仿宋"/>
          <w:sz w:val="32"/>
          <w:szCs w:val="32"/>
        </w:rPr>
        <w:t>主要是行政人员工资及经费等支出，完成年初预算的71.96%，决算数小于年初预算数的主要原因是人员减少，其中</w:t>
      </w:r>
      <w:r>
        <w:rPr>
          <w:rFonts w:hint="eastAsia" w:ascii="仿宋_GB2312" w:hAnsi="黑体" w:eastAsia="仿宋_GB2312"/>
          <w:sz w:val="32"/>
          <w:szCs w:val="32"/>
        </w:rPr>
        <w:t>调出2人，退休1人</w:t>
      </w:r>
      <w:r>
        <w:rPr>
          <w:rFonts w:hint="eastAsia" w:ascii="仿宋" w:hAnsi="仿宋" w:eastAsia="仿宋"/>
          <w:sz w:val="32"/>
          <w:szCs w:val="32"/>
        </w:rPr>
        <w:t>。</w:t>
      </w:r>
    </w:p>
    <w:p w14:paraId="2CCCED0A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（2）</w:t>
      </w:r>
      <w:r>
        <w:rPr>
          <w:rFonts w:hint="eastAsia" w:ascii="仿宋" w:hAnsi="仿宋" w:eastAsia="仿宋"/>
          <w:sz w:val="32"/>
          <w:szCs w:val="32"/>
        </w:rPr>
        <w:t>信访事务5.5万元。主要是用于信访的差旅费和租车费的支出，还有对涉信人员的补助等。完成年初预算的183.33%。决算数大于年初预算数的原因主要是信访差旅费增加；另外有突发的预算外信访给予的补偿。</w:t>
      </w:r>
    </w:p>
    <w:p w14:paraId="3CB6BAF1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（3）人大事务1.63万元，主要用于人大换届支出，</w:t>
      </w:r>
      <w:r>
        <w:rPr>
          <w:rFonts w:hint="eastAsia" w:ascii="仿宋" w:hAnsi="仿宋" w:eastAsia="仿宋"/>
          <w:sz w:val="32"/>
          <w:szCs w:val="32"/>
        </w:rPr>
        <w:t>完成年初预算的232.86%，决算数大于年初预算数的原因主要是今年人大换届产生的支出</w:t>
      </w:r>
      <w:r>
        <w:rPr>
          <w:rFonts w:hint="eastAsia" w:ascii="仿宋_GB2312" w:hAnsi="宋体" w:eastAsia="仿宋_GB2312"/>
          <w:sz w:val="32"/>
          <w:szCs w:val="32"/>
        </w:rPr>
        <w:t>。</w:t>
      </w:r>
    </w:p>
    <w:p w14:paraId="4C468BF8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（4）</w:t>
      </w:r>
      <w:r>
        <w:rPr>
          <w:rFonts w:hint="eastAsia" w:ascii="仿宋" w:hAnsi="仿宋" w:eastAsia="仿宋"/>
          <w:sz w:val="32"/>
          <w:szCs w:val="32"/>
        </w:rPr>
        <w:t>其他政府办公厅支出73.19万元，主要是人员的伙食费支出、遗属补助、秸秆清理费、安全检查等。</w:t>
      </w:r>
      <w:bookmarkStart w:id="7" w:name="OLE_LINK12"/>
      <w:r>
        <w:rPr>
          <w:rFonts w:hint="eastAsia" w:ascii="仿宋" w:hAnsi="仿宋" w:eastAsia="仿宋"/>
          <w:sz w:val="32"/>
          <w:szCs w:val="32"/>
        </w:rPr>
        <w:t>完成年初预算的117.37%，决算数大于年初预算数的原因主要是</w:t>
      </w:r>
      <w:bookmarkEnd w:id="7"/>
      <w:r>
        <w:rPr>
          <w:rFonts w:hint="eastAsia" w:ascii="仿宋" w:hAnsi="仿宋" w:eastAsia="仿宋"/>
          <w:sz w:val="32"/>
          <w:szCs w:val="32"/>
        </w:rPr>
        <w:t>，新增加社区换届选举和驻村干部补助等费用。</w:t>
      </w:r>
    </w:p>
    <w:p w14:paraId="1306CF63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2.公共安全支出0.27万元，主要用于基层司法业务宣传。</w:t>
      </w:r>
      <w:bookmarkStart w:id="8" w:name="OLE_LINK17"/>
      <w:r>
        <w:rPr>
          <w:rFonts w:hint="eastAsia" w:ascii="仿宋_GB2312" w:hAnsi="宋体" w:eastAsia="仿宋_GB2312"/>
          <w:sz w:val="32"/>
          <w:szCs w:val="32"/>
        </w:rPr>
        <w:t>完成年初预算的4.97%。</w:t>
      </w:r>
      <w:bookmarkEnd w:id="8"/>
      <w:r>
        <w:rPr>
          <w:rFonts w:hint="eastAsia" w:ascii="仿宋_GB2312" w:hAnsi="宋体" w:eastAsia="仿宋_GB2312"/>
          <w:sz w:val="32"/>
          <w:szCs w:val="32"/>
        </w:rPr>
        <w:t>决算数小于年初预算数的原因主要是节支减流，尽量用最低的费用开展宣传。</w:t>
      </w:r>
    </w:p>
    <w:p w14:paraId="6D64E5BA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3.</w:t>
      </w:r>
      <w:r>
        <w:rPr>
          <w:rFonts w:hint="eastAsia" w:ascii="仿宋" w:hAnsi="仿宋" w:eastAsia="仿宋"/>
          <w:sz w:val="32"/>
          <w:szCs w:val="32"/>
        </w:rPr>
        <w:t xml:space="preserve"> 社会保障和就业支出547.11万元，具体包括：</w:t>
      </w:r>
    </w:p>
    <w:p w14:paraId="4A2B4370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（1）机关事业单位基本养老保险缴费21.35万元，主要是行政人员的养老保险、职业年金、退休人员取暖费支出，</w:t>
      </w:r>
      <w:r>
        <w:rPr>
          <w:rFonts w:hint="eastAsia" w:ascii="仿宋_GB2312" w:hAnsi="宋体" w:eastAsia="仿宋_GB2312"/>
          <w:sz w:val="32"/>
          <w:szCs w:val="32"/>
        </w:rPr>
        <w:t>完成年初预算的101.04%。</w:t>
      </w:r>
      <w:r>
        <w:rPr>
          <w:rFonts w:hint="eastAsia" w:ascii="仿宋" w:hAnsi="仿宋" w:eastAsia="仿宋"/>
          <w:sz w:val="32"/>
          <w:szCs w:val="32"/>
        </w:rPr>
        <w:t>决算数大于年初预算数的原因主要是补交2020年新入职职工养老保险。</w:t>
      </w:r>
    </w:p>
    <w:p w14:paraId="615E484D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（2）基层政权和社区建设支出516.38万元，主要是社区人员的工资、社区的办公经费、社区人员绩效、小组长工资等支出，完成年初预算的122.36%，</w:t>
      </w:r>
      <w:bookmarkStart w:id="9" w:name="OLE_LINK16"/>
      <w:r>
        <w:rPr>
          <w:rFonts w:hint="eastAsia" w:ascii="仿宋" w:hAnsi="仿宋" w:eastAsia="仿宋"/>
          <w:sz w:val="32"/>
          <w:szCs w:val="32"/>
        </w:rPr>
        <w:t>决算数大于年初预算数的原因主要是</w:t>
      </w:r>
      <w:bookmarkEnd w:id="9"/>
      <w:r>
        <w:rPr>
          <w:rFonts w:hint="eastAsia" w:ascii="仿宋" w:hAnsi="仿宋" w:eastAsia="仿宋"/>
          <w:sz w:val="32"/>
          <w:szCs w:val="32"/>
        </w:rPr>
        <w:t>人员工资调整、绩效增加。</w:t>
      </w:r>
    </w:p>
    <w:p w14:paraId="420329B2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（3）临时救助支出1.17万元，主要是社区 、村居民的临时救助支出，完成年初预算的39%，决算数小于年初预算数的原因主要是临时救助支出人员减少。</w:t>
      </w:r>
    </w:p>
    <w:p w14:paraId="000F007D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4. 医疗卫生与计划生育支出22.68万元，包括：</w:t>
      </w:r>
    </w:p>
    <w:p w14:paraId="2C192697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1）行政单位医疗11.42万元，主要是行政编制人员的医疗保险统筹部分支出，完成年初预算的123.59%，决算数小于年初预算数的原因主要是一年初预算有公务员医疗补助，实际支出时财政统一列支，未走本单位的账。</w:t>
      </w:r>
    </w:p>
    <w:p w14:paraId="5DD201FF"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（2）其他计划生育事务支出11.26万元，主要独生子女费支出，完成年初预算的80.14%。决算数小于年初预算数的原因主要是人数减少。</w:t>
      </w:r>
    </w:p>
    <w:p w14:paraId="3F1D9451"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（3）重大公共卫生服务支出86.86万元，主要为街道、社区、村人员的防疫补助支出。本项年初没有预算。</w:t>
      </w:r>
    </w:p>
    <w:p w14:paraId="51FA425A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5. 住房保障支出14.17万元，具体包括：</w:t>
      </w:r>
    </w:p>
    <w:p w14:paraId="41312825">
      <w:pPr>
        <w:spacing w:line="540" w:lineRule="exact"/>
        <w:ind w:firstLine="66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住房公积金14.8万元，主要是人员的上交行政人员的住房公积金支出，完成年初预算的89.1%，决算数小于年初预算数的原因主要是人员减少。</w:t>
      </w:r>
    </w:p>
    <w:p w14:paraId="05081956">
      <w:pPr>
        <w:spacing w:line="540" w:lineRule="exact"/>
        <w:ind w:firstLine="66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（三）政府性基金预算财政拨款支出情况。</w:t>
      </w:r>
    </w:p>
    <w:p w14:paraId="3137E2B1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2021年度政府性基金预算财政拨款支出0万元。</w:t>
      </w:r>
    </w:p>
    <w:p w14:paraId="66D185DC">
      <w:pPr>
        <w:spacing w:line="540" w:lineRule="exact"/>
        <w:ind w:firstLine="66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（四）国有资本经营预算财政拨款支出情况。</w:t>
      </w:r>
    </w:p>
    <w:p w14:paraId="5C4B3917">
      <w:pPr>
        <w:spacing w:line="540" w:lineRule="exact"/>
        <w:ind w:firstLine="66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2021年度国有资本经营预算财政拨款支出19.94万元，按支出功能分类科目分，包括：国有资本经营预算支出19.94万元，占100%。</w:t>
      </w:r>
    </w:p>
    <w:p w14:paraId="04AFDB19">
      <w:pPr>
        <w:spacing w:line="54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1.国有资本经营预算支出19.94万元，具体包括：</w:t>
      </w:r>
    </w:p>
    <w:p w14:paraId="1B4D165A">
      <w:pPr>
        <w:spacing w:line="540" w:lineRule="exact"/>
        <w:ind w:firstLine="800" w:firstLineChars="25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（1）解决历史遗留问题及改革成本支出19.94万元，主要用于国有企业退休人员社会化管理补助支出，包括国有企业转入地方的退休办基本支出（水、电、暖气）和保洁员工资支出。</w:t>
      </w:r>
    </w:p>
    <w:p w14:paraId="0187AA74">
      <w:pPr>
        <w:spacing w:line="540" w:lineRule="exact"/>
        <w:ind w:firstLine="66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三、一般公共预算财政拨款“三公”经费支出决算情况说明</w:t>
      </w:r>
    </w:p>
    <w:p w14:paraId="4EAC2F2F">
      <w:pPr>
        <w:spacing w:line="540" w:lineRule="exact"/>
        <w:ind w:firstLine="645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2021年度一般公共预算财政拨款安排的“三公”经费支出0万元。</w:t>
      </w:r>
    </w:p>
    <w:p w14:paraId="652E7584">
      <w:pPr>
        <w:spacing w:line="540" w:lineRule="exact"/>
        <w:ind w:firstLine="645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1.因公出国（境）费0万元。</w:t>
      </w:r>
    </w:p>
    <w:p w14:paraId="025461D1">
      <w:pPr>
        <w:spacing w:line="540" w:lineRule="exact"/>
        <w:ind w:firstLine="645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2.公务接待费0万元。</w:t>
      </w:r>
    </w:p>
    <w:p w14:paraId="4701EC75">
      <w:pPr>
        <w:spacing w:line="540" w:lineRule="exact"/>
        <w:ind w:firstLine="645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3.公务用车购置及</w:t>
      </w:r>
      <w:r>
        <w:rPr>
          <w:rFonts w:ascii="仿宋_GB2312" w:hAnsi="宋体" w:eastAsia="仿宋_GB2312"/>
          <w:sz w:val="32"/>
          <w:szCs w:val="32"/>
        </w:rPr>
        <w:t>运行费</w:t>
      </w:r>
      <w:r>
        <w:rPr>
          <w:rFonts w:hint="eastAsia" w:ascii="仿宋_GB2312" w:hAnsi="宋体" w:eastAsia="仿宋_GB2312"/>
          <w:sz w:val="32"/>
          <w:szCs w:val="32"/>
        </w:rPr>
        <w:t>0万元。</w:t>
      </w:r>
    </w:p>
    <w:p w14:paraId="370BEC7E">
      <w:pPr>
        <w:spacing w:line="540" w:lineRule="exact"/>
        <w:ind w:firstLine="645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其中：公务用车购置费万0元。公务用车运行维护费0万元，截至年末使用</w:t>
      </w:r>
      <w:r>
        <w:rPr>
          <w:rFonts w:ascii="仿宋_GB2312" w:hAnsi="宋体" w:eastAsia="仿宋_GB2312"/>
          <w:sz w:val="32"/>
          <w:szCs w:val="32"/>
        </w:rPr>
        <w:t>一般公共预算财政拨款开支</w:t>
      </w:r>
      <w:r>
        <w:rPr>
          <w:rFonts w:hint="eastAsia" w:ascii="仿宋_GB2312" w:hAnsi="宋体" w:eastAsia="仿宋_GB2312"/>
          <w:sz w:val="32"/>
          <w:szCs w:val="32"/>
        </w:rPr>
        <w:t>运行维护费</w:t>
      </w:r>
      <w:r>
        <w:rPr>
          <w:rFonts w:ascii="仿宋_GB2312" w:hAnsi="宋体" w:eastAsia="仿宋_GB2312"/>
          <w:sz w:val="32"/>
          <w:szCs w:val="32"/>
        </w:rPr>
        <w:t>的</w:t>
      </w:r>
      <w:r>
        <w:rPr>
          <w:rFonts w:hint="eastAsia" w:ascii="仿宋_GB2312" w:hAnsi="宋体" w:eastAsia="仿宋_GB2312"/>
          <w:sz w:val="32"/>
          <w:szCs w:val="32"/>
        </w:rPr>
        <w:t>公务用车保有量0辆。</w:t>
      </w:r>
    </w:p>
    <w:p w14:paraId="2B520E43">
      <w:pPr>
        <w:spacing w:line="540" w:lineRule="exact"/>
        <w:ind w:firstLine="645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四、一般公共预算财政拨款基本支出决算情况说明</w:t>
      </w:r>
    </w:p>
    <w:p w14:paraId="52453124">
      <w:pPr>
        <w:spacing w:line="540" w:lineRule="exact"/>
        <w:ind w:firstLine="645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2021年度一般公共预算财政拨款基本支出651.81万元，其中：人员经费460.64万元，主要包括基本工资、津贴补贴、奖金、其他社会保障缴费、机关事业单位基本养老保险缴费、其他工资福利支出、离休费、退休费、抚恤金、生活补助、奖励金、住房公积金、采暖补贴、其他对个人和家庭补助的支出；日常公用经费191.17万元，主要包括办公费、印刷费、手续费、水费、电费、邮电费、取暖费、物业费、差旅费、因公出国（境）费用、维修（护）费、租赁费、会议费、培训费、公务接待费、劳务费、委托业务费、工会经费、福利费、公务用车运行维护费、其他交通费用、其他商品和服务支出、办公设备购置、专用设备购置、信息网络及软件购置更新。</w:t>
      </w:r>
    </w:p>
    <w:p w14:paraId="51BB7A7E">
      <w:pPr>
        <w:spacing w:line="54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五、其他重要事项的情况说明</w:t>
      </w:r>
    </w:p>
    <w:p w14:paraId="0FB44C4D">
      <w:pPr>
        <w:spacing w:line="540" w:lineRule="exact"/>
        <w:ind w:firstLine="643" w:firstLineChars="200"/>
        <w:rPr>
          <w:rFonts w:ascii="楷体_GB2312" w:hAnsi="黑体" w:eastAsia="楷体_GB2312"/>
          <w:b/>
          <w:sz w:val="32"/>
          <w:szCs w:val="32"/>
        </w:rPr>
      </w:pPr>
      <w:r>
        <w:rPr>
          <w:rFonts w:hint="eastAsia" w:ascii="楷体_GB2312" w:hAnsi="黑体" w:eastAsia="楷体_GB2312"/>
          <w:b/>
          <w:sz w:val="32"/>
          <w:szCs w:val="32"/>
        </w:rPr>
        <w:t>（一）机关运行经费支出情况。</w:t>
      </w:r>
    </w:p>
    <w:p w14:paraId="6F01E32E"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>2021年曙光街道机关运行经费支出165.96万元，比上年增减少46.19万元，降低21.77%，主要原因是人员减少。</w:t>
      </w:r>
    </w:p>
    <w:p w14:paraId="1481B369">
      <w:pPr>
        <w:spacing w:line="540" w:lineRule="exact"/>
        <w:ind w:firstLine="640" w:firstLineChars="200"/>
        <w:rPr>
          <w:rFonts w:ascii="仿宋_GB2312" w:hAnsi="黑体" w:eastAsia="仿宋_GB2312"/>
          <w:sz w:val="32"/>
          <w:szCs w:val="32"/>
        </w:rPr>
      </w:pPr>
    </w:p>
    <w:p w14:paraId="740080E1">
      <w:pPr>
        <w:spacing w:line="540" w:lineRule="exact"/>
        <w:ind w:firstLine="643" w:firstLineChars="200"/>
        <w:rPr>
          <w:rFonts w:ascii="楷体_GB2312" w:hAnsi="黑体" w:eastAsia="楷体_GB2312"/>
          <w:b/>
          <w:sz w:val="32"/>
          <w:szCs w:val="32"/>
        </w:rPr>
      </w:pPr>
      <w:r>
        <w:rPr>
          <w:rFonts w:hint="eastAsia" w:ascii="楷体_GB2312" w:hAnsi="黑体" w:eastAsia="楷体_GB2312"/>
          <w:b/>
          <w:sz w:val="32"/>
          <w:szCs w:val="32"/>
        </w:rPr>
        <w:t>（二）政府采购支出情况。</w:t>
      </w:r>
    </w:p>
    <w:p w14:paraId="07EE35B3">
      <w:pPr>
        <w:spacing w:line="540" w:lineRule="exact"/>
        <w:ind w:firstLine="640" w:firstLineChars="200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>2021年政府采购支出总额0万元</w:t>
      </w:r>
      <w:r>
        <w:rPr>
          <w:rFonts w:hint="eastAsia" w:ascii="仿宋_GB2312" w:eastAsia="仿宋_GB2312"/>
          <w:sz w:val="32"/>
          <w:szCs w:val="32"/>
        </w:rPr>
        <w:t>。</w:t>
      </w:r>
    </w:p>
    <w:p w14:paraId="495F3E47">
      <w:pPr>
        <w:spacing w:line="540" w:lineRule="exact"/>
        <w:ind w:firstLine="643" w:firstLineChars="200"/>
        <w:rPr>
          <w:rFonts w:ascii="楷体_GB2312" w:hAnsi="黑体" w:eastAsia="楷体_GB2312"/>
          <w:b/>
          <w:sz w:val="32"/>
          <w:szCs w:val="32"/>
        </w:rPr>
      </w:pPr>
      <w:r>
        <w:rPr>
          <w:rFonts w:hint="eastAsia" w:ascii="楷体_GB2312" w:hAnsi="黑体" w:eastAsia="楷体_GB2312"/>
          <w:b/>
          <w:sz w:val="32"/>
          <w:szCs w:val="32"/>
        </w:rPr>
        <w:t>（三）国有资产占用情况。</w:t>
      </w:r>
    </w:p>
    <w:p w14:paraId="231BD7DA">
      <w:pPr>
        <w:spacing w:line="540" w:lineRule="exact"/>
        <w:ind w:firstLine="640" w:firstLineChars="200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>截至2021年12月31日，共有车辆0辆单位价值50万元以上通用设备0台（套），单价100万元以上专用设备0台（套）。</w:t>
      </w:r>
    </w:p>
    <w:p w14:paraId="46610290">
      <w:pPr>
        <w:widowControl/>
        <w:spacing w:line="540" w:lineRule="exact"/>
        <w:ind w:firstLine="643" w:firstLineChars="200"/>
        <w:jc w:val="left"/>
      </w:pPr>
      <w:r>
        <w:rPr>
          <w:rFonts w:ascii="楷体_GB2312" w:hAnsi="宋体" w:eastAsia="楷体_GB2312" w:cs="楷体_GB2312"/>
          <w:b/>
          <w:sz w:val="32"/>
          <w:szCs w:val="32"/>
        </w:rPr>
        <w:t>（四）预算绩效情况。</w:t>
      </w:r>
    </w:p>
    <w:p w14:paraId="0348E758">
      <w:pPr>
        <w:widowControl/>
        <w:spacing w:line="520" w:lineRule="exact"/>
        <w:ind w:firstLine="643" w:firstLineChars="200"/>
        <w:jc w:val="left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1.预算绩效管理工作开展情况。</w:t>
      </w:r>
    </w:p>
    <w:p w14:paraId="3B7BA741">
      <w:pPr>
        <w:widowControl/>
        <w:spacing w:line="520" w:lineRule="exact"/>
        <w:ind w:firstLine="643" w:firstLineChars="200"/>
        <w:jc w:val="left"/>
        <w:rPr>
          <w:rFonts w:hAnsi="宋体" w:eastAsia="仿宋_GB2312" w:cs="仿宋_GB2312"/>
          <w:sz w:val="32"/>
          <w:szCs w:val="32"/>
        </w:rPr>
      </w:pPr>
      <w:r>
        <w:rPr>
          <w:rFonts w:hint="eastAsia" w:hAnsi="宋体" w:eastAsia="仿宋_GB2312" w:cs="仿宋_GB2312"/>
          <w:b/>
          <w:bCs/>
          <w:sz w:val="32"/>
          <w:szCs w:val="32"/>
        </w:rPr>
        <w:t>（1）绩效自评情况。</w:t>
      </w:r>
      <w:r>
        <w:rPr>
          <w:rFonts w:ascii="仿宋_GB2312" w:hAnsi="宋体" w:eastAsia="仿宋_GB2312" w:cs="仿宋_GB2312"/>
          <w:sz w:val="32"/>
          <w:szCs w:val="32"/>
        </w:rPr>
        <w:t>根据预算</w:t>
      </w:r>
      <w:r>
        <w:rPr>
          <w:rFonts w:hint="eastAsia" w:hAnsi="宋体" w:eastAsia="仿宋_GB2312" w:cs="仿宋_GB2312"/>
          <w:sz w:val="32"/>
          <w:szCs w:val="32"/>
        </w:rPr>
        <w:t>绩效</w:t>
      </w:r>
      <w:r>
        <w:rPr>
          <w:rFonts w:ascii="仿宋_GB2312" w:hAnsi="宋体" w:eastAsia="仿宋_GB2312" w:cs="仿宋_GB2312"/>
          <w:sz w:val="32"/>
          <w:szCs w:val="32"/>
        </w:rPr>
        <w:t>管理要求，我</w:t>
      </w:r>
      <w:r>
        <w:rPr>
          <w:rFonts w:hint="eastAsia" w:ascii="仿宋_GB2312" w:hAnsi="宋体" w:eastAsia="仿宋_GB2312" w:cs="仿宋_GB2312"/>
          <w:sz w:val="32"/>
          <w:szCs w:val="32"/>
        </w:rPr>
        <w:t>部门</w:t>
      </w:r>
      <w:r>
        <w:rPr>
          <w:rFonts w:ascii="仿宋_GB2312" w:hAnsi="宋体" w:eastAsia="仿宋_GB2312" w:cs="仿宋_GB2312"/>
          <w:sz w:val="32"/>
          <w:szCs w:val="32"/>
        </w:rPr>
        <w:t>组织对</w:t>
      </w:r>
      <w:r>
        <w:rPr>
          <w:rFonts w:hint="eastAsia" w:ascii="仿宋_GB2312" w:hAnsi="宋体" w:eastAsia="仿宋_GB2312" w:cs="宋体"/>
          <w:sz w:val="32"/>
          <w:szCs w:val="32"/>
        </w:rPr>
        <w:t>2021</w:t>
      </w:r>
      <w:r>
        <w:rPr>
          <w:rFonts w:hint="eastAsia" w:ascii="仿宋_GB2312" w:hAnsi="宋体" w:eastAsia="仿宋_GB2312" w:cs="仿宋_GB2312"/>
          <w:sz w:val="32"/>
          <w:szCs w:val="32"/>
        </w:rPr>
        <w:t>年度预算项目支出全面开展绩效自评，共涉及预算支出项目0个，涉及资金0万元，自评覆盖率（开展绩效自评的项目数</w:t>
      </w:r>
      <w:r>
        <w:rPr>
          <w:rFonts w:hint="eastAsia" w:ascii="仿宋_GB2312" w:hAnsi="宋体" w:eastAsia="仿宋_GB2312" w:cs="宋体"/>
          <w:sz w:val="32"/>
          <w:szCs w:val="32"/>
        </w:rPr>
        <w:t>/年初批复绩效目标的项目数）达到</w:t>
      </w:r>
      <w:r>
        <w:rPr>
          <w:rFonts w:hint="eastAsia" w:ascii="仿宋_GB2312" w:hAnsi="宋体" w:eastAsia="仿宋_GB2312" w:cs="仿宋_GB2312"/>
          <w:sz w:val="32"/>
          <w:szCs w:val="32"/>
        </w:rPr>
        <w:t>100</w:t>
      </w:r>
      <w:r>
        <w:rPr>
          <w:rFonts w:hint="eastAsia" w:ascii="仿宋_GB2312" w:hAnsi="宋体" w:eastAsia="仿宋_GB2312" w:cs="宋体"/>
          <w:sz w:val="32"/>
          <w:szCs w:val="32"/>
        </w:rPr>
        <w:t>%，自评平均分（开展绩效自评的项目分数总和/开展绩效自评的项目数）</w:t>
      </w:r>
      <w:r>
        <w:rPr>
          <w:rFonts w:hint="eastAsia" w:ascii="仿宋_GB2312" w:hAnsi="宋体" w:eastAsia="仿宋_GB2312" w:cs="仿宋_GB2312"/>
          <w:sz w:val="32"/>
          <w:szCs w:val="32"/>
        </w:rPr>
        <w:t>100分。</w:t>
      </w:r>
    </w:p>
    <w:p w14:paraId="65B5E117">
      <w:pPr>
        <w:ind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hAnsi="宋体" w:eastAsia="仿宋_GB2312" w:cs="仿宋_GB2312"/>
          <w:b/>
          <w:bCs/>
          <w:sz w:val="32"/>
          <w:szCs w:val="32"/>
        </w:rPr>
        <w:t>（</w:t>
      </w:r>
      <w:r>
        <w:rPr>
          <w:rFonts w:hAnsi="宋体" w:eastAsia="仿宋_GB2312" w:cs="仿宋_GB2312"/>
          <w:b/>
          <w:bCs/>
          <w:sz w:val="32"/>
          <w:szCs w:val="32"/>
        </w:rPr>
        <w:t>2</w:t>
      </w:r>
      <w:r>
        <w:rPr>
          <w:rFonts w:hint="eastAsia" w:hAnsi="宋体" w:eastAsia="仿宋_GB2312" w:cs="仿宋_GB2312"/>
          <w:b/>
          <w:bCs/>
          <w:sz w:val="32"/>
          <w:szCs w:val="32"/>
        </w:rPr>
        <w:t>）部门评价情况。</w:t>
      </w:r>
      <w:r>
        <w:rPr>
          <w:rFonts w:hint="eastAsia" w:ascii="仿宋_GB2312" w:eastAsia="仿宋_GB2312"/>
          <w:sz w:val="32"/>
          <w:szCs w:val="32"/>
        </w:rPr>
        <w:t>曙光街道办事处进一步明确预算管理目标，以绩效目标实现为导向，以绩效运行跟踪监控为要点，以绩效评价为手段，以绩效评价结果为应用导向，根据每月预算支出进度</w:t>
      </w:r>
      <w:r>
        <w:rPr>
          <w:rFonts w:ascii="仿宋_GB2312" w:eastAsia="仿宋_GB2312"/>
          <w:sz w:val="32"/>
          <w:szCs w:val="32"/>
        </w:rPr>
        <w:t>,</w:t>
      </w:r>
      <w:r>
        <w:rPr>
          <w:rFonts w:hint="eastAsia" w:ascii="仿宋_GB2312" w:eastAsia="仿宋_GB2312"/>
          <w:sz w:val="32"/>
          <w:szCs w:val="32"/>
        </w:rPr>
        <w:t>严格资金管理，切实保障资金的合理、安全、规范。</w:t>
      </w:r>
    </w:p>
    <w:p w14:paraId="7D5AB5AF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部门整体支出绩效评价结果来看，曙光街道单位预算编制科学合理，重大财务事项经由党政领导班子会议集体研究决定，民主公开氛围浓厚，财务制度健全。在资金拨付和使用方面，严格审批程序，确保手续完备。到</w:t>
      </w:r>
      <w:r>
        <w:rPr>
          <w:rFonts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</w:rPr>
        <w:t>1年年底，对实际绩效情况进行综合分析评价，目标全部完成，绩效等级优。</w:t>
      </w:r>
    </w:p>
    <w:p w14:paraId="5D8C2CE3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1.通过绩效评价发现主要存在以下问题：</w:t>
      </w:r>
    </w:p>
    <w:p w14:paraId="20541582">
      <w:pPr>
        <w:pStyle w:val="9"/>
        <w:ind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1）组织保障尚待强化。由于单位人员紧缺、绩效工作专业性强等因素，机构人员配备不全，缺少专业人员指导培训，有一人身兼多职的情况，虽能保障绩效工作的进行，但影响了绩效工作的时效性以及整体绩效评估的优质性。</w:t>
      </w:r>
    </w:p>
    <w:p w14:paraId="7693115C">
      <w:pPr>
        <w:pStyle w:val="9"/>
        <w:ind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2）制度体系尚待健全。我单位在规范绩效目标、绩效跟踪、绩效评价、结果运用等各项管理制度，和财政局对于确保绩效管理与预算编制、执行、监督的有效衔接方面还有待进一步加强。为了将绩效工作做细做精，还应更充分考虑各方因素，建立健全绩效管理机制体系。</w:t>
      </w:r>
    </w:p>
    <w:p w14:paraId="736D5EE7">
      <w:pPr>
        <w:spacing w:line="56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2.改进的方向和具体措施</w:t>
      </w:r>
    </w:p>
    <w:p w14:paraId="7D30B616">
      <w:pPr>
        <w:spacing w:line="56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（1）加强组织领导，健全体制机制。在现有预算绩效管理工作的基础上，加强成员的配备以及各成员业务知识培训，建立健全绩效管理相关制度，确保绩效管理工作扎实深入开展。</w:t>
      </w:r>
    </w:p>
    <w:p w14:paraId="5A5D295C">
      <w:pPr>
        <w:spacing w:line="56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2）提高绩效管理认识，有效整改督查。通过设立目标有利于项目决策的制定，有助于项目的实施管理。项目实施前应结合本单位自身情况，设定明确、合规、合理的绩效目标，并将目标量化、细化分解，与预算资金相匹配起来。我街结合实际情况，汇总、对比以往年度项目预算，从而科学、有依据的做出下一年的项目资金预算，编制更为合理的预算，优化项目资金预算。</w:t>
      </w:r>
    </w:p>
    <w:p w14:paraId="5494EED5">
      <w:pPr>
        <w:spacing w:line="56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</w:p>
    <w:p w14:paraId="18DB3216">
      <w:pPr>
        <w:spacing w:line="56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</w:p>
    <w:p w14:paraId="4F128D04">
      <w:pPr>
        <w:spacing w:line="56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</w:p>
    <w:p w14:paraId="30BE95BA"/>
    <w:p w14:paraId="4330D85F">
      <w:r>
        <w:drawing>
          <wp:inline distT="0" distB="0" distL="0" distR="0">
            <wp:extent cx="5274310" cy="7515225"/>
            <wp:effectExtent l="1905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51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30B37B3"/>
    <w:multiLevelType w:val="multilevel"/>
    <w:tmpl w:val="730B37B3"/>
    <w:lvl w:ilvl="0" w:tentative="0">
      <w:start w:val="1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1" w:tentative="0">
      <w:start w:val="2"/>
      <w:numFmt w:val="japaneseCounting"/>
      <w:lvlText w:val="%2、"/>
      <w:lvlJc w:val="left"/>
      <w:pPr>
        <w:tabs>
          <w:tab w:val="left" w:pos="1140"/>
        </w:tabs>
        <w:ind w:left="1140" w:hanging="72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WZmNGQ4ZjZjZDQ4MTNmMDczNjg4MmQyMThhZTliM2IifQ=="/>
  </w:docVars>
  <w:rsids>
    <w:rsidRoot w:val="002C2B6A"/>
    <w:rsid w:val="002703B9"/>
    <w:rsid w:val="002C2B6A"/>
    <w:rsid w:val="00413962"/>
    <w:rsid w:val="00583DD8"/>
    <w:rsid w:val="006026AE"/>
    <w:rsid w:val="007866C9"/>
    <w:rsid w:val="007F3756"/>
    <w:rsid w:val="00954771"/>
    <w:rsid w:val="05482AC0"/>
    <w:rsid w:val="7EB73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uiPriority w:val="99"/>
    <w:rPr>
      <w:sz w:val="18"/>
      <w:szCs w:val="18"/>
    </w:rPr>
  </w:style>
  <w:style w:type="paragraph" w:customStyle="1" w:styleId="9">
    <w:name w:val="Body Text First Indent 21"/>
    <w:basedOn w:val="1"/>
    <w:qFormat/>
    <w:uiPriority w:val="0"/>
    <w:pPr>
      <w:spacing w:line="500" w:lineRule="exact"/>
      <w:ind w:firstLine="420" w:firstLineChars="200"/>
    </w:pPr>
  </w:style>
  <w:style w:type="character" w:customStyle="1" w:styleId="10">
    <w:name w:val="批注框文本 Char"/>
    <w:basedOn w:val="6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5231</Words>
  <Characters>5686</Characters>
  <Lines>41</Lines>
  <Paragraphs>11</Paragraphs>
  <TotalTime>7</TotalTime>
  <ScaleCrop>false</ScaleCrop>
  <LinksUpToDate>false</LinksUpToDate>
  <CharactersWithSpaces>5716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2022-08-19T05:50:00Z</dcterms:created>
  <dc:creator>Administrator</dc:creator>
  <cp:lastModifiedBy>戴丹</cp:lastModifiedBy>
  <dcterms:modified xsi:type="dcterms:W3CDTF">2024-11-07T06:54:19Z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0F47EBD055AD4036AC8B5A2A66BB75F2_12</vt:lpwstr>
  </property>
</Properties>
</file>