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eastAsia="zh-CN"/>
        </w:rPr>
        <w:t>兴隆台区司法局202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盘锦市</w:t>
      </w:r>
      <w:r>
        <w:rPr>
          <w:rFonts w:hint="eastAsia" w:ascii="黑体" w:hAnsi="黑体" w:eastAsia="黑体"/>
          <w:b w:val="0"/>
          <w:bCs/>
          <w:sz w:val="32"/>
          <w:szCs w:val="32"/>
          <w:lang w:val="en-US" w:eastAsia="zh-CN"/>
        </w:rPr>
        <w:t>兴隆台区司法局</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兴隆台区司法局</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2024年度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兴隆台区司法局2024</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widowControl/>
        <w:numPr>
          <w:ilvl w:val="0"/>
          <w:numId w:val="1"/>
        </w:numPr>
        <w:spacing w:line="620" w:lineRule="exact"/>
        <w:rPr>
          <w:rFonts w:hint="eastAsia" w:ascii="黑体" w:hAnsi="黑体" w:eastAsia="黑体"/>
          <w:color w:val="000000"/>
          <w:sz w:val="32"/>
        </w:rPr>
      </w:pPr>
      <w:r>
        <w:rPr>
          <w:rFonts w:hint="eastAsia" w:ascii="黑体" w:hAnsi="黑体" w:eastAsia="黑体"/>
          <w:color w:val="000000"/>
          <w:sz w:val="32"/>
        </w:rPr>
        <w:t>主要职责</w:t>
      </w:r>
    </w:p>
    <w:p>
      <w:pPr>
        <w:spacing w:line="600" w:lineRule="exact"/>
        <w:ind w:firstLine="480" w:firstLineChars="15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（一）承担全面依法治区重大问题的研究，协调有关方面提出全面依法治区中长期规划建议，负责有关重大决策问题部署督察工作。</w:t>
      </w:r>
    </w:p>
    <w:p>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（二）负责区政府、区政府办公室发布的行政规范性文件合法性审查。负责各街道办事处、区直部门行政规范性文件的备案审查工作。组织开展行政规范性文件的清理工作。</w:t>
      </w:r>
    </w:p>
    <w:p>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承担统筹推进法治政府建设的责任。指导、监督区政府各部门、各街道办事处依法行政工作，组织开展法治政府建设理论研究和宣传工作，负责综合协调行政执法，指导、监督各街道办事处、区直各部门行政执法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（六）负责社区矫正和刑满释放人员帮教安置工作。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（七）负责拟订公共法律服务体系建设具体规划并组织实施，统筹和布局城乡、区域法律服务资源，指导、监督公共法律服务中心建设，协调、监督律师、法律援助、司法鉴定、公证和基层法律服务管理工作。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（八）负责区政府法律顾问工作，对区政府作出的重大行政决策进行合法性审查，负责区政府法律事务咨询等工作。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（九）负责本系统服装和警车管理工作，指导、监督本系统财务、装备、设施、场所等保障工作。</w:t>
      </w:r>
    </w:p>
    <w:p>
      <w:pPr>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pPr>
        <w:spacing w:line="600" w:lineRule="exact"/>
        <w:ind w:firstLine="480" w:firstLineChars="15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（十一）依照《安全生产法》和其他有关法律、法规的规定，部门职责范围内负责对行业、领域的安全生产工作实施监督管理。</w:t>
      </w:r>
    </w:p>
    <w:p>
      <w:pPr>
        <w:spacing w:line="600" w:lineRule="exact"/>
        <w:ind w:firstLine="320" w:firstLineChars="1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numPr>
          <w:ilvl w:val="0"/>
          <w:numId w:val="0"/>
        </w:numPr>
        <w:ind w:firstLine="640" w:firstLineChars="200"/>
        <w:jc w:val="left"/>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设置11个基层司法所，为区司法局派出机构，司法所实行区司法局和街道办事处双重管理，以区司法局管理为主的管理体制。主要负责指导管理和组织实施本辖区的司法行政各项业务工作。名称</w:t>
      </w:r>
      <w:r>
        <w:rPr>
          <w:rFonts w:hint="eastAsia" w:ascii="仿宋" w:hAnsi="仿宋" w:eastAsia="仿宋" w:cs="仿宋"/>
          <w:color w:val="000000"/>
          <w:sz w:val="32"/>
          <w:szCs w:val="32"/>
          <w:lang w:eastAsia="zh-CN"/>
        </w:rPr>
        <w:t>分别</w:t>
      </w:r>
      <w:r>
        <w:rPr>
          <w:rFonts w:hint="eastAsia" w:ascii="仿宋" w:hAnsi="仿宋" w:eastAsia="仿宋" w:cs="仿宋"/>
          <w:color w:val="000000"/>
          <w:sz w:val="32"/>
          <w:szCs w:val="32"/>
        </w:rPr>
        <w:t>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w:t>
      </w:r>
      <w:r>
        <w:rPr>
          <w:rFonts w:hint="eastAsia" w:ascii="仿宋" w:hAnsi="仿宋" w:eastAsia="仿宋" w:cs="仿宋"/>
          <w:color w:val="000000"/>
          <w:sz w:val="32"/>
          <w:szCs w:val="32"/>
          <w:lang w:eastAsia="zh-CN"/>
        </w:rPr>
        <w:t>曙光</w:t>
      </w:r>
      <w:r>
        <w:rPr>
          <w:rFonts w:hint="eastAsia" w:ascii="仿宋" w:hAnsi="仿宋" w:eastAsia="仿宋" w:cs="仿宋"/>
          <w:color w:val="000000"/>
          <w:sz w:val="32"/>
          <w:szCs w:val="32"/>
        </w:rPr>
        <w:t>司法所；9、兴隆台区司法局欢喜</w:t>
      </w:r>
      <w:r>
        <w:rPr>
          <w:rFonts w:hint="eastAsia" w:ascii="仿宋" w:hAnsi="仿宋" w:eastAsia="仿宋" w:cs="仿宋"/>
          <w:color w:val="000000"/>
          <w:sz w:val="32"/>
          <w:szCs w:val="32"/>
          <w:lang w:eastAsia="zh-CN"/>
        </w:rPr>
        <w:t>岭</w:t>
      </w:r>
      <w:r>
        <w:rPr>
          <w:rFonts w:hint="eastAsia" w:ascii="仿宋" w:hAnsi="仿宋" w:eastAsia="仿宋" w:cs="仿宋"/>
          <w:color w:val="000000"/>
          <w:sz w:val="32"/>
          <w:szCs w:val="32"/>
        </w:rPr>
        <w:t>司法所；10、兴隆台区司法局</w:t>
      </w:r>
      <w:r>
        <w:rPr>
          <w:rFonts w:hint="eastAsia" w:ascii="仿宋" w:hAnsi="仿宋" w:eastAsia="仿宋" w:cs="仿宋"/>
          <w:color w:val="000000"/>
          <w:sz w:val="32"/>
          <w:szCs w:val="32"/>
          <w:lang w:eastAsia="zh-CN"/>
        </w:rPr>
        <w:t>沈采</w:t>
      </w:r>
      <w:r>
        <w:rPr>
          <w:rFonts w:hint="eastAsia" w:ascii="仿宋" w:hAnsi="仿宋" w:eastAsia="仿宋" w:cs="仿宋"/>
          <w:color w:val="000000"/>
          <w:sz w:val="32"/>
          <w:szCs w:val="32"/>
        </w:rPr>
        <w:t>司法所；11、兴隆台区司法局惠宾司法所</w:t>
      </w:r>
      <w:r>
        <w:rPr>
          <w:rFonts w:hint="eastAsia" w:ascii="仿宋" w:hAnsi="仿宋" w:eastAsia="仿宋" w:cs="仿宋"/>
          <w:color w:val="000000"/>
          <w:sz w:val="32"/>
          <w:szCs w:val="32"/>
          <w:lang w:eastAsia="zh-CN"/>
        </w:rPr>
        <w:t>。</w:t>
      </w:r>
    </w:p>
    <w:p>
      <w:pPr>
        <w:numPr>
          <w:ilvl w:val="0"/>
          <w:numId w:val="0"/>
        </w:numPr>
        <w:ind w:firstLine="640" w:firstLineChars="200"/>
        <w:jc w:val="lef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2.下设副科级事业单位，盘锦市兴隆台区法律援助中心。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 xml:space="preserve">纳入盘锦市兴隆台区司法局2024年度部门预算编制范围的二级预算单位包括：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1.盘锦市兴隆台区司法局（本级）。</w:t>
      </w:r>
      <w:bookmarkStart w:id="0" w:name="_GoBack"/>
      <w:bookmarkEnd w:id="0"/>
    </w:p>
    <w:p>
      <w:pPr>
        <w:numPr>
          <w:ilvl w:val="0"/>
          <w:numId w:val="0"/>
        </w:numPr>
        <w:ind w:firstLine="640" w:firstLineChars="200"/>
        <w:jc w:val="left"/>
        <w:rPr>
          <w:rFonts w:hint="eastAsia" w:ascii="仿宋" w:hAnsi="仿宋" w:eastAsia="仿宋" w:cs="仿宋"/>
          <w:color w:val="000000"/>
          <w:sz w:val="32"/>
          <w:szCs w:val="32"/>
          <w:lang w:val="en-US" w:eastAsia="zh-CN"/>
        </w:rPr>
      </w:pPr>
      <w:r>
        <w:rPr>
          <w:rFonts w:hint="eastAsia" w:ascii="仿宋_GB2312" w:hAnsi="仿宋_GB2312" w:eastAsia="仿宋_GB2312" w:cs="仿宋_GB2312"/>
          <w:sz w:val="32"/>
          <w:lang w:val="en-US" w:eastAsia="zh-CN"/>
        </w:rPr>
        <w:t>2.</w:t>
      </w:r>
      <w:r>
        <w:rPr>
          <w:rFonts w:hint="eastAsia" w:ascii="仿宋" w:hAnsi="仿宋" w:eastAsia="仿宋" w:cs="仿宋"/>
          <w:color w:val="000000"/>
          <w:sz w:val="32"/>
          <w:szCs w:val="32"/>
          <w:lang w:val="en-US" w:eastAsia="zh-CN"/>
        </w:rPr>
        <w:t>盘锦市兴隆台区法律援助中心。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w:t>
      </w:r>
      <w:r>
        <w:rPr>
          <w:rFonts w:hint="eastAsia" w:ascii="方正小标宋_GBK" w:hAnsi="方正小标宋_GBK" w:eastAsia="方正小标宋_GBK" w:cs="方正小标宋_GBK"/>
          <w:b w:val="0"/>
          <w:bCs/>
          <w:sz w:val="44"/>
          <w:szCs w:val="44"/>
          <w:lang w:val="en-US" w:eastAsia="zh-CN"/>
        </w:rPr>
        <w:t>兴隆台区司法局</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盘锦市</w:t>
      </w:r>
      <w:r>
        <w:rPr>
          <w:rFonts w:hint="eastAsia" w:ascii="方正小标宋_GBK" w:hAnsi="方正小标宋_GBK" w:eastAsia="方正小标宋_GBK" w:cs="方正小标宋_GBK"/>
          <w:b w:val="0"/>
          <w:bCs/>
          <w:sz w:val="44"/>
          <w:szCs w:val="44"/>
          <w:lang w:val="en-US" w:eastAsia="zh-CN"/>
        </w:rPr>
        <w:t>兴隆台区司法局</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4</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2024年盘锦市兴隆台区司法局所有收入和支出均纳入部门预算管理。其中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815.83</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1.一般公共预算收入815.83万元；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815.83</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1.基本支出603.83万元；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2.项目支出212万元。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2024年预算同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0.08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0.08</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项目经费增加</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44.12</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4.8</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办公费用减少。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atLeast"/>
        <w:ind w:firstLine="624" w:firstLineChars="195"/>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tbl>
      <w:tblPr>
        <w:tblStyle w:val="3"/>
        <w:tblpPr w:leftFromText="180" w:rightFromText="180" w:vertAnchor="text" w:horzAnchor="page" w:tblpX="1579" w:tblpY="647"/>
        <w:tblOverlap w:val="never"/>
        <w:tblW w:w="8877" w:type="dxa"/>
        <w:tblInd w:w="0" w:type="dxa"/>
        <w:tblLayout w:type="autofit"/>
        <w:tblCellMar>
          <w:top w:w="0" w:type="dxa"/>
          <w:left w:w="108" w:type="dxa"/>
          <w:bottom w:w="0" w:type="dxa"/>
          <w:right w:w="108" w:type="dxa"/>
        </w:tblCellMar>
      </w:tblPr>
      <w:tblGrid>
        <w:gridCol w:w="730"/>
        <w:gridCol w:w="1416"/>
        <w:gridCol w:w="2559"/>
        <w:gridCol w:w="2940"/>
        <w:gridCol w:w="1232"/>
      </w:tblGrid>
      <w:tr>
        <w:tblPrEx>
          <w:tblCellMar>
            <w:top w:w="0" w:type="dxa"/>
            <w:left w:w="108" w:type="dxa"/>
            <w:bottom w:w="0" w:type="dxa"/>
            <w:right w:w="108" w:type="dxa"/>
          </w:tblCellMar>
        </w:tblPrEx>
        <w:trPr>
          <w:trHeight w:val="659"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支出类型</w:t>
            </w:r>
          </w:p>
        </w:tc>
        <w:tc>
          <w:tcPr>
            <w:tcW w:w="1416"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部门经济分类</w:t>
            </w:r>
          </w:p>
        </w:tc>
        <w:tc>
          <w:tcPr>
            <w:tcW w:w="2559"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采购项目</w:t>
            </w:r>
          </w:p>
        </w:tc>
        <w:tc>
          <w:tcPr>
            <w:tcW w:w="294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采购型号</w:t>
            </w:r>
          </w:p>
        </w:tc>
        <w:tc>
          <w:tcPr>
            <w:tcW w:w="1232"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报审金额</w:t>
            </w:r>
          </w:p>
        </w:tc>
      </w:tr>
      <w:tr>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一、基本支出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83"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二、项目支出</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eastAsia="zh-CN"/>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7"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92"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5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9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sz w:val="24"/>
                <w:szCs w:val="24"/>
                <w:u w:val="none"/>
                <w:lang w:val="en-US"/>
              </w:rPr>
            </w:pP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23</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兴隆台区司法局</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lang w:val="en-US" w:eastAsia="zh-CN"/>
        </w:rPr>
        <w:t>663900.97</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94162</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569738.97</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兴隆台区司法</w:t>
      </w:r>
      <w:r>
        <w:rPr>
          <w:rFonts w:hint="eastAsia" w:ascii="仿宋_GB2312" w:hAnsi="仿宋_GB2312" w:eastAsia="仿宋_GB2312" w:cs="仿宋_GB2312"/>
          <w:sz w:val="32"/>
        </w:rPr>
        <w:t>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p>
    <w:p/>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5D611DEB"/>
    <w:multiLevelType w:val="multilevel"/>
    <w:tmpl w:val="5D611DEB"/>
    <w:lvl w:ilvl="0" w:tentative="0">
      <w:start w:val="1"/>
      <w:numFmt w:val="japaneseCounting"/>
      <w:lvlText w:val="%1、"/>
      <w:lvlJc w:val="left"/>
      <w:pPr>
        <w:ind w:left="1460" w:hanging="720"/>
      </w:pPr>
      <w:rPr>
        <w:rFonts w:hint="default"/>
      </w:rPr>
    </w:lvl>
    <w:lvl w:ilvl="1" w:tentative="0">
      <w:start w:val="1"/>
      <w:numFmt w:val="lowerLetter"/>
      <w:lvlText w:val="%2)"/>
      <w:lvlJc w:val="left"/>
      <w:pPr>
        <w:ind w:left="1580" w:hanging="420"/>
      </w:pPr>
    </w:lvl>
    <w:lvl w:ilvl="2" w:tentative="0">
      <w:start w:val="1"/>
      <w:numFmt w:val="lowerRoman"/>
      <w:lvlText w:val="%3."/>
      <w:lvlJc w:val="right"/>
      <w:pPr>
        <w:ind w:left="2000" w:hanging="420"/>
      </w:pPr>
    </w:lvl>
    <w:lvl w:ilvl="3" w:tentative="0">
      <w:start w:val="1"/>
      <w:numFmt w:val="decimal"/>
      <w:lvlText w:val="%4."/>
      <w:lvlJc w:val="left"/>
      <w:pPr>
        <w:ind w:left="2420" w:hanging="420"/>
      </w:pPr>
    </w:lvl>
    <w:lvl w:ilvl="4" w:tentative="0">
      <w:start w:val="1"/>
      <w:numFmt w:val="lowerLetter"/>
      <w:lvlText w:val="%5)"/>
      <w:lvlJc w:val="left"/>
      <w:pPr>
        <w:ind w:left="2840" w:hanging="420"/>
      </w:pPr>
    </w:lvl>
    <w:lvl w:ilvl="5" w:tentative="0">
      <w:start w:val="1"/>
      <w:numFmt w:val="lowerRoman"/>
      <w:lvlText w:val="%6."/>
      <w:lvlJc w:val="right"/>
      <w:pPr>
        <w:ind w:left="3260" w:hanging="420"/>
      </w:pPr>
    </w:lvl>
    <w:lvl w:ilvl="6" w:tentative="0">
      <w:start w:val="1"/>
      <w:numFmt w:val="decimal"/>
      <w:lvlText w:val="%7."/>
      <w:lvlJc w:val="left"/>
      <w:pPr>
        <w:ind w:left="3680" w:hanging="420"/>
      </w:pPr>
    </w:lvl>
    <w:lvl w:ilvl="7" w:tentative="0">
      <w:start w:val="1"/>
      <w:numFmt w:val="lowerLetter"/>
      <w:lvlText w:val="%8)"/>
      <w:lvlJc w:val="left"/>
      <w:pPr>
        <w:ind w:left="4100" w:hanging="420"/>
      </w:pPr>
    </w:lvl>
    <w:lvl w:ilvl="8" w:tentative="0">
      <w:start w:val="1"/>
      <w:numFmt w:val="lowerRoman"/>
      <w:lvlText w:val="%9."/>
      <w:lvlJc w:val="right"/>
      <w:pPr>
        <w:ind w:left="45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jM2MzY1MGRhMmE3ODM4OTY2OGJmZGM4YjE4YzMifQ=="/>
  </w:docVars>
  <w:rsids>
    <w:rsidRoot w:val="3B8147A3"/>
    <w:rsid w:val="022257E5"/>
    <w:rsid w:val="13EA1E35"/>
    <w:rsid w:val="32C05922"/>
    <w:rsid w:val="3B8147A3"/>
    <w:rsid w:val="3E0E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2024-03-19T03:08:00Z</dcterms:created>
  <dc:creator>WPS_1524491911</dc:creator>
  <cp:lastModifiedBy>WPS_1524491911</cp:lastModifiedBy>
  <dcterms:modified xsi:type="dcterms:W3CDTF">2024-03-19T07:48:17Z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B9162FEDD4C747CFAD9D6F31A0D22AD0_11</vt:lpwstr>
  </property>
</Properties>
</file>