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kinsoku/>
        <w:wordWrap/>
        <w:overflowPunct/>
        <w:topLinePunct w:val="0"/>
        <w:autoSpaceDE/>
        <w:autoSpaceDN/>
        <w:bidi w:val="0"/>
        <w:adjustRightInd/>
        <w:spacing w:beforeAutospacing="0" w:afterAutospacing="0" w:line="600" w:lineRule="exact"/>
        <w:jc w:val="center"/>
        <w:textAlignment w:val="auto"/>
        <w:rPr>
          <w:rFonts w:hint="eastAsia" w:ascii="方正小标宋_GBK" w:hAnsi="方正小标宋_GBK" w:eastAsia="方正小标宋_GBK" w:cs="方正小标宋_GBK"/>
          <w:b/>
          <w:bCs w:val="0"/>
          <w:sz w:val="44"/>
          <w:szCs w:val="44"/>
          <w:lang w:val="en-US" w:eastAsia="zh-CN"/>
        </w:rPr>
      </w:pPr>
    </w:p>
    <w:p>
      <w:pPr>
        <w:pStyle w:val="7"/>
        <w:keepNext w:val="0"/>
        <w:keepLines w:val="0"/>
        <w:pageBreakBefore w:val="0"/>
        <w:widowControl/>
        <w:kinsoku/>
        <w:wordWrap/>
        <w:overflowPunct/>
        <w:topLinePunct w:val="0"/>
        <w:autoSpaceDE/>
        <w:autoSpaceDN/>
        <w:bidi w:val="0"/>
        <w:adjustRightInd/>
        <w:spacing w:beforeAutospacing="0" w:afterAutospacing="0" w:line="600" w:lineRule="exact"/>
        <w:jc w:val="center"/>
        <w:textAlignment w:val="auto"/>
        <w:rPr>
          <w:rFonts w:hint="eastAsia" w:ascii="方正小标宋_GBK" w:hAnsi="方正小标宋_GBK" w:eastAsia="方正小标宋_GBK" w:cs="方正小标宋_GBK"/>
          <w:b/>
          <w:bCs w:val="0"/>
          <w:sz w:val="44"/>
          <w:szCs w:val="44"/>
          <w:lang w:val="en-US" w:eastAsia="zh-CN"/>
        </w:rPr>
      </w:pPr>
      <w:r>
        <w:rPr>
          <w:rFonts w:hint="eastAsia" w:ascii="方正小标宋_GBK" w:hAnsi="方正小标宋_GBK" w:eastAsia="方正小标宋_GBK" w:cs="方正小标宋_GBK"/>
          <w:b/>
          <w:bCs w:val="0"/>
          <w:sz w:val="44"/>
          <w:szCs w:val="44"/>
          <w:lang w:val="en-US" w:eastAsia="zh-CN"/>
        </w:rPr>
        <w:t>2023年度市本级预算绩效管理工作</w:t>
      </w:r>
    </w:p>
    <w:p>
      <w:pPr>
        <w:pStyle w:val="7"/>
        <w:keepNext w:val="0"/>
        <w:keepLines w:val="0"/>
        <w:pageBreakBefore w:val="0"/>
        <w:widowControl/>
        <w:kinsoku/>
        <w:wordWrap/>
        <w:overflowPunct/>
        <w:topLinePunct w:val="0"/>
        <w:autoSpaceDE/>
        <w:autoSpaceDN/>
        <w:bidi w:val="0"/>
        <w:adjustRightInd/>
        <w:spacing w:beforeAutospacing="0" w:afterAutospacing="0" w:line="600" w:lineRule="exact"/>
        <w:jc w:val="center"/>
        <w:textAlignment w:val="auto"/>
        <w:rPr>
          <w:rFonts w:hint="default" w:ascii="方正小标宋_GBK" w:hAnsi="方正小标宋_GBK" w:eastAsia="方正小标宋_GBK" w:cs="方正小标宋_GBK"/>
          <w:b/>
          <w:bCs w:val="0"/>
          <w:sz w:val="44"/>
          <w:szCs w:val="44"/>
          <w:lang w:val="en-US" w:eastAsia="zh-CN"/>
        </w:rPr>
      </w:pPr>
      <w:bookmarkStart w:id="0" w:name="_GoBack"/>
      <w:bookmarkEnd w:id="0"/>
      <w:r>
        <w:rPr>
          <w:rFonts w:hint="eastAsia" w:ascii="方正小标宋_GBK" w:hAnsi="方正小标宋_GBK" w:eastAsia="方正小标宋_GBK" w:cs="方正小标宋_GBK"/>
          <w:b/>
          <w:bCs w:val="0"/>
          <w:sz w:val="44"/>
          <w:szCs w:val="44"/>
          <w:lang w:val="en-US" w:eastAsia="zh-CN"/>
        </w:rPr>
        <w:t>进展情况</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tabs>
          <w:tab w:val="left" w:pos="494"/>
        </w:tabs>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Cs w:val="32"/>
          <w:lang w:val="en-US" w:eastAsia="zh-CN"/>
        </w:rPr>
      </w:pPr>
      <w:r>
        <w:rPr>
          <w:rFonts w:hint="eastAsia" w:ascii="黑体" w:hAnsi="黑体" w:eastAsia="黑体" w:cs="黑体"/>
          <w:b w:val="0"/>
          <w:bCs/>
          <w:szCs w:val="32"/>
          <w:lang w:val="en-US" w:eastAsia="zh-CN"/>
        </w:rPr>
        <w:t>一、明确目标方向，稳步推进重点工作任务</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为贯彻落实《中共辽宁省委 辽宁省人民政府关于全面实施预算绩效管理的实施意见》（辽委发</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2019</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17号）和省财政厅绩效管理处2022年工作要点，积极推进预算绩效管理工作有序开展，结合我市预算绩效管理工作实际，印发了《关于印发市财政局预算绩效管理科2022年度工作要点的通知》(盘财绩</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 xml:space="preserve">74号)并下发给县区，进一步明确下步工作目标、工作思路、工作任务和工作重点，确保县区级层面到2022年底前，基本建成全方位、全覆盖、全过程的预算绩效管理体系。 </w:t>
      </w:r>
    </w:p>
    <w:p>
      <w:pPr>
        <w:keepNext w:val="0"/>
        <w:keepLines w:val="0"/>
        <w:pageBreakBefore w:val="0"/>
        <w:numPr>
          <w:ilvl w:val="0"/>
          <w:numId w:val="0"/>
        </w:numPr>
        <w:tabs>
          <w:tab w:val="left" w:pos="494"/>
        </w:tabs>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Cs w:val="32"/>
          <w:lang w:val="en-US" w:eastAsia="zh-CN"/>
        </w:rPr>
      </w:pPr>
      <w:r>
        <w:rPr>
          <w:rFonts w:hint="eastAsia" w:ascii="黑体" w:hAnsi="黑体" w:eastAsia="黑体" w:cs="黑体"/>
          <w:b w:val="0"/>
          <w:bCs/>
          <w:szCs w:val="32"/>
          <w:lang w:val="en-US" w:eastAsia="zh-CN"/>
        </w:rPr>
        <w:t>二、加强制度建设，健全预算绩效管理体系</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为全面推进预算绩效管理，健全预算绩效管理体系，市财政局印发了《转发省财政厅&lt;关于印发辽宁省地方政府专项债券项目资金绩效管理暂行办法的通知&gt;的通知》(盘财绩</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36号)，进一步加强政府专项债券项目资金绩效管理，提高债券资金使用效益，有效防范政府债务风险。</w:t>
      </w:r>
    </w:p>
    <w:p>
      <w:pPr>
        <w:keepNext w:val="0"/>
        <w:keepLines w:val="0"/>
        <w:pageBreakBefore w:val="0"/>
        <w:numPr>
          <w:ilvl w:val="0"/>
          <w:numId w:val="0"/>
        </w:numPr>
        <w:tabs>
          <w:tab w:val="left" w:pos="494"/>
        </w:tabs>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Cs w:val="32"/>
          <w:lang w:val="en-US" w:eastAsia="zh-CN"/>
        </w:rPr>
      </w:pPr>
      <w:r>
        <w:rPr>
          <w:rFonts w:hint="eastAsia" w:ascii="黑体" w:hAnsi="黑体" w:eastAsia="黑体" w:cs="黑体"/>
          <w:b w:val="0"/>
          <w:bCs/>
          <w:szCs w:val="32"/>
          <w:lang w:val="en-US" w:eastAsia="zh-CN"/>
        </w:rPr>
        <w:t>三、规范工作流程，扩展绩效目标管理覆盖面</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实现预算绩效目标全过程信息化管理。2022年，实施了预算绩效一体化软件操作，对一般公共预算、政府性基金预算、国有资本经营预算实施了全过程信息化绩效目标管理。一般公共预算中，除没有专项用途的一般性转移支付外，均纳入绩效管理范围。2022年市本级部门项目（政策）支出 1,575.00万元纳入绩效管理；市本级共有72个一级预算部门103 个二级预算单位编制了2022年部门整体绩效目标（涉密除外）。</w:t>
      </w:r>
    </w:p>
    <w:p>
      <w:pPr>
        <w:keepNext w:val="0"/>
        <w:keepLines w:val="0"/>
        <w:pageBreakBefore w:val="0"/>
        <w:numPr>
          <w:ilvl w:val="0"/>
          <w:numId w:val="0"/>
        </w:numPr>
        <w:tabs>
          <w:tab w:val="left" w:pos="494"/>
        </w:tabs>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Cs w:val="32"/>
          <w:lang w:val="en-US" w:eastAsia="zh-CN"/>
        </w:rPr>
      </w:pPr>
      <w:r>
        <w:rPr>
          <w:rFonts w:hint="eastAsia" w:ascii="黑体" w:hAnsi="黑体" w:eastAsia="黑体" w:cs="黑体"/>
          <w:b w:val="0"/>
          <w:bCs/>
          <w:szCs w:val="32"/>
          <w:lang w:val="en-US" w:eastAsia="zh-CN"/>
        </w:rPr>
        <w:t>四、提升资金绩效，开展项目资金绩效评价</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1.开展项目绩效自评</w:t>
      </w:r>
    </w:p>
    <w:p>
      <w:pPr>
        <w:keepNext w:val="0"/>
        <w:keepLines w:val="0"/>
        <w:pageBreakBefore w:val="0"/>
        <w:numPr>
          <w:ilvl w:val="0"/>
          <w:numId w:val="0"/>
        </w:numPr>
        <w:kinsoku/>
        <w:wordWrap/>
        <w:overflowPunct/>
        <w:topLinePunct w:val="0"/>
        <w:autoSpaceDE/>
        <w:autoSpaceDN/>
        <w:bidi w:val="0"/>
        <w:adjustRightIn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highlight w:val="none"/>
          <w:lang w:val="en-US" w:eastAsia="zh-CN"/>
        </w:rPr>
        <w:t>开展专项资金绩效自评工作。</w:t>
      </w:r>
      <w:r>
        <w:rPr>
          <w:rFonts w:hint="eastAsia" w:ascii="仿宋_GB2312" w:hAnsi="仿宋_GB2312" w:eastAsia="仿宋_GB2312" w:cs="仿宋_GB2312"/>
          <w:sz w:val="32"/>
          <w:szCs w:val="32"/>
          <w:lang w:val="en-US" w:eastAsia="zh-CN"/>
        </w:rPr>
        <w:t>按照省财政厅工作要求，指导县区财政部门和资金使用部门(单位)按照规定时间和要求开展2021年度中央转移支付资金绩效自评工作，</w:t>
      </w:r>
      <w:r>
        <w:rPr>
          <w:rFonts w:hint="eastAsia" w:ascii="仿宋_GB2312" w:hAnsi="仿宋_GB2312" w:eastAsia="仿宋_GB2312" w:cs="仿宋_GB2312"/>
          <w:color w:val="auto"/>
          <w:sz w:val="32"/>
          <w:szCs w:val="32"/>
          <w:lang w:val="en-US" w:eastAsia="zh-CN"/>
        </w:rPr>
        <w:t>下发了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关于做好2021年度中央对地方转移支付预算执行情况绩效自评工作的通知</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盘</w:t>
      </w:r>
      <w:r>
        <w:rPr>
          <w:rFonts w:hint="eastAsia" w:ascii="仿宋_GB2312" w:hAnsi="仿宋_GB2312" w:eastAsia="仿宋_GB2312" w:cs="仿宋_GB2312"/>
          <w:color w:val="auto"/>
          <w:sz w:val="32"/>
          <w:szCs w:val="32"/>
        </w:rPr>
        <w:t>财</w:t>
      </w:r>
      <w:r>
        <w:rPr>
          <w:rFonts w:hint="eastAsia" w:ascii="仿宋_GB2312" w:hAnsi="仿宋_GB2312" w:eastAsia="仿宋_GB2312" w:cs="仿宋_GB2312"/>
          <w:color w:val="auto"/>
          <w:sz w:val="32"/>
          <w:szCs w:val="32"/>
          <w:lang w:val="en-US" w:eastAsia="zh-CN"/>
        </w:rPr>
        <w:t>绩</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37</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lang w:val="en-US" w:eastAsia="zh-CN"/>
        </w:rPr>
        <w:t>全市28个市直单位共373个中央转移支付专项项目完成绩效自评，涉及32.36亿元，年执行数22.30亿元，执行率71.06%，达到了对中央转移支付绩效自评全覆盖，自评率100%。</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color w:val="auto"/>
          <w:sz w:val="32"/>
          <w:szCs w:val="32"/>
          <w:lang w:val="en-US" w:eastAsia="zh-CN"/>
        </w:rPr>
        <w:t>将市本级2021年初财政预算批复的“特定目标类”、“人员类”、“运转类”资金均纳入预算绩效评价管理范围，涉及市本级158个部门（单位），资金32.97亿元，开展绩效自评的特定目标类项目11个，自评覆盖率为50%，指标下达金额1.99亿元，执行金额为1.99亿元，自评资金执行率100%；开</w:t>
      </w:r>
      <w:r>
        <w:rPr>
          <w:rFonts w:hint="eastAsia" w:ascii="仿宋_GB2312" w:hAnsi="仿宋_GB2312" w:eastAsia="仿宋_GB2312" w:cs="仿宋_GB2312"/>
          <w:sz w:val="32"/>
          <w:szCs w:val="32"/>
          <w:lang w:val="en-US" w:eastAsia="zh-CN"/>
        </w:rPr>
        <w:t>展部门整体绩效自评的部门（单位）158户，自评覆盖率为100%。</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2.开展重点项目绩效评价</w:t>
      </w:r>
    </w:p>
    <w:p>
      <w:pPr>
        <w:keepNext w:val="0"/>
        <w:keepLines w:val="0"/>
        <w:pageBreakBefore w:val="0"/>
        <w:numPr>
          <w:ilvl w:val="0"/>
          <w:numId w:val="0"/>
        </w:numPr>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我市在预算单位自评的基础上，选取</w:t>
      </w:r>
      <w:r>
        <w:rPr>
          <w:rFonts w:hint="eastAsia" w:ascii="仿宋_GB2312" w:hAnsi="仿宋_GB2312" w:eastAsia="仿宋_GB2312" w:cs="仿宋_GB2312"/>
          <w:sz w:val="32"/>
          <w:szCs w:val="32"/>
          <w:highlight w:val="none"/>
        </w:rPr>
        <w:t>具有行业特点</w:t>
      </w:r>
      <w:r>
        <w:rPr>
          <w:rFonts w:hint="eastAsia" w:ascii="仿宋_GB2312" w:hAnsi="仿宋_GB2312" w:eastAsia="仿宋_GB2312" w:cs="仿宋_GB2312"/>
          <w:sz w:val="32"/>
          <w:szCs w:val="32"/>
          <w:highlight w:val="none"/>
          <w:lang w:eastAsia="zh-CN"/>
        </w:rPr>
        <w:t>、覆盖面广、社会关注度高、持续时间长以及资金规模较大</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重点项目</w:t>
      </w:r>
      <w:r>
        <w:rPr>
          <w:rFonts w:hint="eastAsia" w:ascii="仿宋_GB2312" w:hAnsi="仿宋_GB2312" w:eastAsia="仿宋_GB2312" w:cs="仿宋_GB2312"/>
          <w:sz w:val="32"/>
          <w:szCs w:val="32"/>
          <w:highlight w:val="none"/>
          <w:lang w:val="en-US" w:eastAsia="zh-CN"/>
        </w:rPr>
        <w:t>实施重点评价，对项目单位的重点项目资金绩效评价方案、报告、实施情况进行确认把关，真正把重点项目绩效评价工作落到实处，切实发挥了绩效评价作用。2022年组织市本级开展2021年度重点项目绩效评价数量共计5个，涉及金额1.47亿元。</w:t>
      </w:r>
    </w:p>
    <w:p>
      <w:pPr>
        <w:keepNext w:val="0"/>
        <w:keepLines w:val="0"/>
        <w:pageBreakBefore w:val="0"/>
        <w:numPr>
          <w:ilvl w:val="0"/>
          <w:numId w:val="0"/>
        </w:numPr>
        <w:tabs>
          <w:tab w:val="left" w:pos="494"/>
        </w:tabs>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Cs w:val="32"/>
          <w:lang w:val="en-US" w:eastAsia="zh-CN"/>
        </w:rPr>
      </w:pPr>
      <w:r>
        <w:rPr>
          <w:rFonts w:hint="eastAsia" w:ascii="黑体" w:hAnsi="黑体" w:eastAsia="黑体" w:cs="黑体"/>
          <w:b w:val="0"/>
          <w:bCs/>
          <w:szCs w:val="32"/>
          <w:lang w:val="en-US" w:eastAsia="zh-CN"/>
        </w:rPr>
        <w:t>五、完善约束政策，加强预算绩效考核管理</w:t>
      </w:r>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楷体" w:hAnsi="楷体" w:eastAsia="楷体" w:cs="楷体"/>
          <w:b/>
          <w:szCs w:val="32"/>
          <w:highlight w:val="none"/>
          <w:lang w:val="en-US" w:eastAsia="zh-CN"/>
        </w:rPr>
      </w:pPr>
      <w:r>
        <w:rPr>
          <w:rFonts w:hint="eastAsia" w:ascii="仿宋_GB2312" w:hAnsi="仿宋_GB2312" w:eastAsia="仿宋_GB2312" w:cs="仿宋_GB2312"/>
          <w:sz w:val="32"/>
          <w:szCs w:val="32"/>
          <w:lang w:val="en-US" w:eastAsia="zh-CN"/>
        </w:rPr>
        <w:t>为持续优化改进预算绩效管理工作，按照省财政厅绩效管理工作考核要求，我们印发了《转发省财政厅&lt;关于开展2021年度市级预算绩效管理考核工作的通知&gt;通知》（</w:t>
      </w:r>
      <w:r>
        <w:rPr>
          <w:rFonts w:hint="eastAsia" w:ascii="仿宋_GB2312" w:hAnsi="仿宋_GB2312" w:eastAsia="仿宋_GB2312" w:cs="仿宋_GB2312"/>
          <w:color w:val="auto"/>
          <w:sz w:val="32"/>
          <w:szCs w:val="32"/>
          <w:lang w:eastAsia="zh-CN"/>
        </w:rPr>
        <w:t>盘</w:t>
      </w:r>
      <w:r>
        <w:rPr>
          <w:rFonts w:hint="eastAsia" w:ascii="仿宋_GB2312" w:hAnsi="仿宋_GB2312" w:eastAsia="仿宋_GB2312" w:cs="仿宋_GB2312"/>
          <w:color w:val="auto"/>
          <w:sz w:val="32"/>
          <w:szCs w:val="32"/>
        </w:rPr>
        <w:t>财</w:t>
      </w:r>
      <w:r>
        <w:rPr>
          <w:rFonts w:hint="eastAsia" w:ascii="仿宋_GB2312" w:hAnsi="仿宋_GB2312" w:eastAsia="仿宋_GB2312" w:cs="仿宋_GB2312"/>
          <w:color w:val="auto"/>
          <w:sz w:val="32"/>
          <w:szCs w:val="32"/>
          <w:lang w:val="en-US" w:eastAsia="zh-CN"/>
        </w:rPr>
        <w:t>绩</w:t>
      </w: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号</w:t>
      </w:r>
      <w:r>
        <w:rPr>
          <w:rFonts w:hint="eastAsia" w:ascii="仿宋_GB2312" w:hAnsi="仿宋_GB2312" w:eastAsia="仿宋_GB2312" w:cs="仿宋_GB2312"/>
          <w:sz w:val="32"/>
          <w:szCs w:val="32"/>
          <w:lang w:val="en-US" w:eastAsia="zh-CN"/>
        </w:rPr>
        <w:t>），并通过预算管理一体化系统线上对我市2021年度绩效管理工作情况进行考核。将绩效管理基础工作、事前绩效评估、绩效目标、绩效监控以及绩效评价五方面工作完成情况纳入县区绩效管理目标考核范畴，汇总填报市本级和县区情况，填写了绩效管理各项考核指标的“自评分数”和“评定依据”并上传佐证材料上报省厅，层层落实责任，自评自查，逐步推进，将加强预算绩效管理工作落到实处。</w:t>
      </w:r>
    </w:p>
    <w:p>
      <w:pPr>
        <w:keepNext w:val="0"/>
        <w:keepLines w:val="0"/>
        <w:pageBreakBefore w:val="0"/>
        <w:numPr>
          <w:ilvl w:val="0"/>
          <w:numId w:val="0"/>
        </w:numPr>
        <w:tabs>
          <w:tab w:val="left" w:pos="494"/>
        </w:tabs>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Cs w:val="32"/>
          <w:lang w:val="en-US" w:eastAsia="zh-CN"/>
        </w:rPr>
      </w:pPr>
      <w:r>
        <w:rPr>
          <w:rFonts w:hint="eastAsia" w:ascii="黑体" w:hAnsi="黑体" w:eastAsia="黑体" w:cs="黑体"/>
          <w:b w:val="0"/>
          <w:bCs/>
          <w:szCs w:val="32"/>
          <w:lang w:val="en-US" w:eastAsia="zh-CN"/>
        </w:rPr>
        <w:t>六、强化资金监管，开展线上绩效运行监控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yellow"/>
          <w:lang w:eastAsia="zh-CN"/>
        </w:rPr>
      </w:pPr>
      <w:r>
        <w:rPr>
          <w:rFonts w:hint="eastAsia" w:ascii="仿宋" w:hAnsi="仿宋" w:cs="仿宋"/>
          <w:sz w:val="32"/>
          <w:szCs w:val="32"/>
          <w:lang w:eastAsia="zh-CN"/>
        </w:rPr>
        <w:t>为</w:t>
      </w:r>
      <w:r>
        <w:rPr>
          <w:rFonts w:hint="eastAsia" w:ascii="仿宋" w:hAnsi="仿宋" w:eastAsia="仿宋" w:cs="仿宋"/>
          <w:sz w:val="32"/>
          <w:szCs w:val="32"/>
        </w:rPr>
        <w:t>促进</w:t>
      </w:r>
      <w:r>
        <w:rPr>
          <w:rFonts w:hint="eastAsia" w:ascii="仿宋" w:hAnsi="仿宋" w:eastAsia="仿宋" w:cs="仿宋"/>
          <w:sz w:val="32"/>
          <w:szCs w:val="32"/>
          <w:lang w:eastAsia="zh-CN"/>
        </w:rPr>
        <w:t>市</w:t>
      </w:r>
      <w:r>
        <w:rPr>
          <w:rFonts w:hint="eastAsia" w:ascii="仿宋" w:hAnsi="仿宋" w:eastAsia="仿宋" w:cs="仿宋"/>
          <w:sz w:val="32"/>
          <w:szCs w:val="32"/>
        </w:rPr>
        <w:t>直部门（单位）提高财政资金的使用效益</w:t>
      </w:r>
      <w:r>
        <w:rPr>
          <w:rFonts w:hint="eastAsia" w:ascii="仿宋" w:hAnsi="仿宋" w:cs="仿宋"/>
          <w:sz w:val="32"/>
          <w:szCs w:val="32"/>
          <w:lang w:eastAsia="zh-CN"/>
        </w:rPr>
        <w:t>，我们</w:t>
      </w:r>
      <w:r>
        <w:rPr>
          <w:rFonts w:hint="eastAsia" w:ascii="仿宋" w:hAnsi="仿宋" w:eastAsia="仿宋" w:cs="仿宋"/>
          <w:sz w:val="32"/>
          <w:szCs w:val="32"/>
        </w:rPr>
        <w:t>组织各</w:t>
      </w:r>
      <w:r>
        <w:rPr>
          <w:rFonts w:hint="eastAsia" w:ascii="仿宋" w:hAnsi="仿宋" w:eastAsia="仿宋" w:cs="仿宋"/>
          <w:sz w:val="32"/>
          <w:szCs w:val="32"/>
          <w:lang w:eastAsia="zh-CN"/>
        </w:rPr>
        <w:t>市</w:t>
      </w:r>
      <w:r>
        <w:rPr>
          <w:rFonts w:hint="eastAsia" w:ascii="仿宋" w:hAnsi="仿宋" w:eastAsia="仿宋" w:cs="仿宋"/>
          <w:sz w:val="32"/>
          <w:szCs w:val="32"/>
        </w:rPr>
        <w:t>直部门（单位）</w:t>
      </w:r>
      <w:r>
        <w:rPr>
          <w:rFonts w:hint="eastAsia" w:ascii="仿宋" w:hAnsi="仿宋" w:cs="仿宋"/>
          <w:sz w:val="32"/>
          <w:szCs w:val="32"/>
          <w:lang w:eastAsia="zh-CN"/>
        </w:rPr>
        <w:t>线上</w:t>
      </w:r>
      <w:r>
        <w:rPr>
          <w:rFonts w:hint="eastAsia" w:ascii="仿宋" w:hAnsi="仿宋" w:eastAsia="仿宋" w:cs="仿宋"/>
          <w:sz w:val="32"/>
          <w:szCs w:val="32"/>
        </w:rPr>
        <w:t>开展202</w:t>
      </w:r>
      <w:r>
        <w:rPr>
          <w:rFonts w:hint="eastAsia" w:ascii="仿宋" w:hAnsi="仿宋" w:cs="仿宋"/>
          <w:sz w:val="32"/>
          <w:szCs w:val="32"/>
          <w:lang w:val="en-US" w:eastAsia="zh-CN"/>
        </w:rPr>
        <w:t>2</w:t>
      </w:r>
      <w:r>
        <w:rPr>
          <w:rFonts w:hint="eastAsia" w:ascii="仿宋" w:hAnsi="仿宋" w:eastAsia="仿宋" w:cs="仿宋"/>
          <w:sz w:val="32"/>
          <w:szCs w:val="32"/>
        </w:rPr>
        <w:t>年预算</w:t>
      </w:r>
      <w:r>
        <w:rPr>
          <w:rFonts w:hint="eastAsia" w:ascii="仿宋" w:hAnsi="仿宋" w:eastAsia="仿宋" w:cs="仿宋"/>
          <w:sz w:val="32"/>
          <w:szCs w:val="32"/>
          <w:highlight w:val="none"/>
        </w:rPr>
        <w:t>绩效</w:t>
      </w:r>
      <w:r>
        <w:rPr>
          <w:rFonts w:hint="eastAsia" w:ascii="仿宋" w:hAnsi="仿宋" w:eastAsia="仿宋" w:cs="仿宋"/>
          <w:i w:val="0"/>
          <w:caps w:val="0"/>
          <w:color w:val="333333"/>
          <w:spacing w:val="0"/>
          <w:sz w:val="32"/>
          <w:szCs w:val="32"/>
          <w:highlight w:val="none"/>
          <w:shd w:val="clear" w:fill="FFFFFF"/>
        </w:rPr>
        <w:t>中期</w:t>
      </w:r>
      <w:r>
        <w:rPr>
          <w:rFonts w:hint="eastAsia" w:ascii="仿宋" w:hAnsi="仿宋" w:eastAsia="仿宋" w:cs="仿宋"/>
          <w:sz w:val="32"/>
          <w:szCs w:val="32"/>
          <w:highlight w:val="none"/>
        </w:rPr>
        <w:t>监控</w:t>
      </w:r>
      <w:r>
        <w:rPr>
          <w:rFonts w:hint="eastAsia" w:ascii="仿宋" w:hAnsi="仿宋" w:cs="仿宋"/>
          <w:i w:val="0"/>
          <w:caps w:val="0"/>
          <w:color w:val="333333"/>
          <w:spacing w:val="0"/>
          <w:sz w:val="32"/>
          <w:szCs w:val="32"/>
          <w:highlight w:val="none"/>
          <w:shd w:val="clear" w:fill="FFFFFF"/>
          <w:lang w:eastAsia="zh-CN"/>
        </w:rPr>
        <w:t>，</w:t>
      </w:r>
      <w:r>
        <w:rPr>
          <w:rFonts w:hint="eastAsia" w:ascii="仿宋" w:hAnsi="仿宋" w:eastAsia="仿宋" w:cs="仿宋"/>
          <w:sz w:val="32"/>
          <w:szCs w:val="32"/>
          <w:highlight w:val="none"/>
        </w:rPr>
        <w:t>印发</w:t>
      </w:r>
      <w:r>
        <w:rPr>
          <w:rFonts w:hint="eastAsia" w:ascii="仿宋" w:hAnsi="仿宋" w:cs="仿宋"/>
          <w:sz w:val="32"/>
          <w:szCs w:val="32"/>
          <w:highlight w:val="none"/>
          <w:lang w:eastAsia="zh-CN"/>
        </w:rPr>
        <w:t>了</w:t>
      </w:r>
      <w:r>
        <w:rPr>
          <w:rFonts w:hint="eastAsia" w:ascii="仿宋" w:hAnsi="仿宋" w:eastAsia="仿宋" w:cs="仿宋"/>
          <w:sz w:val="32"/>
          <w:szCs w:val="32"/>
          <w:highlight w:val="none"/>
        </w:rPr>
        <w:t>《关于开展202</w:t>
      </w:r>
      <w:r>
        <w:rPr>
          <w:rFonts w:hint="eastAsia" w:ascii="仿宋" w:hAnsi="仿宋" w:cs="仿宋"/>
          <w:sz w:val="32"/>
          <w:szCs w:val="32"/>
          <w:highlight w:val="none"/>
          <w:lang w:val="en-US" w:eastAsia="zh-CN"/>
        </w:rPr>
        <w:t>2</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本级预算绩效监控工作的通知》</w:t>
      </w:r>
      <w:r>
        <w:rPr>
          <w:rFonts w:hint="eastAsia" w:ascii="仿宋" w:hAnsi="仿宋" w:cs="仿宋"/>
          <w:sz w:val="32"/>
          <w:szCs w:val="32"/>
          <w:highlight w:val="none"/>
          <w:lang w:eastAsia="zh-CN"/>
        </w:rPr>
        <w:t>（</w:t>
      </w:r>
      <w:r>
        <w:rPr>
          <w:rFonts w:hint="eastAsia" w:ascii="仿宋" w:hAnsi="仿宋" w:eastAsia="仿宋"/>
          <w:color w:val="000000"/>
          <w:sz w:val="32"/>
          <w:szCs w:val="32"/>
          <w:highlight w:val="none"/>
        </w:rPr>
        <w:t>盘财绩〔20</w:t>
      </w:r>
      <w:r>
        <w:rPr>
          <w:rFonts w:hint="eastAsia" w:ascii="仿宋" w:hAnsi="仿宋" w:eastAsia="仿宋"/>
          <w:color w:val="000000"/>
          <w:sz w:val="32"/>
          <w:szCs w:val="32"/>
          <w:highlight w:val="none"/>
          <w:lang w:val="en-US" w:eastAsia="zh-CN"/>
        </w:rPr>
        <w:t>2</w:t>
      </w:r>
      <w:r>
        <w:rPr>
          <w:rFonts w:hint="eastAsia" w:ascii="仿宋" w:hAnsi="仿宋"/>
          <w:color w:val="000000"/>
          <w:sz w:val="32"/>
          <w:szCs w:val="32"/>
          <w:highlight w:val="none"/>
          <w:lang w:val="en-US" w:eastAsia="zh-CN"/>
        </w:rPr>
        <w:t>2</w:t>
      </w:r>
      <w:r>
        <w:rPr>
          <w:rFonts w:hint="eastAsia" w:ascii="仿宋" w:hAnsi="仿宋" w:eastAsia="仿宋"/>
          <w:color w:val="000000"/>
          <w:sz w:val="32"/>
          <w:szCs w:val="32"/>
          <w:highlight w:val="none"/>
        </w:rPr>
        <w:t>〕</w:t>
      </w:r>
      <w:r>
        <w:rPr>
          <w:rFonts w:hint="eastAsia" w:ascii="仿宋" w:hAnsi="仿宋"/>
          <w:color w:val="000000"/>
          <w:sz w:val="32"/>
          <w:szCs w:val="32"/>
          <w:highlight w:val="none"/>
          <w:lang w:val="en-US" w:eastAsia="zh-CN"/>
        </w:rPr>
        <w:t>147</w:t>
      </w:r>
      <w:r>
        <w:rPr>
          <w:rFonts w:hint="eastAsia" w:ascii="仿宋" w:hAnsi="仿宋" w:eastAsia="仿宋"/>
          <w:color w:val="000000"/>
          <w:sz w:val="32"/>
          <w:szCs w:val="32"/>
          <w:highlight w:val="none"/>
        </w:rPr>
        <w:t>号</w:t>
      </w:r>
      <w:r>
        <w:rPr>
          <w:rFonts w:hint="eastAsia" w:ascii="仿宋" w:hAnsi="仿宋" w:cs="仿宋"/>
          <w:sz w:val="32"/>
          <w:szCs w:val="32"/>
          <w:highlight w:val="none"/>
          <w:lang w:eastAsia="zh-CN"/>
        </w:rPr>
        <w:t>）</w:t>
      </w:r>
      <w:r>
        <w:rPr>
          <w:rFonts w:hint="eastAsia" w:ascii="仿宋" w:hAnsi="仿宋" w:eastAsia="仿宋" w:cs="仿宋"/>
          <w:sz w:val="32"/>
          <w:szCs w:val="32"/>
          <w:highlight w:val="none"/>
        </w:rPr>
        <w:t>，明确今年监控内容、职责分工、工作流程以及工作要求</w:t>
      </w:r>
      <w:r>
        <w:rPr>
          <w:rFonts w:hint="eastAsia" w:ascii="仿宋" w:hAnsi="仿宋" w:cs="仿宋"/>
          <w:sz w:val="32"/>
          <w:szCs w:val="32"/>
          <w:highlight w:val="none"/>
          <w:lang w:eastAsia="zh-CN"/>
        </w:rPr>
        <w:t>，</w:t>
      </w:r>
      <w:r>
        <w:rPr>
          <w:rFonts w:hint="eastAsia" w:ascii="仿宋" w:hAnsi="仿宋" w:eastAsia="仿宋" w:cs="仿宋"/>
          <w:sz w:val="32"/>
          <w:szCs w:val="32"/>
          <w:highlight w:val="none"/>
          <w:lang w:eastAsia="zh-CN"/>
        </w:rPr>
        <w:t>对</w:t>
      </w:r>
      <w:r>
        <w:rPr>
          <w:rFonts w:hint="eastAsia" w:ascii="仿宋" w:hAnsi="仿宋" w:eastAsia="仿宋" w:cs="仿宋"/>
          <w:sz w:val="32"/>
          <w:szCs w:val="32"/>
          <w:highlight w:val="none"/>
          <w:lang w:val="en-US" w:eastAsia="zh-CN"/>
        </w:rPr>
        <w:t>202</w:t>
      </w:r>
      <w:r>
        <w:rPr>
          <w:rFonts w:hint="eastAsia" w:ascii="仿宋" w:hAnsi="仿宋" w:cs="仿宋"/>
          <w:sz w:val="32"/>
          <w:szCs w:val="32"/>
          <w:highlight w:val="none"/>
          <w:lang w:val="en-US" w:eastAsia="zh-CN"/>
        </w:rPr>
        <w:t>2</w:t>
      </w:r>
      <w:r>
        <w:rPr>
          <w:rFonts w:hint="eastAsia" w:ascii="仿宋" w:hAnsi="仿宋" w:eastAsia="仿宋" w:cs="仿宋"/>
          <w:sz w:val="32"/>
          <w:szCs w:val="32"/>
          <w:highlight w:val="none"/>
          <w:lang w:val="en-US" w:eastAsia="zh-CN"/>
        </w:rPr>
        <w:t>年度</w:t>
      </w:r>
      <w:r>
        <w:rPr>
          <w:rFonts w:hint="eastAsia" w:ascii="仿宋" w:hAnsi="仿宋" w:cs="仿宋"/>
          <w:sz w:val="32"/>
          <w:szCs w:val="32"/>
          <w:highlight w:val="none"/>
          <w:lang w:val="en-US" w:eastAsia="zh-CN"/>
        </w:rPr>
        <w:t>27</w:t>
      </w:r>
      <w:r>
        <w:rPr>
          <w:rFonts w:hint="eastAsia" w:ascii="仿宋" w:hAnsi="仿宋" w:eastAsia="仿宋" w:cs="仿宋"/>
          <w:sz w:val="32"/>
          <w:szCs w:val="32"/>
          <w:highlight w:val="none"/>
          <w:lang w:val="en-US" w:eastAsia="zh-CN"/>
        </w:rPr>
        <w:t>项纳入预算的</w:t>
      </w:r>
      <w:r>
        <w:rPr>
          <w:rFonts w:hint="eastAsia" w:ascii="仿宋" w:hAnsi="仿宋" w:eastAsia="仿宋" w:cs="仿宋"/>
          <w:sz w:val="32"/>
          <w:szCs w:val="32"/>
          <w:highlight w:val="none"/>
          <w:lang w:eastAsia="zh-CN"/>
        </w:rPr>
        <w:t>特定目标类</w:t>
      </w:r>
      <w:r>
        <w:rPr>
          <w:rFonts w:hint="eastAsia" w:ascii="仿宋" w:hAnsi="仿宋" w:eastAsia="仿宋" w:cs="仿宋"/>
          <w:sz w:val="32"/>
          <w:szCs w:val="32"/>
          <w:highlight w:val="none"/>
        </w:rPr>
        <w:t>项目资金开展绩效运行监控</w:t>
      </w:r>
      <w:r>
        <w:rPr>
          <w:rFonts w:hint="eastAsia" w:ascii="仿宋" w:hAnsi="仿宋" w:cs="仿宋"/>
          <w:sz w:val="32"/>
          <w:szCs w:val="32"/>
          <w:highlight w:val="none"/>
          <w:lang w:eastAsia="zh-CN"/>
        </w:rPr>
        <w:t>，</w:t>
      </w:r>
      <w:r>
        <w:rPr>
          <w:rFonts w:hint="eastAsia" w:ascii="仿宋" w:hAnsi="仿宋" w:eastAsia="仿宋" w:cs="仿宋"/>
          <w:sz w:val="32"/>
          <w:szCs w:val="32"/>
          <w:highlight w:val="none"/>
        </w:rPr>
        <w:t>同时将</w:t>
      </w:r>
      <w:r>
        <w:rPr>
          <w:rFonts w:hint="eastAsia" w:ascii="仿宋" w:hAnsi="仿宋" w:eastAsia="仿宋" w:cs="仿宋"/>
          <w:sz w:val="32"/>
          <w:szCs w:val="32"/>
          <w:highlight w:val="none"/>
          <w:lang w:eastAsia="zh-CN"/>
        </w:rPr>
        <w:t>市</w:t>
      </w:r>
      <w:r>
        <w:rPr>
          <w:rFonts w:hint="eastAsia" w:ascii="仿宋" w:hAnsi="仿宋" w:eastAsia="仿宋" w:cs="仿宋"/>
          <w:sz w:val="32"/>
          <w:szCs w:val="32"/>
          <w:highlight w:val="none"/>
        </w:rPr>
        <w:t>本级</w:t>
      </w:r>
      <w:r>
        <w:rPr>
          <w:rFonts w:hint="eastAsia" w:ascii="仿宋" w:hAnsi="仿宋" w:cs="仿宋"/>
          <w:sz w:val="32"/>
          <w:szCs w:val="32"/>
          <w:highlight w:val="none"/>
          <w:lang w:val="en-US" w:eastAsia="zh-CN"/>
        </w:rPr>
        <w:t>162</w:t>
      </w:r>
      <w:r>
        <w:rPr>
          <w:rFonts w:hint="eastAsia" w:ascii="仿宋" w:hAnsi="仿宋" w:eastAsia="仿宋" w:cs="仿宋"/>
          <w:sz w:val="32"/>
          <w:szCs w:val="32"/>
          <w:highlight w:val="none"/>
        </w:rPr>
        <w:t>个部门整体绩效目标纳入绩效运行监控范围，实现了项目和部门整体绩效监控全覆盖。</w:t>
      </w:r>
      <w:r>
        <w:rPr>
          <w:rFonts w:hint="eastAsia" w:ascii="仿宋" w:hAnsi="仿宋" w:eastAsia="仿宋" w:cs="仿宋"/>
          <w:sz w:val="32"/>
          <w:szCs w:val="32"/>
          <w:highlight w:val="none"/>
          <w:lang w:eastAsia="zh-CN"/>
        </w:rPr>
        <w:t>会同各业务科室及时对各部门项目执行情况予以指导，切实加强预算绩效目标约束力，最大限度发挥财政资金使用绩效。</w:t>
      </w:r>
    </w:p>
    <w:p>
      <w:pPr>
        <w:keepNext w:val="0"/>
        <w:keepLines w:val="0"/>
        <w:pageBreakBefore w:val="0"/>
        <w:numPr>
          <w:ilvl w:val="0"/>
          <w:numId w:val="0"/>
        </w:numPr>
        <w:tabs>
          <w:tab w:val="left" w:pos="494"/>
        </w:tabs>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Cs w:val="32"/>
          <w:lang w:val="en-US" w:eastAsia="zh-CN"/>
        </w:rPr>
      </w:pPr>
      <w:r>
        <w:rPr>
          <w:rFonts w:hint="eastAsia" w:ascii="黑体" w:hAnsi="黑体" w:eastAsia="黑体" w:cs="黑体"/>
          <w:b w:val="0"/>
          <w:bCs/>
          <w:szCs w:val="32"/>
          <w:lang w:val="en-US" w:eastAsia="zh-CN"/>
        </w:rPr>
        <w:t>七、推动绩效公开，加大绩效管理宣传和公开力度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一是</w:t>
      </w:r>
      <w:r>
        <w:rPr>
          <w:rFonts w:hint="eastAsia" w:ascii="仿宋_GB2312" w:hAnsi="仿宋" w:eastAsia="仿宋_GB2312" w:cs="仿宋"/>
          <w:szCs w:val="32"/>
          <w:highlight w:val="none"/>
          <w:lang w:val="en-US" w:eastAsia="zh-CN"/>
        </w:rPr>
        <w:t>及时宣传绩效工作成果。定期向市委、市政府等部门报送《“强规范、重实干、严督办”专项行动重点任务推进情况》和“2022年度绩效管理各阶段工作总结”等信息动态。</w:t>
      </w:r>
      <w:r>
        <w:rPr>
          <w:rFonts w:hint="eastAsia" w:ascii="仿宋_GB2312" w:hAnsi="仿宋_GB2312" w:eastAsia="仿宋_GB2312" w:cs="仿宋_GB2312"/>
          <w:b/>
          <w:bCs/>
          <w:sz w:val="32"/>
          <w:szCs w:val="32"/>
          <w:highlight w:val="none"/>
          <w:lang w:val="en-US" w:eastAsia="zh-CN"/>
        </w:rPr>
        <w:t>二是</w:t>
      </w:r>
      <w:r>
        <w:rPr>
          <w:rFonts w:hint="eastAsia" w:ascii="仿宋_GB2312" w:hAnsi="仿宋" w:eastAsia="仿宋_GB2312" w:cs="仿宋"/>
          <w:szCs w:val="32"/>
          <w:highlight w:val="none"/>
          <w:lang w:val="en-US" w:eastAsia="zh-CN"/>
        </w:rPr>
        <w:t>适时公开绩效工作情况。将市本级2022年度预算项目绩效目标与部门预算、2021年度重点项目绩效评价结果与部门决算同步报送同级人大审核、同步向社会公开、自觉接受</w:t>
      </w:r>
      <w:r>
        <w:rPr>
          <w:rFonts w:hint="eastAsia" w:ascii="仿宋" w:hAnsi="仿宋" w:eastAsia="仿宋" w:cs="仿宋"/>
          <w:sz w:val="32"/>
          <w:szCs w:val="32"/>
          <w:highlight w:val="none"/>
          <w:lang w:val="en-US" w:eastAsia="zh-CN"/>
        </w:rPr>
        <w:t>人大和社会各界监督。</w:t>
      </w:r>
    </w:p>
    <w:p>
      <w:pPr>
        <w:keepNext w:val="0"/>
        <w:keepLines w:val="0"/>
        <w:pageBreakBefore w:val="0"/>
        <w:numPr>
          <w:ilvl w:val="0"/>
          <w:numId w:val="0"/>
        </w:numPr>
        <w:tabs>
          <w:tab w:val="left" w:pos="494"/>
        </w:tabs>
        <w:kinsoku/>
        <w:wordWrap/>
        <w:overflowPunct/>
        <w:topLinePunct w:val="0"/>
        <w:autoSpaceDE/>
        <w:autoSpaceDN/>
        <w:bidi w:val="0"/>
        <w:adjustRightInd/>
        <w:spacing w:line="600" w:lineRule="exact"/>
        <w:ind w:firstLine="640" w:firstLineChars="200"/>
        <w:textAlignment w:val="auto"/>
        <w:rPr>
          <w:rFonts w:hint="eastAsia" w:ascii="黑体" w:hAnsi="黑体" w:eastAsia="黑体" w:cs="黑体"/>
          <w:b w:val="0"/>
          <w:bCs/>
          <w:szCs w:val="32"/>
          <w:lang w:val="en-US" w:eastAsia="zh-CN"/>
        </w:rPr>
      </w:pPr>
      <w:r>
        <w:rPr>
          <w:rFonts w:hint="eastAsia" w:ascii="黑体" w:hAnsi="黑体" w:eastAsia="黑体" w:cs="黑体"/>
          <w:b w:val="0"/>
          <w:bCs/>
          <w:szCs w:val="32"/>
          <w:lang w:val="en-US" w:eastAsia="zh-CN"/>
        </w:rPr>
        <w:t>八、开展线上培训，规范2023年预算绩效目标填报要求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color w:val="auto"/>
          <w:szCs w:val="32"/>
          <w:highlight w:val="none"/>
          <w:lang w:val="en-US" w:eastAsia="zh-CN"/>
        </w:rPr>
      </w:pPr>
      <w:r>
        <w:rPr>
          <w:rFonts w:hint="eastAsia" w:ascii="仿宋_GB2312" w:hAnsi="仿宋" w:eastAsia="仿宋_GB2312" w:cs="仿宋"/>
          <w:color w:val="auto"/>
          <w:szCs w:val="32"/>
          <w:highlight w:val="none"/>
          <w:lang w:val="en-US" w:eastAsia="zh-CN"/>
        </w:rPr>
        <w:t>为更好完成2023年部门预算绩效目标编制工作，我们组织市本级各预算部门（单位）和各县区财政部门召开部门预算绩效目标编制工作视频会议。</w:t>
      </w:r>
      <w:r>
        <w:rPr>
          <w:rFonts w:hint="eastAsia" w:ascii="仿宋_GB2312" w:hAnsi="仿宋" w:eastAsia="仿宋_GB2312" w:cs="仿宋"/>
          <w:b/>
          <w:bCs/>
          <w:color w:val="auto"/>
          <w:szCs w:val="32"/>
          <w:highlight w:val="none"/>
          <w:lang w:val="en-US" w:eastAsia="zh-CN"/>
        </w:rPr>
        <w:t>一是</w:t>
      </w:r>
      <w:r>
        <w:rPr>
          <w:rFonts w:hint="eastAsia" w:ascii="仿宋_GB2312" w:hAnsi="仿宋" w:eastAsia="仿宋_GB2312" w:cs="仿宋"/>
          <w:color w:val="auto"/>
          <w:szCs w:val="32"/>
          <w:highlight w:val="none"/>
          <w:lang w:val="en-US" w:eastAsia="zh-CN"/>
        </w:rPr>
        <w:t>全面学习实施预算绩效管理相关政策理论，增强相关单位人员对绩效管理工作重要性和必要性的认识；</w:t>
      </w:r>
      <w:r>
        <w:rPr>
          <w:rFonts w:hint="eastAsia" w:ascii="仿宋_GB2312" w:hAnsi="仿宋" w:eastAsia="仿宋_GB2312" w:cs="仿宋"/>
          <w:b/>
          <w:bCs/>
          <w:color w:val="auto"/>
          <w:szCs w:val="32"/>
          <w:highlight w:val="none"/>
          <w:lang w:val="en-US" w:eastAsia="zh-CN"/>
        </w:rPr>
        <w:t>二是</w:t>
      </w:r>
      <w:r>
        <w:rPr>
          <w:rFonts w:hint="eastAsia" w:ascii="仿宋_GB2312" w:hAnsi="仿宋" w:eastAsia="仿宋_GB2312" w:cs="仿宋"/>
          <w:color w:val="auto"/>
          <w:szCs w:val="32"/>
          <w:highlight w:val="none"/>
          <w:lang w:val="en-US" w:eastAsia="zh-CN"/>
        </w:rPr>
        <w:t>规范2023年政策项目和部门整体绩效目标编制要求，提高部门预算编制的合理性和规范性，确保顺利完成2023年部门预算绩效目标编制工作。</w:t>
      </w:r>
    </w:p>
    <w:p>
      <w:pPr>
        <w:pStyle w:val="2"/>
        <w:keepNext w:val="0"/>
        <w:keepLines w:val="0"/>
        <w:pageBreakBefore w:val="0"/>
        <w:kinsoku/>
        <w:wordWrap/>
        <w:overflowPunct/>
        <w:topLinePunct w:val="0"/>
        <w:autoSpaceDE/>
        <w:autoSpaceDN/>
        <w:bidi w:val="0"/>
        <w:adjustRightInd/>
        <w:spacing w:line="600" w:lineRule="exact"/>
        <w:textAlignment w:val="auto"/>
        <w:rPr>
          <w:rFonts w:hint="eastAsia" w:ascii="仿宋_GB2312" w:hAnsi="仿宋_GB2312" w:eastAsia="仿宋_GB2312" w:cs="仿宋_GB2312"/>
          <w:b w:val="0"/>
          <w:bCs w:val="0"/>
          <w:sz w:val="32"/>
          <w:szCs w:val="32"/>
          <w:lang w:val="en-US" w:eastAsia="zh-CN"/>
        </w:rPr>
      </w:pPr>
    </w:p>
    <w:p>
      <w:pPr>
        <w:pStyle w:val="2"/>
        <w:keepNext w:val="0"/>
        <w:keepLines w:val="0"/>
        <w:pageBreakBefore w:val="0"/>
        <w:kinsoku/>
        <w:wordWrap/>
        <w:overflowPunct/>
        <w:topLinePunct w:val="0"/>
        <w:autoSpaceDE/>
        <w:autoSpaceDN/>
        <w:bidi w:val="0"/>
        <w:adjustRightInd/>
        <w:spacing w:line="600" w:lineRule="exact"/>
        <w:textAlignment w:val="auto"/>
        <w:rPr>
          <w:rFonts w:hint="eastAsia"/>
        </w:rPr>
      </w:pPr>
    </w:p>
    <w:p>
      <w:pPr>
        <w:keepNext w:val="0"/>
        <w:keepLines w:val="0"/>
        <w:pageBreakBefore w:val="0"/>
        <w:kinsoku/>
        <w:wordWrap/>
        <w:overflowPunct/>
        <w:topLinePunct w:val="0"/>
        <w:autoSpaceDE/>
        <w:autoSpaceDN/>
        <w:bidi w:val="0"/>
        <w:adjustRightInd/>
        <w:spacing w:line="600" w:lineRule="exact"/>
        <w:ind w:firstLine="5120" w:firstLineChars="1600"/>
        <w:textAlignment w:val="auto"/>
        <w:rPr>
          <w:rFonts w:hint="eastAsia" w:ascii="仿宋" w:hAnsi="仿宋" w:cs="仿宋"/>
          <w:szCs w:val="32"/>
        </w:rPr>
      </w:pPr>
      <w:r>
        <w:rPr>
          <w:rFonts w:hint="eastAsia" w:ascii="仿宋" w:hAnsi="仿宋" w:cs="仿宋"/>
          <w:szCs w:val="32"/>
        </w:rPr>
        <w:t>盘锦市财政局</w:t>
      </w: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仿宋" w:hAnsi="仿宋" w:eastAsia="仿宋" w:cs="仿宋"/>
          <w:szCs w:val="32"/>
          <w:lang w:val="en-US" w:eastAsia="zh-CN"/>
        </w:rPr>
      </w:pPr>
      <w:r>
        <w:rPr>
          <w:rFonts w:hint="eastAsia" w:ascii="仿宋" w:hAnsi="仿宋" w:cs="仿宋"/>
          <w:szCs w:val="32"/>
          <w:lang w:val="en-US" w:eastAsia="zh-CN"/>
        </w:rPr>
        <w:t xml:space="preserve">                                                       </w:t>
      </w:r>
      <w:r>
        <w:rPr>
          <w:rFonts w:hint="eastAsia" w:ascii="仿宋" w:hAnsi="仿宋" w:eastAsia="仿宋" w:cs="仿宋"/>
          <w:kern w:val="2"/>
          <w:sz w:val="32"/>
          <w:szCs w:val="32"/>
          <w:lang w:val="en-US" w:eastAsia="zh-CN" w:bidi="ar-SA"/>
        </w:rPr>
        <w:t>202</w:t>
      </w:r>
      <w:r>
        <w:rPr>
          <w:rFonts w:hint="eastAsia" w:ascii="仿宋" w:hAnsi="仿宋" w:cs="仿宋"/>
          <w:kern w:val="2"/>
          <w:sz w:val="32"/>
          <w:szCs w:val="32"/>
          <w:lang w:val="en-US" w:eastAsia="zh-CN" w:bidi="ar-SA"/>
        </w:rPr>
        <w:t>3</w:t>
      </w:r>
      <w:r>
        <w:rPr>
          <w:rFonts w:hint="eastAsia" w:ascii="仿宋" w:hAnsi="仿宋" w:eastAsia="仿宋" w:cs="仿宋"/>
          <w:kern w:val="2"/>
          <w:sz w:val="32"/>
          <w:szCs w:val="32"/>
          <w:lang w:val="en-US" w:eastAsia="zh-CN" w:bidi="ar-SA"/>
        </w:rPr>
        <w:t>年</w:t>
      </w:r>
      <w:r>
        <w:rPr>
          <w:rFonts w:hint="eastAsia" w:ascii="仿宋" w:hAnsi="仿宋" w:cs="仿宋"/>
          <w:kern w:val="2"/>
          <w:sz w:val="32"/>
          <w:szCs w:val="32"/>
          <w:lang w:val="en-US" w:eastAsia="zh-CN" w:bidi="ar-SA"/>
        </w:rPr>
        <w:t>1</w:t>
      </w:r>
      <w:r>
        <w:rPr>
          <w:rFonts w:hint="eastAsia" w:ascii="仿宋" w:hAnsi="仿宋" w:eastAsia="仿宋" w:cs="仿宋"/>
          <w:kern w:val="2"/>
          <w:sz w:val="32"/>
          <w:szCs w:val="32"/>
          <w:lang w:val="en-US" w:eastAsia="zh-CN" w:bidi="ar-SA"/>
        </w:rPr>
        <w:t>月</w:t>
      </w:r>
      <w:r>
        <w:rPr>
          <w:rFonts w:hint="eastAsia" w:ascii="仿宋" w:hAnsi="仿宋" w:cs="仿宋"/>
          <w:kern w:val="2"/>
          <w:sz w:val="32"/>
          <w:szCs w:val="32"/>
          <w:lang w:val="en-US" w:eastAsia="zh-CN" w:bidi="ar-SA"/>
        </w:rPr>
        <w:t>6</w:t>
      </w:r>
      <w:r>
        <w:rPr>
          <w:rFonts w:hint="eastAsia" w:ascii="仿宋" w:hAnsi="仿宋" w:eastAsia="仿宋" w:cs="仿宋"/>
          <w:kern w:val="2"/>
          <w:sz w:val="32"/>
          <w:szCs w:val="32"/>
          <w:lang w:val="en-US" w:eastAsia="zh-CN" w:bidi="ar-SA"/>
        </w:rPr>
        <w:t>日</w:t>
      </w:r>
    </w:p>
    <w:p>
      <w:pPr>
        <w:pStyle w:val="7"/>
        <w:keepNext w:val="0"/>
        <w:keepLines w:val="0"/>
        <w:pageBreakBefore w:val="0"/>
        <w:shd w:val="clear" w:color="auto" w:fill="FFFFFF"/>
        <w:kinsoku/>
        <w:wordWrap/>
        <w:overflowPunct/>
        <w:topLinePunct w:val="0"/>
        <w:autoSpaceDE/>
        <w:autoSpaceDN/>
        <w:bidi w:val="0"/>
        <w:adjustRightInd/>
        <w:spacing w:beforeAutospacing="0" w:afterAutospacing="0" w:line="600" w:lineRule="exact"/>
        <w:ind w:firstLine="369"/>
        <w:textAlignment w:val="auto"/>
        <w:rPr>
          <w:rFonts w:ascii="仿宋" w:hAnsi="仿宋" w:cs="仿宋"/>
          <w:szCs w:val="32"/>
        </w:rPr>
      </w:pPr>
      <w:r>
        <w:rPr>
          <w:rFonts w:hint="eastAsia" w:ascii="仿宋" w:hAnsi="仿宋" w:cs="仿宋"/>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4098"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NmYTU2ZjEwNjY5NTdmNGY4YjEzMzI4OGNiNDFmZWMifQ=="/>
  </w:docVars>
  <w:rsids>
    <w:rsidRoot w:val="00000000"/>
    <w:rsid w:val="02DA6B53"/>
    <w:rsid w:val="03A3738E"/>
    <w:rsid w:val="03A6132C"/>
    <w:rsid w:val="040F20B8"/>
    <w:rsid w:val="0467401F"/>
    <w:rsid w:val="061A152A"/>
    <w:rsid w:val="0666796D"/>
    <w:rsid w:val="075F2E7E"/>
    <w:rsid w:val="07CF3108"/>
    <w:rsid w:val="09006CB4"/>
    <w:rsid w:val="0925556F"/>
    <w:rsid w:val="09A340BD"/>
    <w:rsid w:val="0BE440AB"/>
    <w:rsid w:val="12677938"/>
    <w:rsid w:val="15692F08"/>
    <w:rsid w:val="16BF3418"/>
    <w:rsid w:val="1762511B"/>
    <w:rsid w:val="19276AFB"/>
    <w:rsid w:val="1D366EDE"/>
    <w:rsid w:val="1FF249EF"/>
    <w:rsid w:val="2540542B"/>
    <w:rsid w:val="26656FA8"/>
    <w:rsid w:val="27BE4C4C"/>
    <w:rsid w:val="281074E0"/>
    <w:rsid w:val="282F7942"/>
    <w:rsid w:val="293C2B3D"/>
    <w:rsid w:val="2B456700"/>
    <w:rsid w:val="2DDF52F1"/>
    <w:rsid w:val="2E5F71B6"/>
    <w:rsid w:val="2E8E2AEB"/>
    <w:rsid w:val="2EEA23C6"/>
    <w:rsid w:val="2F0025B3"/>
    <w:rsid w:val="31C54F42"/>
    <w:rsid w:val="31CB6508"/>
    <w:rsid w:val="31DD11EE"/>
    <w:rsid w:val="32A11A58"/>
    <w:rsid w:val="350858E2"/>
    <w:rsid w:val="36B35A09"/>
    <w:rsid w:val="376451D7"/>
    <w:rsid w:val="37E65090"/>
    <w:rsid w:val="389D682E"/>
    <w:rsid w:val="3B9D6ADE"/>
    <w:rsid w:val="3D89352B"/>
    <w:rsid w:val="3DDC1B5E"/>
    <w:rsid w:val="3E0015E5"/>
    <w:rsid w:val="40197122"/>
    <w:rsid w:val="40835FA5"/>
    <w:rsid w:val="43381438"/>
    <w:rsid w:val="43557D59"/>
    <w:rsid w:val="474A33C0"/>
    <w:rsid w:val="47541E95"/>
    <w:rsid w:val="48AC5A01"/>
    <w:rsid w:val="4A022340"/>
    <w:rsid w:val="4B4E6E91"/>
    <w:rsid w:val="4DC27C75"/>
    <w:rsid w:val="4E006726"/>
    <w:rsid w:val="4E3F5660"/>
    <w:rsid w:val="4E91586F"/>
    <w:rsid w:val="4F3E7FE0"/>
    <w:rsid w:val="513C643F"/>
    <w:rsid w:val="525B7AB8"/>
    <w:rsid w:val="53FE3B0C"/>
    <w:rsid w:val="55E51CD9"/>
    <w:rsid w:val="56CB4E1D"/>
    <w:rsid w:val="57995A8D"/>
    <w:rsid w:val="58EA2A29"/>
    <w:rsid w:val="598B731E"/>
    <w:rsid w:val="5A7F38A7"/>
    <w:rsid w:val="5C9F34FD"/>
    <w:rsid w:val="5CBB4F52"/>
    <w:rsid w:val="5D032CC4"/>
    <w:rsid w:val="5D923E89"/>
    <w:rsid w:val="5F424204"/>
    <w:rsid w:val="60D16366"/>
    <w:rsid w:val="6183131F"/>
    <w:rsid w:val="6197014F"/>
    <w:rsid w:val="62521E64"/>
    <w:rsid w:val="635F0F65"/>
    <w:rsid w:val="63FB0F50"/>
    <w:rsid w:val="64FF33BE"/>
    <w:rsid w:val="65DA4D9F"/>
    <w:rsid w:val="66BB4387"/>
    <w:rsid w:val="68C3495F"/>
    <w:rsid w:val="69831918"/>
    <w:rsid w:val="6A0E6BA7"/>
    <w:rsid w:val="6AC50C03"/>
    <w:rsid w:val="6ACD76E1"/>
    <w:rsid w:val="6AFD7B45"/>
    <w:rsid w:val="6D9701D6"/>
    <w:rsid w:val="6E6B5B3A"/>
    <w:rsid w:val="70812CC6"/>
    <w:rsid w:val="718F6C19"/>
    <w:rsid w:val="761A1EFD"/>
    <w:rsid w:val="779F72CB"/>
    <w:rsid w:val="77B81F30"/>
    <w:rsid w:val="780F2C31"/>
    <w:rsid w:val="78163585"/>
    <w:rsid w:val="7A370A17"/>
    <w:rsid w:val="7A542C21"/>
    <w:rsid w:val="7AA82531"/>
    <w:rsid w:val="7B1B5C04"/>
    <w:rsid w:val="7B964D81"/>
    <w:rsid w:val="7E596D16"/>
    <w:rsid w:val="7F530A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宋体"/>
      <w:kern w:val="2"/>
      <w:sz w:val="32"/>
      <w:szCs w:val="24"/>
      <w:lang w:val="en-US" w:eastAsia="zh-CN" w:bidi="ar-SA"/>
    </w:rPr>
  </w:style>
  <w:style w:type="paragraph" w:styleId="3">
    <w:name w:val="heading 2"/>
    <w:basedOn w:val="1"/>
    <w:next w:val="1"/>
    <w:link w:val="12"/>
    <w:autoRedefine/>
    <w:qFormat/>
    <w:uiPriority w:val="0"/>
    <w:pPr>
      <w:keepNext/>
      <w:keepLines/>
      <w:spacing w:before="260" w:after="260" w:line="416" w:lineRule="auto"/>
      <w:outlineLvl w:val="1"/>
    </w:pPr>
    <w:rPr>
      <w:rFonts w:ascii="Calibri Light" w:hAnsi="Calibri Light" w:eastAsia="宋体" w:cs="宋体"/>
      <w:b/>
      <w:bCs/>
      <w:szCs w:val="32"/>
    </w:rPr>
  </w:style>
  <w:style w:type="paragraph" w:styleId="4">
    <w:name w:val="heading 4"/>
    <w:basedOn w:val="1"/>
    <w:next w:val="1"/>
    <w:qFormat/>
    <w:uiPriority w:val="0"/>
    <w:pPr>
      <w:spacing w:beforeAutospacing="1" w:afterAutospacing="1"/>
      <w:jc w:val="left"/>
      <w:outlineLvl w:val="3"/>
    </w:pPr>
    <w:rPr>
      <w:rFonts w:hint="eastAsia" w:ascii="宋体" w:hAnsi="宋体" w:eastAsia="宋体" w:cs="Times New Roman"/>
      <w:b/>
      <w:kern w:val="0"/>
      <w:sz w:val="24"/>
    </w:rPr>
  </w:style>
  <w:style w:type="character" w:default="1" w:styleId="9">
    <w:name w:val="Default Paragraph Font"/>
    <w:qFormat/>
    <w:uiPriority w:val="1"/>
  </w:style>
  <w:style w:type="table" w:default="1" w:styleId="8">
    <w:name w:val="Normal Table"/>
    <w:autoRedefine/>
    <w:qFormat/>
    <w:uiPriority w:val="99"/>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rFonts w:ascii="Calibri" w:hAnsi="Calibri"/>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Emphasis"/>
    <w:basedOn w:val="9"/>
    <w:autoRedefine/>
    <w:qFormat/>
    <w:uiPriority w:val="0"/>
    <w:rPr>
      <w:i/>
    </w:rPr>
  </w:style>
  <w:style w:type="paragraph" w:styleId="11">
    <w:name w:val="List Paragraph"/>
    <w:basedOn w:val="1"/>
    <w:autoRedefine/>
    <w:qFormat/>
    <w:uiPriority w:val="99"/>
    <w:pPr>
      <w:ind w:firstLine="420" w:firstLineChars="200"/>
    </w:pPr>
  </w:style>
  <w:style w:type="character" w:customStyle="1" w:styleId="12">
    <w:name w:val="标题 2 Char"/>
    <w:basedOn w:val="9"/>
    <w:link w:val="3"/>
    <w:autoRedefine/>
    <w:qFormat/>
    <w:uiPriority w:val="0"/>
    <w:rPr>
      <w:rFonts w:ascii="Calibri Light" w:hAnsi="Calibri Light" w:eastAsia="宋体" w:cs="宋体"/>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2985</Words>
  <Characters>3160</Characters>
  <Paragraphs>52</Paragraphs>
  <TotalTime>2</TotalTime>
  <ScaleCrop>false</ScaleCrop>
  <LinksUpToDate>false</LinksUpToDate>
  <CharactersWithSpaces>3243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2019-06-03T07:12:00Z</dcterms:created>
  <dc:creator>Administrator</dc:creator>
  <cp:lastModifiedBy>jixiaoke</cp:lastModifiedBy>
  <cp:lastPrinted>2022-10-18T02:03:00Z</cp:lastPrinted>
  <dcterms:modified xsi:type="dcterms:W3CDTF">2024-10-29T07:17:31Z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F2E073FBFD12413BAD6DF041C4F3D1E9</vt:lpwstr>
  </property>
</Properties>
</file>