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辽宁省盘锦市兴隆台区纪委监委综合保障中心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辽宁省盘锦市兴隆台区纪委监委综合保障中心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辽宁省盘锦市兴隆台区纪委监委综合保障中心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辽宁省盘锦市兴隆台区纪委监委综合保障中心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辽宁省盘锦市兴隆台区纪委监委综合保障中心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辽宁省盘锦市兴隆台区纪委监委综合保障中心概况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（一）负责为区纪委监委履行纪检监察职能提供办案、监督、后勤及网络信息技术服务保障。</w:t>
        <w:br/>
        <w:t xml:space="preserve">    （二）开展全区反腐倡廉宣传教育，加强基层廉洁文化阵地建设。</w:t>
        <w:br/>
        <w:t xml:space="preserve">    （三）开展全区纪检监察组织干部培训工作。根据本部门主要职责，纪委监委综合保障中心部门内设6个科室，分别是综合保障办公室、办案保障办公室、营商环境监督保障办公室、派驻监督保障办公室、网络技术保障办公室、教育培训保障办公室；</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辽宁省盘锦市兴隆台区纪委监委综合保障中心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根据《关于批复2023年度部门决算的通知》文件要求，纳入纪委监委综合保障中心2023年部门决算编制范围的二级预算单位包括：</w:t>
        <w:br/>
        <w:t xml:space="preserve">    无下设二级预算单位</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582.24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582.24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582.24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增加51.53万元，增长9.71%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582.24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582.24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工资福利支出547.34万元；商品和服务支出19.52万元；对个人和家庭的补助1.80万元；资本性支出13.58万元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增加51.53万元，增长9.71%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无结转结余资金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582.24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582.24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增加51.53万元，增长9.71%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95.13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95.13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2023年度一般公共预算财政拨款支出582.24万元。按支出功能分类科目分，包括：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1.一般公共服务支出442.46万元，具体包括：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（1）一般公共服务支出（类）纪检监察事务（款）事业运行（项）442.46万元,主要是人员经费等支出，完成年初预算的96.08%，决算数与年初预算数存在差异的主要原因是节约开支。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2.社会保障和就业支出61.77万元，具体包括：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（1）社会保障和就业支出（类）行政事业单位养老支出（款）事业单位离退休（项）0.48万元,主要是退休人员取暖费等支出，完成年初预算的100%，决算数与年初预算数存在差异的主要原因是无人员变化。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61.29万元,主要是机关事业单位基本养老保险缴费等支出，完成年初预算的90.05%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（3）社会保障和就业支出（类）行政事业单位养老支出（款）其他行政事业单位养老支出（项）0.00万元,主要是无等支出，完成年初预算的0%，决算数与年初预算数存在差异的主要原因是无此项支出。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3.卫生健康支出30.78万元，具体包括：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（1）卫生健康支出（类）行政事业单位医疗（款）事业单位医疗（项）23.59万元,主要是事业单位医疗等支出，完成年初预算的70.77%，决算数与年初预算数存在差异的主要原因是人员减少。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（2）卫生健康支出（类）行政事业单位医疗（款）公务员医疗补助（项）6.68万元,主要是公务员医疗补助等支出，完成年初预算的100%，决算数与年初预算数存在差异的主要原因是无变化。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（3）卫生健康支出（类）行政事业单位医疗（款）其他行政事业单位医疗支出（项）0.51万元,主要是其他行政事业单位医疗等支出，完成年初预算的100%，决算数与年初预算数存在差异的主要原因是无变化。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4.住房保障支出47.23万元，具体包括：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（1）住房保障支出（类）住房改革支出（款）住房公积金（项）47.23万元,主要是住房公积金等支出，完成年初预算的95.03%，决算数与年初预算数存在差异的主要原因是人员减少。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1.47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49.00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1.47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1.47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49.00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比上年减少1.42万元，降低49.13%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1.47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582.24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549.14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33.10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无此项支出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，其他用车主要是执法执勤用车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根据预算绩效管理要求，盘锦市兴隆台区纪委监委综合保障中心组织开展部门（单位）整体绩效自评工作，涉及资金582.24万元，其中财政拨款资金582.24万元，自评得分100分。</w:t>
        <w:br/>
        <w:t xml:space="preserve">详见附件《部门（单位）整体绩效自评表》。</w:t>
        <w:br/>
        <w:t xml:space="preserve">2023年度，盘锦市兴隆台区纪委监委综合保障中心未开展部门重点评价工作。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582.24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442.46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61.76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30.78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47.23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582.24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582.24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582.24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582.24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582.24</w:t>
            </w:r>
          </w:p>
        </w:tc>
        <w:tc>
          <w:tcPr>
            <w:tcW w:w="1160" w:type="dxa"/>
            <w:tcBorders/>
            <w:vAlign w:val="center"/>
          </w:tcPr>
          <w:p>
            <w:pPr>
              <w:jc w:val="right"/>
            </w:pPr>
            <w:r>
              <w:rPr>
                <w:rFonts w:ascii="宋体" w:eastAsia="宋体" w:hAnsi="宋体" w:cs="宋体"/>
                <w:b/>
                <w:i w:val="0"/>
                <w:color w:val="000000"/>
                <w:sz w:val="14"/>
              </w:rPr>
              <w:t xml:space="preserve">582.24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442.46</w:t>
            </w:r>
          </w:p>
        </w:tc>
        <w:tc>
          <w:tcPr>
            <w:tcW w:w="1160" w:type="dxa"/>
            <w:tcBorders/>
            <w:vAlign w:val="center"/>
          </w:tcPr>
          <w:p>
            <w:pPr>
              <w:jc w:val="right"/>
            </w:pPr>
            <w:r>
              <w:rPr>
                <w:rFonts w:ascii="宋体" w:eastAsia="宋体" w:hAnsi="宋体" w:cs="宋体"/>
                <w:b w:val="0"/>
                <w:i w:val="0"/>
                <w:color w:val="000000"/>
                <w:sz w:val="14"/>
              </w:rPr>
              <w:t xml:space="preserve">442.46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442.46</w:t>
            </w:r>
          </w:p>
        </w:tc>
        <w:tc>
          <w:tcPr>
            <w:tcW w:w="1160" w:type="dxa"/>
            <w:tcBorders/>
            <w:vAlign w:val="center"/>
          </w:tcPr>
          <w:p>
            <w:pPr>
              <w:jc w:val="right"/>
            </w:pPr>
            <w:r>
              <w:rPr>
                <w:rFonts w:ascii="宋体" w:eastAsia="宋体" w:hAnsi="宋体" w:cs="宋体"/>
                <w:b w:val="0"/>
                <w:i w:val="0"/>
                <w:color w:val="000000"/>
                <w:sz w:val="14"/>
              </w:rPr>
              <w:t xml:space="preserve">442.46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442.46</w:t>
            </w:r>
          </w:p>
        </w:tc>
        <w:tc>
          <w:tcPr>
            <w:tcW w:w="1160" w:type="dxa"/>
            <w:tcBorders/>
            <w:vAlign w:val="center"/>
          </w:tcPr>
          <w:p>
            <w:pPr>
              <w:jc w:val="right"/>
            </w:pPr>
            <w:r>
              <w:rPr>
                <w:rFonts w:ascii="宋体" w:eastAsia="宋体" w:hAnsi="宋体" w:cs="宋体"/>
                <w:b w:val="0"/>
                <w:i w:val="0"/>
                <w:color w:val="000000"/>
                <w:sz w:val="14"/>
              </w:rPr>
              <w:t xml:space="preserve">442.46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61.77</w:t>
            </w:r>
          </w:p>
        </w:tc>
        <w:tc>
          <w:tcPr>
            <w:tcW w:w="1160" w:type="dxa"/>
            <w:tcBorders/>
            <w:vAlign w:val="center"/>
          </w:tcPr>
          <w:p>
            <w:pPr>
              <w:jc w:val="right"/>
            </w:pPr>
            <w:r>
              <w:rPr>
                <w:rFonts w:ascii="宋体" w:eastAsia="宋体" w:hAnsi="宋体" w:cs="宋体"/>
                <w:b w:val="0"/>
                <w:i w:val="0"/>
                <w:color w:val="000000"/>
                <w:sz w:val="14"/>
              </w:rPr>
              <w:t xml:space="preserve">61.77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61.77</w:t>
            </w:r>
          </w:p>
        </w:tc>
        <w:tc>
          <w:tcPr>
            <w:tcW w:w="1160" w:type="dxa"/>
            <w:tcBorders/>
            <w:vAlign w:val="center"/>
          </w:tcPr>
          <w:p>
            <w:pPr>
              <w:jc w:val="right"/>
            </w:pPr>
            <w:r>
              <w:rPr>
                <w:rFonts w:ascii="宋体" w:eastAsia="宋体" w:hAnsi="宋体" w:cs="宋体"/>
                <w:b w:val="0"/>
                <w:i w:val="0"/>
                <w:color w:val="000000"/>
                <w:sz w:val="14"/>
              </w:rPr>
              <w:t xml:space="preserve">61.77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61.29</w:t>
            </w:r>
          </w:p>
        </w:tc>
        <w:tc>
          <w:tcPr>
            <w:tcW w:w="1160" w:type="dxa"/>
            <w:tcBorders/>
            <w:vAlign w:val="center"/>
          </w:tcPr>
          <w:p>
            <w:pPr>
              <w:jc w:val="right"/>
            </w:pPr>
            <w:r>
              <w:rPr>
                <w:rFonts w:ascii="宋体" w:eastAsia="宋体" w:hAnsi="宋体" w:cs="宋体"/>
                <w:b w:val="0"/>
                <w:i w:val="0"/>
                <w:color w:val="000000"/>
                <w:sz w:val="14"/>
              </w:rPr>
              <w:t xml:space="preserve">61.29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jc w:val="right"/>
            </w:pPr>
            <w:r>
              <w:rPr>
                <w:rFonts w:ascii="宋体" w:eastAsia="宋体" w:hAnsi="宋体" w:cs="宋体"/>
                <w:b w:val="0"/>
                <w:i w:val="0"/>
                <w:color w:val="000000"/>
                <w:sz w:val="14"/>
              </w:rPr>
              <w:t xml:space="preserve">30.78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23.59</w:t>
            </w:r>
          </w:p>
        </w:tc>
        <w:tc>
          <w:tcPr>
            <w:tcW w:w="1160" w:type="dxa"/>
            <w:tcBorders/>
            <w:vAlign w:val="center"/>
          </w:tcPr>
          <w:p>
            <w:pPr>
              <w:jc w:val="right"/>
            </w:pPr>
            <w:r>
              <w:rPr>
                <w:rFonts w:ascii="宋体" w:eastAsia="宋体" w:hAnsi="宋体" w:cs="宋体"/>
                <w:b w:val="0"/>
                <w:i w:val="0"/>
                <w:color w:val="000000"/>
                <w:sz w:val="14"/>
              </w:rPr>
              <w:t xml:space="preserve">23.59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6.68</w:t>
            </w:r>
          </w:p>
        </w:tc>
        <w:tc>
          <w:tcPr>
            <w:tcW w:w="1160" w:type="dxa"/>
            <w:tcBorders/>
            <w:vAlign w:val="center"/>
          </w:tcPr>
          <w:p>
            <w:pPr>
              <w:jc w:val="right"/>
            </w:pPr>
            <w:r>
              <w:rPr>
                <w:rFonts w:ascii="宋体" w:eastAsia="宋体" w:hAnsi="宋体" w:cs="宋体"/>
                <w:b w:val="0"/>
                <w:i w:val="0"/>
                <w:color w:val="000000"/>
                <w:sz w:val="14"/>
              </w:rPr>
              <w:t xml:space="preserve">6.68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jc w:val="right"/>
            </w:pPr>
            <w:r>
              <w:rPr>
                <w:rFonts w:ascii="宋体" w:eastAsia="宋体" w:hAnsi="宋体" w:cs="宋体"/>
                <w:b w:val="0"/>
                <w:i w:val="0"/>
                <w:color w:val="000000"/>
                <w:sz w:val="14"/>
              </w:rPr>
              <w:t xml:space="preserve">0.51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47.23</w:t>
            </w:r>
          </w:p>
        </w:tc>
        <w:tc>
          <w:tcPr>
            <w:tcW w:w="1160" w:type="dxa"/>
            <w:tcBorders/>
            <w:vAlign w:val="center"/>
          </w:tcPr>
          <w:p>
            <w:pPr>
              <w:jc w:val="right"/>
            </w:pPr>
            <w:r>
              <w:rPr>
                <w:rFonts w:ascii="宋体" w:eastAsia="宋体" w:hAnsi="宋体" w:cs="宋体"/>
                <w:b w:val="0"/>
                <w:i w:val="0"/>
                <w:color w:val="000000"/>
                <w:sz w:val="14"/>
              </w:rPr>
              <w:t xml:space="preserve">47.23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47.23</w:t>
            </w:r>
          </w:p>
        </w:tc>
        <w:tc>
          <w:tcPr>
            <w:tcW w:w="1160" w:type="dxa"/>
            <w:tcBorders/>
            <w:vAlign w:val="center"/>
          </w:tcPr>
          <w:p>
            <w:pPr>
              <w:jc w:val="right"/>
            </w:pPr>
            <w:r>
              <w:rPr>
                <w:rFonts w:ascii="宋体" w:eastAsia="宋体" w:hAnsi="宋体" w:cs="宋体"/>
                <w:b w:val="0"/>
                <w:i w:val="0"/>
                <w:color w:val="000000"/>
                <w:sz w:val="14"/>
              </w:rPr>
              <w:t xml:space="preserve">47.23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47.23</w:t>
            </w:r>
          </w:p>
        </w:tc>
        <w:tc>
          <w:tcPr>
            <w:tcW w:w="1160" w:type="dxa"/>
            <w:tcBorders/>
            <w:vAlign w:val="center"/>
          </w:tcPr>
          <w:p>
            <w:pPr>
              <w:jc w:val="right"/>
            </w:pPr>
            <w:r>
              <w:rPr>
                <w:rFonts w:ascii="宋体" w:eastAsia="宋体" w:hAnsi="宋体" w:cs="宋体"/>
                <w:b w:val="0"/>
                <w:i w:val="0"/>
                <w:color w:val="000000"/>
                <w:sz w:val="14"/>
              </w:rPr>
              <w:t xml:space="preserve">47.23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582.24</w:t>
            </w:r>
          </w:p>
        </w:tc>
        <w:tc>
          <w:tcPr>
            <w:tcW w:w="1120" w:type="dxa"/>
            <w:tcBorders/>
            <w:vAlign w:val="center"/>
          </w:tcPr>
          <w:p>
            <w:pPr>
              <w:jc w:val="right"/>
            </w:pPr>
            <w:r>
              <w:rPr>
                <w:rFonts w:ascii="宋体" w:eastAsia="宋体" w:hAnsi="宋体" w:cs="宋体"/>
                <w:b/>
                <w:i w:val="0"/>
                <w:color w:val="000000"/>
                <w:sz w:val="16"/>
              </w:rPr>
              <w:t xml:space="preserve">582.24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442.46</w:t>
            </w:r>
          </w:p>
        </w:tc>
        <w:tc>
          <w:tcPr>
            <w:tcW w:w="1120" w:type="dxa"/>
            <w:tcBorders/>
            <w:vAlign w:val="center"/>
          </w:tcPr>
          <w:p>
            <w:pPr>
              <w:jc w:val="right"/>
            </w:pPr>
            <w:r>
              <w:rPr>
                <w:rFonts w:ascii="宋体" w:eastAsia="宋体" w:hAnsi="宋体" w:cs="宋体"/>
                <w:b w:val="0"/>
                <w:i w:val="0"/>
                <w:color w:val="000000"/>
                <w:sz w:val="16"/>
              </w:rPr>
              <w:t xml:space="preserve">442.46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442.46</w:t>
            </w:r>
          </w:p>
        </w:tc>
        <w:tc>
          <w:tcPr>
            <w:tcW w:w="1120" w:type="dxa"/>
            <w:tcBorders/>
            <w:vAlign w:val="center"/>
          </w:tcPr>
          <w:p>
            <w:pPr>
              <w:jc w:val="right"/>
            </w:pPr>
            <w:r>
              <w:rPr>
                <w:rFonts w:ascii="宋体" w:eastAsia="宋体" w:hAnsi="宋体" w:cs="宋体"/>
                <w:b w:val="0"/>
                <w:i w:val="0"/>
                <w:color w:val="000000"/>
                <w:sz w:val="16"/>
              </w:rPr>
              <w:t xml:space="preserve">442.46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442.46</w:t>
            </w:r>
          </w:p>
        </w:tc>
        <w:tc>
          <w:tcPr>
            <w:tcW w:w="1120" w:type="dxa"/>
            <w:tcBorders/>
            <w:vAlign w:val="center"/>
          </w:tcPr>
          <w:p>
            <w:pPr>
              <w:jc w:val="right"/>
            </w:pPr>
            <w:r>
              <w:rPr>
                <w:rFonts w:ascii="宋体" w:eastAsia="宋体" w:hAnsi="宋体" w:cs="宋体"/>
                <w:b w:val="0"/>
                <w:i w:val="0"/>
                <w:color w:val="000000"/>
                <w:sz w:val="16"/>
              </w:rPr>
              <w:t xml:space="preserve">442.46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61.77</w:t>
            </w:r>
          </w:p>
        </w:tc>
        <w:tc>
          <w:tcPr>
            <w:tcW w:w="1120" w:type="dxa"/>
            <w:tcBorders/>
            <w:vAlign w:val="center"/>
          </w:tcPr>
          <w:p>
            <w:pPr>
              <w:jc w:val="right"/>
            </w:pPr>
            <w:r>
              <w:rPr>
                <w:rFonts w:ascii="宋体" w:eastAsia="宋体" w:hAnsi="宋体" w:cs="宋体"/>
                <w:b w:val="0"/>
                <w:i w:val="0"/>
                <w:color w:val="000000"/>
                <w:sz w:val="16"/>
              </w:rPr>
              <w:t xml:space="preserve">61.77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61.77</w:t>
            </w:r>
          </w:p>
        </w:tc>
        <w:tc>
          <w:tcPr>
            <w:tcW w:w="1120" w:type="dxa"/>
            <w:tcBorders/>
            <w:vAlign w:val="center"/>
          </w:tcPr>
          <w:p>
            <w:pPr>
              <w:jc w:val="right"/>
            </w:pPr>
            <w:r>
              <w:rPr>
                <w:rFonts w:ascii="宋体" w:eastAsia="宋体" w:hAnsi="宋体" w:cs="宋体"/>
                <w:b w:val="0"/>
                <w:i w:val="0"/>
                <w:color w:val="000000"/>
                <w:sz w:val="16"/>
              </w:rPr>
              <w:t xml:space="preserve">61.77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61.29</w:t>
            </w:r>
          </w:p>
        </w:tc>
        <w:tc>
          <w:tcPr>
            <w:tcW w:w="1120" w:type="dxa"/>
            <w:tcBorders/>
            <w:vAlign w:val="center"/>
          </w:tcPr>
          <w:p>
            <w:pPr>
              <w:jc w:val="right"/>
            </w:pPr>
            <w:r>
              <w:rPr>
                <w:rFonts w:ascii="宋体" w:eastAsia="宋体" w:hAnsi="宋体" w:cs="宋体"/>
                <w:b w:val="0"/>
                <w:i w:val="0"/>
                <w:color w:val="000000"/>
                <w:sz w:val="16"/>
              </w:rPr>
              <w:t xml:space="preserve">61.29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jc w:val="right"/>
            </w:pPr>
            <w:r>
              <w:rPr>
                <w:rFonts w:ascii="宋体" w:eastAsia="宋体" w:hAnsi="宋体" w:cs="宋体"/>
                <w:b w:val="0"/>
                <w:i w:val="0"/>
                <w:color w:val="000000"/>
                <w:sz w:val="16"/>
              </w:rPr>
              <w:t xml:space="preserve">30.78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23.59</w:t>
            </w:r>
          </w:p>
        </w:tc>
        <w:tc>
          <w:tcPr>
            <w:tcW w:w="1120" w:type="dxa"/>
            <w:tcBorders/>
            <w:vAlign w:val="center"/>
          </w:tcPr>
          <w:p>
            <w:pPr>
              <w:jc w:val="right"/>
            </w:pPr>
            <w:r>
              <w:rPr>
                <w:rFonts w:ascii="宋体" w:eastAsia="宋体" w:hAnsi="宋体" w:cs="宋体"/>
                <w:b w:val="0"/>
                <w:i w:val="0"/>
                <w:color w:val="000000"/>
                <w:sz w:val="16"/>
              </w:rPr>
              <w:t xml:space="preserve">23.59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6.68</w:t>
            </w:r>
          </w:p>
        </w:tc>
        <w:tc>
          <w:tcPr>
            <w:tcW w:w="1120" w:type="dxa"/>
            <w:tcBorders/>
            <w:vAlign w:val="center"/>
          </w:tcPr>
          <w:p>
            <w:pPr>
              <w:jc w:val="right"/>
            </w:pPr>
            <w:r>
              <w:rPr>
                <w:rFonts w:ascii="宋体" w:eastAsia="宋体" w:hAnsi="宋体" w:cs="宋体"/>
                <w:b w:val="0"/>
                <w:i w:val="0"/>
                <w:color w:val="000000"/>
                <w:sz w:val="16"/>
              </w:rPr>
              <w:t xml:space="preserve">6.68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jc w:val="right"/>
            </w:pPr>
            <w:r>
              <w:rPr>
                <w:rFonts w:ascii="宋体" w:eastAsia="宋体" w:hAnsi="宋体" w:cs="宋体"/>
                <w:b w:val="0"/>
                <w:i w:val="0"/>
                <w:color w:val="000000"/>
                <w:sz w:val="16"/>
              </w:rPr>
              <w:t xml:space="preserve">0.51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47.23</w:t>
            </w:r>
          </w:p>
        </w:tc>
        <w:tc>
          <w:tcPr>
            <w:tcW w:w="1120" w:type="dxa"/>
            <w:tcBorders/>
            <w:vAlign w:val="center"/>
          </w:tcPr>
          <w:p>
            <w:pPr>
              <w:jc w:val="right"/>
            </w:pPr>
            <w:r>
              <w:rPr>
                <w:rFonts w:ascii="宋体" w:eastAsia="宋体" w:hAnsi="宋体" w:cs="宋体"/>
                <w:b w:val="0"/>
                <w:i w:val="0"/>
                <w:color w:val="000000"/>
                <w:sz w:val="16"/>
              </w:rPr>
              <w:t xml:space="preserve">47.23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47.23</w:t>
            </w:r>
          </w:p>
        </w:tc>
        <w:tc>
          <w:tcPr>
            <w:tcW w:w="1120" w:type="dxa"/>
            <w:tcBorders/>
            <w:vAlign w:val="center"/>
          </w:tcPr>
          <w:p>
            <w:pPr>
              <w:jc w:val="right"/>
            </w:pPr>
            <w:r>
              <w:rPr>
                <w:rFonts w:ascii="宋体" w:eastAsia="宋体" w:hAnsi="宋体" w:cs="宋体"/>
                <w:b w:val="0"/>
                <w:i w:val="0"/>
                <w:color w:val="000000"/>
                <w:sz w:val="16"/>
              </w:rPr>
              <w:t xml:space="preserve">47.23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47.23</w:t>
            </w:r>
          </w:p>
        </w:tc>
        <w:tc>
          <w:tcPr>
            <w:tcW w:w="1120" w:type="dxa"/>
            <w:tcBorders/>
            <w:vAlign w:val="center"/>
          </w:tcPr>
          <w:p>
            <w:pPr>
              <w:jc w:val="right"/>
            </w:pPr>
            <w:r>
              <w:rPr>
                <w:rFonts w:ascii="宋体" w:eastAsia="宋体" w:hAnsi="宋体" w:cs="宋体"/>
                <w:b w:val="0"/>
                <w:i w:val="0"/>
                <w:color w:val="000000"/>
                <w:sz w:val="16"/>
              </w:rPr>
              <w:t xml:space="preserve">47.23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442.46</w:t>
            </w:r>
          </w:p>
        </w:tc>
        <w:tc>
          <w:tcPr>
            <w:tcW w:w="1100" w:type="dxa"/>
            <w:tcBorders/>
            <w:vAlign w:val="center"/>
          </w:tcPr>
          <w:p>
            <w:pPr>
              <w:jc w:val="right"/>
            </w:pPr>
            <w:r>
              <w:rPr>
                <w:rFonts w:ascii="宋体" w:eastAsia="宋体" w:hAnsi="宋体" w:cs="宋体"/>
                <w:b w:val="0"/>
                <w:i w:val="0"/>
                <w:color w:val="000000"/>
                <w:sz w:val="14"/>
              </w:rPr>
              <w:t xml:space="preserve">442.46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61.76</w:t>
            </w:r>
          </w:p>
        </w:tc>
        <w:tc>
          <w:tcPr>
            <w:tcW w:w="1100" w:type="dxa"/>
            <w:tcBorders/>
            <w:vAlign w:val="center"/>
          </w:tcPr>
          <w:p>
            <w:pPr>
              <w:jc w:val="right"/>
            </w:pPr>
            <w:r>
              <w:rPr>
                <w:rFonts w:ascii="宋体" w:eastAsia="宋体" w:hAnsi="宋体" w:cs="宋体"/>
                <w:b w:val="0"/>
                <w:i w:val="0"/>
                <w:color w:val="000000"/>
                <w:sz w:val="14"/>
              </w:rPr>
              <w:t xml:space="preserve">61.76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30.78</w:t>
            </w:r>
          </w:p>
        </w:tc>
        <w:tc>
          <w:tcPr>
            <w:tcW w:w="1100" w:type="dxa"/>
            <w:tcBorders/>
            <w:vAlign w:val="center"/>
          </w:tcPr>
          <w:p>
            <w:pPr>
              <w:jc w:val="right"/>
            </w:pPr>
            <w:r>
              <w:rPr>
                <w:rFonts w:ascii="宋体" w:eastAsia="宋体" w:hAnsi="宋体" w:cs="宋体"/>
                <w:b w:val="0"/>
                <w:i w:val="0"/>
                <w:color w:val="000000"/>
                <w:sz w:val="14"/>
              </w:rPr>
              <w:t xml:space="preserve">30.78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47.23</w:t>
            </w:r>
          </w:p>
        </w:tc>
        <w:tc>
          <w:tcPr>
            <w:tcW w:w="1100" w:type="dxa"/>
            <w:tcBorders/>
            <w:vAlign w:val="center"/>
          </w:tcPr>
          <w:p>
            <w:pPr>
              <w:jc w:val="right"/>
            </w:pPr>
            <w:r>
              <w:rPr>
                <w:rFonts w:ascii="宋体" w:eastAsia="宋体" w:hAnsi="宋体" w:cs="宋体"/>
                <w:b w:val="0"/>
                <w:i w:val="0"/>
                <w:color w:val="000000"/>
                <w:sz w:val="14"/>
              </w:rPr>
              <w:t xml:space="preserve">47.23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1100" w:type="dxa"/>
            <w:tcBorders/>
            <w:vAlign w:val="center"/>
          </w:tcPr>
          <w:p>
            <w:pPr>
              <w:jc w:val="right"/>
            </w:pPr>
            <w:r>
              <w:rPr>
                <w:rFonts w:ascii="宋体" w:eastAsia="宋体" w:hAnsi="宋体" w:cs="宋体"/>
                <w:b w:val="0"/>
                <w:i w:val="0"/>
                <w:color w:val="000000"/>
                <w:sz w:val="14"/>
              </w:rPr>
              <w:t xml:space="preserve">582.24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582.24</w:t>
            </w:r>
          </w:p>
        </w:tc>
        <w:tc>
          <w:tcPr>
            <w:tcW w:w="1980" w:type="dxa"/>
            <w:tcBorders/>
            <w:vAlign w:val="center"/>
          </w:tcPr>
          <w:p>
            <w:pPr>
              <w:jc w:val="right"/>
            </w:pPr>
            <w:r>
              <w:rPr>
                <w:rFonts w:ascii="宋体" w:eastAsia="宋体" w:hAnsi="宋体" w:cs="宋体"/>
                <w:b/>
                <w:i w:val="0"/>
                <w:color w:val="000000"/>
                <w:sz w:val="20"/>
              </w:rPr>
              <w:t xml:space="preserve">582.24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442.46</w:t>
            </w:r>
          </w:p>
        </w:tc>
        <w:tc>
          <w:tcPr>
            <w:tcW w:w="1980" w:type="dxa"/>
            <w:tcBorders/>
            <w:vAlign w:val="center"/>
          </w:tcPr>
          <w:p>
            <w:pPr>
              <w:jc w:val="right"/>
            </w:pPr>
            <w:r>
              <w:rPr>
                <w:rFonts w:ascii="宋体" w:eastAsia="宋体" w:hAnsi="宋体" w:cs="宋体"/>
                <w:b w:val="0"/>
                <w:i w:val="0"/>
                <w:color w:val="000000"/>
                <w:sz w:val="20"/>
              </w:rPr>
              <w:t xml:space="preserve">442.46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442.46</w:t>
            </w:r>
          </w:p>
        </w:tc>
        <w:tc>
          <w:tcPr>
            <w:tcW w:w="1980" w:type="dxa"/>
            <w:tcBorders/>
            <w:vAlign w:val="center"/>
          </w:tcPr>
          <w:p>
            <w:pPr>
              <w:jc w:val="right"/>
            </w:pPr>
            <w:r>
              <w:rPr>
                <w:rFonts w:ascii="宋体" w:eastAsia="宋体" w:hAnsi="宋体" w:cs="宋体"/>
                <w:b w:val="0"/>
                <w:i w:val="0"/>
                <w:color w:val="000000"/>
                <w:sz w:val="20"/>
              </w:rPr>
              <w:t xml:space="preserve">442.46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442.46</w:t>
            </w:r>
          </w:p>
        </w:tc>
        <w:tc>
          <w:tcPr>
            <w:tcW w:w="1980" w:type="dxa"/>
            <w:tcBorders/>
            <w:vAlign w:val="center"/>
          </w:tcPr>
          <w:p>
            <w:pPr>
              <w:jc w:val="right"/>
            </w:pPr>
            <w:r>
              <w:rPr>
                <w:rFonts w:ascii="宋体" w:eastAsia="宋体" w:hAnsi="宋体" w:cs="宋体"/>
                <w:b w:val="0"/>
                <w:i w:val="0"/>
                <w:color w:val="000000"/>
                <w:sz w:val="20"/>
              </w:rPr>
              <w:t xml:space="preserve">442.46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61.77</w:t>
            </w:r>
          </w:p>
        </w:tc>
        <w:tc>
          <w:tcPr>
            <w:tcW w:w="1980" w:type="dxa"/>
            <w:tcBorders/>
            <w:vAlign w:val="center"/>
          </w:tcPr>
          <w:p>
            <w:pPr>
              <w:jc w:val="right"/>
            </w:pPr>
            <w:r>
              <w:rPr>
                <w:rFonts w:ascii="宋体" w:eastAsia="宋体" w:hAnsi="宋体" w:cs="宋体"/>
                <w:b w:val="0"/>
                <w:i w:val="0"/>
                <w:color w:val="000000"/>
                <w:sz w:val="20"/>
              </w:rPr>
              <w:t xml:space="preserve">61.77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61.77</w:t>
            </w:r>
          </w:p>
        </w:tc>
        <w:tc>
          <w:tcPr>
            <w:tcW w:w="1980" w:type="dxa"/>
            <w:tcBorders/>
            <w:vAlign w:val="center"/>
          </w:tcPr>
          <w:p>
            <w:pPr>
              <w:jc w:val="right"/>
            </w:pPr>
            <w:r>
              <w:rPr>
                <w:rFonts w:ascii="宋体" w:eastAsia="宋体" w:hAnsi="宋体" w:cs="宋体"/>
                <w:b w:val="0"/>
                <w:i w:val="0"/>
                <w:color w:val="000000"/>
                <w:sz w:val="20"/>
              </w:rPr>
              <w:t xml:space="preserve">61.77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61.29</w:t>
            </w:r>
          </w:p>
        </w:tc>
        <w:tc>
          <w:tcPr>
            <w:tcW w:w="1980" w:type="dxa"/>
            <w:tcBorders/>
            <w:vAlign w:val="center"/>
          </w:tcPr>
          <w:p>
            <w:pPr>
              <w:jc w:val="right"/>
            </w:pPr>
            <w:r>
              <w:rPr>
                <w:rFonts w:ascii="宋体" w:eastAsia="宋体" w:hAnsi="宋体" w:cs="宋体"/>
                <w:b w:val="0"/>
                <w:i w:val="0"/>
                <w:color w:val="000000"/>
                <w:sz w:val="20"/>
              </w:rPr>
              <w:t xml:space="preserve">61.29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80" w:type="dxa"/>
            <w:tcBorders/>
            <w:vAlign w:val="center"/>
          </w:tcPr>
          <w:p>
            <w:pPr>
              <w:jc w:val="right"/>
            </w:pPr>
            <w:r>
              <w:rPr>
                <w:rFonts w:ascii="宋体" w:eastAsia="宋体" w:hAnsi="宋体" w:cs="宋体"/>
                <w:b w:val="0"/>
                <w:i w:val="0"/>
                <w:color w:val="000000"/>
                <w:sz w:val="20"/>
              </w:rPr>
              <w:t xml:space="preserve">30.78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23.59</w:t>
            </w:r>
          </w:p>
        </w:tc>
        <w:tc>
          <w:tcPr>
            <w:tcW w:w="1980" w:type="dxa"/>
            <w:tcBorders/>
            <w:vAlign w:val="center"/>
          </w:tcPr>
          <w:p>
            <w:pPr>
              <w:jc w:val="right"/>
            </w:pPr>
            <w:r>
              <w:rPr>
                <w:rFonts w:ascii="宋体" w:eastAsia="宋体" w:hAnsi="宋体" w:cs="宋体"/>
                <w:b w:val="0"/>
                <w:i w:val="0"/>
                <w:color w:val="000000"/>
                <w:sz w:val="20"/>
              </w:rPr>
              <w:t xml:space="preserve">23.59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6.68</w:t>
            </w:r>
          </w:p>
        </w:tc>
        <w:tc>
          <w:tcPr>
            <w:tcW w:w="1980" w:type="dxa"/>
            <w:tcBorders/>
            <w:vAlign w:val="center"/>
          </w:tcPr>
          <w:p>
            <w:pPr>
              <w:jc w:val="right"/>
            </w:pPr>
            <w:r>
              <w:rPr>
                <w:rFonts w:ascii="宋体" w:eastAsia="宋体" w:hAnsi="宋体" w:cs="宋体"/>
                <w:b w:val="0"/>
                <w:i w:val="0"/>
                <w:color w:val="000000"/>
                <w:sz w:val="20"/>
              </w:rPr>
              <w:t xml:space="preserve">6.68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80" w:type="dxa"/>
            <w:tcBorders/>
            <w:vAlign w:val="center"/>
          </w:tcPr>
          <w:p>
            <w:pPr>
              <w:jc w:val="right"/>
            </w:pPr>
            <w:r>
              <w:rPr>
                <w:rFonts w:ascii="宋体" w:eastAsia="宋体" w:hAnsi="宋体" w:cs="宋体"/>
                <w:b w:val="0"/>
                <w:i w:val="0"/>
                <w:color w:val="000000"/>
                <w:sz w:val="20"/>
              </w:rPr>
              <w:t xml:space="preserve">0.51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47.23</w:t>
            </w:r>
          </w:p>
        </w:tc>
        <w:tc>
          <w:tcPr>
            <w:tcW w:w="1980" w:type="dxa"/>
            <w:tcBorders/>
            <w:vAlign w:val="center"/>
          </w:tcPr>
          <w:p>
            <w:pPr>
              <w:jc w:val="right"/>
            </w:pPr>
            <w:r>
              <w:rPr>
                <w:rFonts w:ascii="宋体" w:eastAsia="宋体" w:hAnsi="宋体" w:cs="宋体"/>
                <w:b w:val="0"/>
                <w:i w:val="0"/>
                <w:color w:val="000000"/>
                <w:sz w:val="20"/>
              </w:rPr>
              <w:t xml:space="preserve">47.23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47.23</w:t>
            </w:r>
          </w:p>
        </w:tc>
        <w:tc>
          <w:tcPr>
            <w:tcW w:w="1980" w:type="dxa"/>
            <w:tcBorders/>
            <w:vAlign w:val="center"/>
          </w:tcPr>
          <w:p>
            <w:pPr>
              <w:jc w:val="right"/>
            </w:pPr>
            <w:r>
              <w:rPr>
                <w:rFonts w:ascii="宋体" w:eastAsia="宋体" w:hAnsi="宋体" w:cs="宋体"/>
                <w:b w:val="0"/>
                <w:i w:val="0"/>
                <w:color w:val="000000"/>
                <w:sz w:val="20"/>
              </w:rPr>
              <w:t xml:space="preserve">47.23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47.23</w:t>
            </w:r>
          </w:p>
        </w:tc>
        <w:tc>
          <w:tcPr>
            <w:tcW w:w="1980" w:type="dxa"/>
            <w:tcBorders/>
            <w:vAlign w:val="center"/>
          </w:tcPr>
          <w:p>
            <w:pPr>
              <w:jc w:val="right"/>
            </w:pPr>
            <w:r>
              <w:rPr>
                <w:rFonts w:ascii="宋体" w:eastAsia="宋体" w:hAnsi="宋体" w:cs="宋体"/>
                <w:b w:val="0"/>
                <w:i w:val="0"/>
                <w:color w:val="000000"/>
                <w:sz w:val="20"/>
              </w:rPr>
              <w:t xml:space="preserve">47.23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547.34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195.65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4.95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12.58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71.69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13.58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126.18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13.58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61.29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23.59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6.68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47.23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1.80</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9.99</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0.61</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1.47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1.32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0.66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549.14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33.10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1.47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1.47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1.47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单位：辽宁省盘锦市兴隆台区纪委监委综合保障中心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322022盘锦市兴隆台区纪委监委综合保障中心-211103000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612.06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612.06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469.420022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469.42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78.3955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78.39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31.4833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31.48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保障本单位正常运转及工作展开</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目标完成情况良好，保障了本单位各项工作开展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软件维护覆盖率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被保障人员满意度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上级主管部门满意度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定期组织业务培训，提高工作业务能力，为以后工作打下坚实基础，确保一体化工作更加细致。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进一步规范财政资金管理，提升部门预算执行率和效率。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进一步规范财政资金管理，提升部门预算执行率和效率。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进一步规范财政资金管理，提升部门预算执行率和效率。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685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