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辽宁省盘锦市双台子区建设工程质量安全行政执法队</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辽宁省盘锦市双台子区建设工程质量安全行政执法队</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辽宁省盘锦市双台子区建设工程质量安全行政执法队</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辽宁省盘锦市双台子区建设工程质量安全行政执法队</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辽宁省盘锦市双台子区建设工程质量安全行政执法队</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辽宁省盘锦市双台子区建设工程质量安全行政执法队概况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（一）受双台子区住房和城乡建设局委托，负责对本行政区域内办理质量监督手续的新建、扩建、改建房屋建筑和市政工程进行质量安全监管工作。</w:t>
        <w:br/>
        <w:t xml:space="preserve">    （二）为全区建设工程质量安全工作提供技术支持和服务保障；指导及参与建设工程新技术、新工艺、新材料、新设备的推广应用和成果鉴定；负责组织安全生产技术的开发与推广应用；组织开展文明施工和建设安全生产教育、培训工作；负责本地区工程质量检查员的管理工作；加强质量宣传教育，掌握工程质量动态，及时、准确地向上级部门报告工程质量状况。</w:t>
        <w:br/>
        <w:t xml:space="preserve">    （三）负责辖区内建设工程事故调查处理及上报工作；参与重大工程质量安全事故的调查处理。</w:t>
        <w:br/>
        <w:t xml:space="preserve">    （四）承担区住房和城乡建设局交办的其他工作。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辽宁省盘锦市双台子区建设工程质量安全行政执法队</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辽宁省盘锦市双台子区建设工程质量安全行政执法队</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14.21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增加14.21万元，增长0.00%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14.21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主要包括公务车辆购置等业务支出。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增加14.21万元，增长0.00%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增加14.21万元，增长0.00%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2023年度一般公共预算财政拨款支出14.21万元。按支出功能分类科目分，包括：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1.城乡社区支出14.21万元，具体包括：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（1）城乡社区支出（类）城乡社区管理事务（款）工程建设管理（项）14.21万元,主要是公务车辆购置等支出，完成年初预算的100%，决算数与年初预算数存在差异的主要原因是新成立单位。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14.21</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比上年增加14.21万元，增长0.00%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主要用于公务车辆购置等，</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主要用于公务车运行等，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14.21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14.21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14.21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14.21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14.21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14.21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14.21</w:t>
            </w:r>
          </w:p>
        </w:tc>
        <w:tc>
          <w:tcPr>
            <w:tcW w:w="1160" w:type="dxa"/>
            <w:tcBorders/>
            <w:vAlign w:val="center"/>
          </w:tcPr>
          <w:p>
            <w:pPr>
              <w:jc w:val="right"/>
            </w:pPr>
            <w:r>
              <w:rPr>
                <w:rFonts w:ascii="宋体" w:eastAsia="宋体" w:hAnsi="宋体" w:cs="宋体"/>
                <w:b/>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工程建设管理</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jc w:val="right"/>
            </w:pPr>
            <w:r>
              <w:rPr>
                <w:rFonts w:ascii="宋体" w:eastAsia="宋体" w:hAnsi="宋体" w:cs="宋体"/>
                <w:b w:val="0"/>
                <w:i w:val="0"/>
                <w:color w:val="000000"/>
                <w:sz w:val="14"/>
              </w:rPr>
              <w:t xml:space="preserve">14.21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14.21</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工程建设管理</w:t>
            </w: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jc w:val="right"/>
            </w:pPr>
            <w:r>
              <w:rPr>
                <w:rFonts w:ascii="宋体" w:eastAsia="宋体" w:hAnsi="宋体" w:cs="宋体"/>
                <w:b w:val="0"/>
                <w:i w:val="0"/>
                <w:color w:val="000000"/>
                <w:sz w:val="14"/>
              </w:rPr>
              <w:t xml:space="preserve">14.21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14.21</w:t>
            </w:r>
          </w:p>
        </w:tc>
        <w:tc>
          <w:tcPr>
            <w:tcW w:w="1980" w:type="dxa"/>
            <w:tcBorders/>
            <w:vAlign w:val="center"/>
          </w:tcPr>
          <w:p>
            <w:pPr>
              <w:jc w:val="right"/>
            </w:pPr>
            <w:r>
              <w:rPr>
                <w:rFonts w:ascii="宋体" w:eastAsia="宋体" w:hAnsi="宋体" w:cs="宋体"/>
                <w:b/>
                <w:i w:val="0"/>
                <w:color w:val="000000"/>
                <w:sz w:val="20"/>
              </w:rPr>
              <w:t xml:space="preserve">0.00</w:t>
            </w:r>
          </w:p>
        </w:tc>
        <w:tc>
          <w:tcPr>
            <w:tcW w:w="1952" w:type="dxa"/>
            <w:tcBorders/>
            <w:vAlign w:val="center"/>
          </w:tcPr>
          <w:p>
            <w:pPr>
              <w:jc w:val="right"/>
            </w:pPr>
            <w:r>
              <w:rPr>
                <w:rFonts w:ascii="宋体" w:eastAsia="宋体" w:hAnsi="宋体" w:cs="宋体"/>
                <w:b/>
                <w:i w:val="0"/>
                <w:color w:val="000000"/>
                <w:sz w:val="20"/>
              </w:rPr>
              <w:t xml:space="preserve">14.21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工程建设管理</w:t>
            </w:r>
          </w:p>
        </w:tc>
        <w:tc>
          <w:tcPr>
            <w:tcW w:w="1980" w:type="dxa"/>
            <w:tcBorders/>
            <w:vAlign w:val="center"/>
          </w:tcPr>
          <w:p>
            <w:pPr>
              <w:jc w:val="right"/>
            </w:pPr>
            <w:r>
              <w:rPr>
                <w:rFonts w:ascii="宋体" w:eastAsia="宋体" w:hAnsi="宋体" w:cs="宋体"/>
                <w:b w:val="0"/>
                <w:i w:val="0"/>
                <w:color w:val="000000"/>
                <w:sz w:val="20"/>
              </w:rPr>
              <w:t xml:space="preserve">14.21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14.21</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14.21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14.21</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1.00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13.21</w:t>
            </w: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单位：辽宁省盘锦市双台子区建设工程质量安全行政执法队</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5"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25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