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辽宁省盘锦市双台子区住房和城乡建设局(本级)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辽宁省盘锦市双台子区住房和城乡建设局(本级)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辽宁省盘锦市双台子区住房和城乡建设局(本级)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辽宁省盘锦市双台子区住房和城乡建设局(本级)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辽宁省盘锦市双台子区住房和城乡建设局(本级)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辽宁省盘锦市双台子区住房和城乡建设局(本级)概况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（一）贯彻落实国家、省、市关于住房和城乡建设、交通、人防、气象工作的方针、政策、法规及中长期规划。组织实施相关的具体政策、技术标准、规程、办法。</w:t>
        <w:br/>
        <w:t xml:space="preserve">    （二）负责承担保障全区城镇低收入家庭住房的责任。拟订全区住房保障相关政策并指导实施；拟订廉租住房规划及政策，参与廉租住房资金安排有关工作；牵头编制住房保障规划和计划并组织实施。</w:t>
        <w:br/>
        <w:t xml:space="preserve">    （三）负责承担规范房地产市场秩序、监督管理房地产市场的责任。拟订房地产市场监督管理政策并组织实施；贯彻房地产业的行业发展规划和产业政策；制定房地产开发、物业管理、供热管理的规章制度并组织实施。</w:t>
        <w:br/>
        <w:t xml:space="preserve">    （四）负责监督管理建筑市场，规范市场各方主体行为。负责城市建设管理领域执法监察工作；承担推进建筑节能、城镇减排的责任；负责建设工程招投标工作；负责建筑市场主体、中介服务机构的资质管理工作。</w:t>
        <w:br/>
        <w:t xml:space="preserve">    （五）负责承担建筑工程质量安全监管的责任，拟订建筑工程质量、建筑安全生产和竣工验收备案的政策、规章制度并监督执行，组织或参与建筑工程重大质量、安全事故的调查处理。</w:t>
        <w:br/>
        <w:t xml:space="preserve">    （六）负责承担辖区内天然气、液化气的管理职责；负责辖区内城市新建燃气企业及燃气设施管理。</w:t>
        <w:br/>
        <w:t xml:space="preserve">    （七）负责全区人防工作。负责人民防空行政执法工作；指导监督人防工程规划、建设过程中的安全生产工作，负责指导监督、检查人防工程平战转换、开发利用及经营管理中的安全生产和消防安全工作。</w:t>
        <w:br/>
        <w:t xml:space="preserve">    （八）负责区内宜居乡村建设的日常管理、综合协调及重大基础设施建设。协调推进城乡一体化各项工作。</w:t>
        <w:br/>
        <w:t xml:space="preserve">    （九）负责对辖区绿地规划、建设、养护管理工作进行监督检查、技术指导、业务培训。</w:t>
        <w:br/>
        <w:t xml:space="preserve">    （十）承担交通运输工作。负责推进全区综合交通运输体系建设；推进全区交通运输行业体制改革；优化全区交通运输主要通道和重要枢纽节点布局；提出交通运输固定资产投资规模和方向、财政性资金安排意见和有关财政、土地、价格等政策建议；负责全区公路、水路运输管理及市场监管；负责全区公路、水路建设市场监管责任；协调地方铁路建设；负责全区运输船舶、水上设施、船用产品及渔船检验和监督管理相关工作；负责城市公共交通、轨道交通相关管理工作；负责全区公路路网运行监测工作；负责全区公路、水路行业安全生产和应急管理工作；负责智慧交通建设工作；承担区春运领导小组日常工作。</w:t>
        <w:br/>
        <w:t xml:space="preserve">    （十一）负责市政公用设施建设、安全和应急管理；负责辖区内城市道路次干道、巷道的监督管理工作。负责城区排涝工作。</w:t>
        <w:br/>
        <w:t xml:space="preserve">    （十二）为维护城市环境卫生提供管理保障，负责辖区内环境卫生的监督管理工作；负责“绿叶杯”竞赛的组织、协调、实施。</w:t>
        <w:br/>
        <w:t xml:space="preserve">    （十三）负责全区建设、交通、人防行业的对外经济技术合作和外事工作；负责机关财务、人才队伍建设与管理等工作。</w:t>
        <w:br/>
        <w:t xml:space="preserve">    （十四）完成区委、区政府交办的其他任务。</w:t>
        <w:br/>
        <w:t xml:space="preserve">    （十五）职能转变。</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辽宁省盘锦市双台子区住房和城乡建设局(本级)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辽宁省盘锦市双台子区住房和城乡建设局本级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11585.19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11585.19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11585.19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增加4498.86万元，增长63.49%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11585.19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86.46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0.75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工资福利支出76.74万元；商品和服务支出7.56万元；对个人和家庭的补助2.16万元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11498.73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99.25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主要包括老旧小区改造等业务支出。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增加4498.86万元，增长63.49%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11585.19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86.46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11498.73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增加4498.86万元，增长63.49%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902.20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109.99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953.86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2023年度一般公共预算财政拨款支出11585.19万元。按支出功能分类科目分，包括：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1.社会保障和就业支出8.64万元，具体包括：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（1）社会保障和就业支出（类）行政事业单位养老支出（款）行政单位离退休（项）0.04万元,主要是离退休职工退休费等支出，完成年初预算的1.72%，决算数与年初预算数存在差异的主要原因是无。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8.39万元,主要是单位职工养老保险缴费等支出，完成年初预算的112.92%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0.21万元,主要是单位职工工伤保险缴费等支出，完成年初预算的210%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（1）卫生健康支出（类）行政事业单位医疗（款）行政单位医疗（项）3.12万元,主要是单位职工养老保险缴费等支出，完成年初预算的95.71%，决算数与年初预算数存在差异的主要原因是人员变化。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（2）卫生健康支出（类）行政事业单位医疗（款）其他行政事业单位医疗支出（项）0.09万元,主要是位职工养老大额保险缴费等支出，完成年初预算的300%，决算数与年初预算数存在差异的主要原因是人员变化。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3.节能环保支出1557.78万元，具体包括：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（1）节能环保支出（类）污染防治（款）大气（项）1557.78万元,主要是建筑节能等支出，完成年初预算的100%，决算数与年初预算数存在差异的主要原因是项目增加。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4.城乡社区支出4586.76万元，具体包括：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（1）城乡社区支出（类）城乡社区管理事务（款）行政运行（项）68.49万元,主要是工资和福利支出等支出，完成年初预算的113.92%，决算数与年初预算数存在差异的主要原因是人员变化。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（2）城乡社区支出（类）城乡社区管理事务（款）一般行政管理事务（项）1407.99万元,主要是企业退休职工取暖补贴等支出，完成年初预算的100%，决算数与年初预算数存在差异的主要原因是项目增加。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（3）城乡社区支出（类）城乡社区管理事务（款）工程建设管理（项）24.79万元,主要是工程监理、设计等支出，完成年初预算的100%，决算数与年初预算数存在差异的主要原因是项目增加。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（4）城乡社区支出（类）城乡社区管理事务（款）其他城乡社区管理事务支出（项）599.41万元,主要是契税补贴等支出，完成年初预算的49.72%，决算数与年初预算数存在差异的主要原因是项目变化。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（5）城乡社区支出（类）城乡社区公共设施（款）其他城乡社区公共设施支出（项）1588.21万元,主要是市政维修养护等支出，完成年初预算的100%，决算数与年初预算数存在差异的主要原因是项目增加。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（6）城乡社区支出（类）城乡社区环境卫生（款）城乡社区环境卫生（项）155.10万元,主要是城区绿化养护等支出，完成年初预算的100%，决算数与年初预算数存在差异的主要原因是项目增加。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（7）城乡社区支出（类）其他城乡社区支出（款）其他城乡社区支出（项）742.77万元,主要是小柳河、北部湾小微湿地提升等支出，完成年初预算的100%，决算数与年初预算数存在差异的主要原因是项目增加。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5.住房保障支出4094.82万元，具体包括：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（1）住房保障支出（类）保障性安居工程支出（款）保障性住房租金补贴（项）0.29万元,主要是城镇特殊困难家庭住房补贴等支出，完成年初预算的100%，决算数与年初预算数存在差异的主要原因是项目增加。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（2）住房保障支出（类）保障性安居工程支出（款）老旧小区改造（项）2903.40万元,主要是老旧小区改造等支出，完成年初预算的100%，决算数与年初预算数存在差异的主要原因是项目增加。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（3）住房保障支出（类）保障性安居工程支出（款）其他保障性安居工程支出（项）1185.00万元,主要是老旧小区改造等支出，完成年初预算的100%，决算数与年初预算数存在差异的主要原因是项目增加。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（4）住房保障支出（类）住房改革支出（款）住房公积金（项）6.13万元,主要是单位职工公积金缴费等支出，完成年初预算的114.79%，决算数与年初预算数存在差异的主要原因是人员变化。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6.灾害防治及应急管理支出1334.00万元，具体包括：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消防救援事务（款）其他消防救援事务支出（项）100.00万元,主要是辽河新城消防站建设工程款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（2）灾害防治及应急管理支出（类）自然灾害防治（款）其他自然灾害防治支出（项）20.00万元,主要是全国自然风险普查经费等支出，完成年初预算的100%，决算数与年初预算数存在差异的主要原因是项目增加。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自然灾害救灾及恢复重建支出（款）自然灾害灾后重建补助（项）1214.00万元,主要是小柳河、曙光路雨污管线塌陷抢修等支出，完成年初预算的100%，决算数与年初预算数存在差异的主要原因是项目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86.46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78.90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7.56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比上年减少4.61万元，降低37.88%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压减经费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3个（其中：一般公共预算项目3个，政府性基金预算项目0个，国有资本经营预算项目0个），涉及资金3814.09万元（其中：一般公共预算资金3814.09万元，政府性基金预算资金0万元，国有资本经营预算资金0万元），自评覆盖率（开展绩效自评的项目数、年初批复绩效目标的项目数*100%）达到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11,585.19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1,557.78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4,586.75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4,094.82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1,334.00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11,585.19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11,585.19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11,585.19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11,585.19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11,585.19</w:t>
            </w:r>
          </w:p>
        </w:tc>
        <w:tc>
          <w:tcPr>
            <w:tcW w:w="1160" w:type="dxa"/>
            <w:tcBorders/>
            <w:vAlign w:val="center"/>
          </w:tcPr>
          <w:p>
            <w:pPr>
              <w:jc w:val="right"/>
            </w:pPr>
            <w:r>
              <w:rPr>
                <w:rFonts w:ascii="宋体" w:eastAsia="宋体" w:hAnsi="宋体" w:cs="宋体"/>
                <w:b/>
                <w:i w:val="0"/>
                <w:color w:val="000000"/>
                <w:sz w:val="14"/>
              </w:rPr>
              <w:t xml:space="preserve">11,585.19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8.64</w:t>
            </w:r>
          </w:p>
        </w:tc>
        <w:tc>
          <w:tcPr>
            <w:tcW w:w="1160" w:type="dxa"/>
            <w:tcBorders/>
            <w:vAlign w:val="center"/>
          </w:tcPr>
          <w:p>
            <w:pPr>
              <w:jc w:val="right"/>
            </w:pPr>
            <w:r>
              <w:rPr>
                <w:rFonts w:ascii="宋体" w:eastAsia="宋体" w:hAnsi="宋体" w:cs="宋体"/>
                <w:b w:val="0"/>
                <w:i w:val="0"/>
                <w:color w:val="000000"/>
                <w:sz w:val="14"/>
              </w:rPr>
              <w:t xml:space="preserve">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8.39</w:t>
            </w:r>
          </w:p>
        </w:tc>
        <w:tc>
          <w:tcPr>
            <w:tcW w:w="1160" w:type="dxa"/>
            <w:tcBorders/>
            <w:vAlign w:val="center"/>
          </w:tcPr>
          <w:p>
            <w:pPr>
              <w:jc w:val="right"/>
            </w:pPr>
            <w:r>
              <w:rPr>
                <w:rFonts w:ascii="宋体" w:eastAsia="宋体" w:hAnsi="宋体" w:cs="宋体"/>
                <w:b w:val="0"/>
                <w:i w:val="0"/>
                <w:color w:val="000000"/>
                <w:sz w:val="14"/>
              </w:rPr>
              <w:t xml:space="preserve">8.39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jc w:val="right"/>
            </w:pPr>
            <w:r>
              <w:rPr>
                <w:rFonts w:ascii="宋体" w:eastAsia="宋体" w:hAnsi="宋体" w:cs="宋体"/>
                <w:b w:val="0"/>
                <w:i w:val="0"/>
                <w:color w:val="000000"/>
                <w:sz w:val="14"/>
              </w:rPr>
              <w:t xml:space="preserve">1,557.78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4,586.76</w:t>
            </w:r>
          </w:p>
        </w:tc>
        <w:tc>
          <w:tcPr>
            <w:tcW w:w="1160" w:type="dxa"/>
            <w:tcBorders/>
            <w:vAlign w:val="center"/>
          </w:tcPr>
          <w:p>
            <w:pPr>
              <w:jc w:val="right"/>
            </w:pPr>
            <w:r>
              <w:rPr>
                <w:rFonts w:ascii="宋体" w:eastAsia="宋体" w:hAnsi="宋体" w:cs="宋体"/>
                <w:b w:val="0"/>
                <w:i w:val="0"/>
                <w:color w:val="000000"/>
                <w:sz w:val="14"/>
              </w:rPr>
              <w:t xml:space="preserve">4,586.76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2,100.68</w:t>
            </w:r>
          </w:p>
        </w:tc>
        <w:tc>
          <w:tcPr>
            <w:tcW w:w="1160" w:type="dxa"/>
            <w:tcBorders/>
            <w:vAlign w:val="center"/>
          </w:tcPr>
          <w:p>
            <w:pPr>
              <w:jc w:val="right"/>
            </w:pPr>
            <w:r>
              <w:rPr>
                <w:rFonts w:ascii="宋体" w:eastAsia="宋体" w:hAnsi="宋体" w:cs="宋体"/>
                <w:b w:val="0"/>
                <w:i w:val="0"/>
                <w:color w:val="000000"/>
                <w:sz w:val="14"/>
              </w:rPr>
              <w:t xml:space="preserve">2,100.68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68.49</w:t>
            </w:r>
          </w:p>
        </w:tc>
        <w:tc>
          <w:tcPr>
            <w:tcW w:w="1160" w:type="dxa"/>
            <w:tcBorders/>
            <w:vAlign w:val="center"/>
          </w:tcPr>
          <w:p>
            <w:pPr>
              <w:jc w:val="right"/>
            </w:pPr>
            <w:r>
              <w:rPr>
                <w:rFonts w:ascii="宋体" w:eastAsia="宋体" w:hAnsi="宋体" w:cs="宋体"/>
                <w:b w:val="0"/>
                <w:i w:val="0"/>
                <w:color w:val="000000"/>
                <w:sz w:val="14"/>
              </w:rPr>
              <w:t xml:space="preserve">68.49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1,407.99</w:t>
            </w:r>
          </w:p>
        </w:tc>
        <w:tc>
          <w:tcPr>
            <w:tcW w:w="1160" w:type="dxa"/>
            <w:tcBorders/>
            <w:vAlign w:val="center"/>
          </w:tcPr>
          <w:p>
            <w:pPr>
              <w:jc w:val="right"/>
            </w:pPr>
            <w:r>
              <w:rPr>
                <w:rFonts w:ascii="宋体" w:eastAsia="宋体" w:hAnsi="宋体" w:cs="宋体"/>
                <w:b w:val="0"/>
                <w:i w:val="0"/>
                <w:color w:val="000000"/>
                <w:sz w:val="14"/>
              </w:rPr>
              <w:t xml:space="preserve">1,407.99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工程建设管理</w:t>
            </w:r>
          </w:p>
        </w:tc>
        <w:tc>
          <w:tcPr>
            <w:tcW w:w="1160" w:type="dxa"/>
            <w:tcBorders/>
            <w:vAlign w:val="center"/>
          </w:tcPr>
          <w:p>
            <w:pPr>
              <w:jc w:val="right"/>
            </w:pPr>
            <w:r>
              <w:rPr>
                <w:rFonts w:ascii="宋体" w:eastAsia="宋体" w:hAnsi="宋体" w:cs="宋体"/>
                <w:b w:val="0"/>
                <w:i w:val="0"/>
                <w:color w:val="000000"/>
                <w:sz w:val="14"/>
              </w:rPr>
              <w:t xml:space="preserve">24.79</w:t>
            </w:r>
          </w:p>
        </w:tc>
        <w:tc>
          <w:tcPr>
            <w:tcW w:w="1160" w:type="dxa"/>
            <w:tcBorders/>
            <w:vAlign w:val="center"/>
          </w:tcPr>
          <w:p>
            <w:pPr>
              <w:jc w:val="right"/>
            </w:pPr>
            <w:r>
              <w:rPr>
                <w:rFonts w:ascii="宋体" w:eastAsia="宋体" w:hAnsi="宋体" w:cs="宋体"/>
                <w:b w:val="0"/>
                <w:i w:val="0"/>
                <w:color w:val="000000"/>
                <w:sz w:val="14"/>
              </w:rPr>
              <w:t xml:space="preserve">24.79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599.41</w:t>
            </w:r>
          </w:p>
        </w:tc>
        <w:tc>
          <w:tcPr>
            <w:tcW w:w="1160" w:type="dxa"/>
            <w:tcBorders/>
            <w:vAlign w:val="center"/>
          </w:tcPr>
          <w:p>
            <w:pPr>
              <w:jc w:val="right"/>
            </w:pPr>
            <w:r>
              <w:rPr>
                <w:rFonts w:ascii="宋体" w:eastAsia="宋体" w:hAnsi="宋体" w:cs="宋体"/>
                <w:b w:val="0"/>
                <w:i w:val="0"/>
                <w:color w:val="000000"/>
                <w:sz w:val="14"/>
              </w:rPr>
              <w:t xml:space="preserve">599.41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1,588.21</w:t>
            </w:r>
          </w:p>
        </w:tc>
        <w:tc>
          <w:tcPr>
            <w:tcW w:w="1160" w:type="dxa"/>
            <w:tcBorders/>
            <w:vAlign w:val="center"/>
          </w:tcPr>
          <w:p>
            <w:pPr>
              <w:jc w:val="right"/>
            </w:pPr>
            <w:r>
              <w:rPr>
                <w:rFonts w:ascii="宋体" w:eastAsia="宋体" w:hAnsi="宋体" w:cs="宋体"/>
                <w:b w:val="0"/>
                <w:i w:val="0"/>
                <w:color w:val="000000"/>
                <w:sz w:val="14"/>
              </w:rPr>
              <w:t xml:space="preserve">1,588.21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1,588.21</w:t>
            </w:r>
          </w:p>
        </w:tc>
        <w:tc>
          <w:tcPr>
            <w:tcW w:w="1160" w:type="dxa"/>
            <w:tcBorders/>
            <w:vAlign w:val="center"/>
          </w:tcPr>
          <w:p>
            <w:pPr>
              <w:jc w:val="right"/>
            </w:pPr>
            <w:r>
              <w:rPr>
                <w:rFonts w:ascii="宋体" w:eastAsia="宋体" w:hAnsi="宋体" w:cs="宋体"/>
                <w:b w:val="0"/>
                <w:i w:val="0"/>
                <w:color w:val="000000"/>
                <w:sz w:val="14"/>
              </w:rPr>
              <w:t xml:space="preserve">1,588.21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155.10</w:t>
            </w:r>
          </w:p>
        </w:tc>
        <w:tc>
          <w:tcPr>
            <w:tcW w:w="1160" w:type="dxa"/>
            <w:tcBorders/>
            <w:vAlign w:val="center"/>
          </w:tcPr>
          <w:p>
            <w:pPr>
              <w:jc w:val="right"/>
            </w:pPr>
            <w:r>
              <w:rPr>
                <w:rFonts w:ascii="宋体" w:eastAsia="宋体" w:hAnsi="宋体" w:cs="宋体"/>
                <w:b w:val="0"/>
                <w:i w:val="0"/>
                <w:color w:val="000000"/>
                <w:sz w:val="14"/>
              </w:rPr>
              <w:t xml:space="preserve">155.10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155.10</w:t>
            </w:r>
          </w:p>
        </w:tc>
        <w:tc>
          <w:tcPr>
            <w:tcW w:w="1160" w:type="dxa"/>
            <w:tcBorders/>
            <w:vAlign w:val="center"/>
          </w:tcPr>
          <w:p>
            <w:pPr>
              <w:jc w:val="right"/>
            </w:pPr>
            <w:r>
              <w:rPr>
                <w:rFonts w:ascii="宋体" w:eastAsia="宋体" w:hAnsi="宋体" w:cs="宋体"/>
                <w:b w:val="0"/>
                <w:i w:val="0"/>
                <w:color w:val="000000"/>
                <w:sz w:val="14"/>
              </w:rPr>
              <w:t xml:space="preserve">155.10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742.77</w:t>
            </w:r>
          </w:p>
        </w:tc>
        <w:tc>
          <w:tcPr>
            <w:tcW w:w="1160" w:type="dxa"/>
            <w:tcBorders/>
            <w:vAlign w:val="center"/>
          </w:tcPr>
          <w:p>
            <w:pPr>
              <w:jc w:val="right"/>
            </w:pPr>
            <w:r>
              <w:rPr>
                <w:rFonts w:ascii="宋体" w:eastAsia="宋体" w:hAnsi="宋体" w:cs="宋体"/>
                <w:b w:val="0"/>
                <w:i w:val="0"/>
                <w:color w:val="000000"/>
                <w:sz w:val="14"/>
              </w:rPr>
              <w:t xml:space="preserve">742.77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742.77</w:t>
            </w:r>
          </w:p>
        </w:tc>
        <w:tc>
          <w:tcPr>
            <w:tcW w:w="1160" w:type="dxa"/>
            <w:tcBorders/>
            <w:vAlign w:val="center"/>
          </w:tcPr>
          <w:p>
            <w:pPr>
              <w:jc w:val="right"/>
            </w:pPr>
            <w:r>
              <w:rPr>
                <w:rFonts w:ascii="宋体" w:eastAsia="宋体" w:hAnsi="宋体" w:cs="宋体"/>
                <w:b w:val="0"/>
                <w:i w:val="0"/>
                <w:color w:val="000000"/>
                <w:sz w:val="14"/>
              </w:rPr>
              <w:t xml:space="preserve">742.77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4,094.82</w:t>
            </w:r>
          </w:p>
        </w:tc>
        <w:tc>
          <w:tcPr>
            <w:tcW w:w="1160" w:type="dxa"/>
            <w:tcBorders/>
            <w:vAlign w:val="center"/>
          </w:tcPr>
          <w:p>
            <w:pPr>
              <w:jc w:val="right"/>
            </w:pPr>
            <w:r>
              <w:rPr>
                <w:rFonts w:ascii="宋体" w:eastAsia="宋体" w:hAnsi="宋体" w:cs="宋体"/>
                <w:b w:val="0"/>
                <w:i w:val="0"/>
                <w:color w:val="000000"/>
                <w:sz w:val="14"/>
              </w:rPr>
              <w:t xml:space="preserve">4,094.82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4,088.69</w:t>
            </w:r>
          </w:p>
        </w:tc>
        <w:tc>
          <w:tcPr>
            <w:tcW w:w="1160" w:type="dxa"/>
            <w:tcBorders/>
            <w:vAlign w:val="center"/>
          </w:tcPr>
          <w:p>
            <w:pPr>
              <w:jc w:val="right"/>
            </w:pPr>
            <w:r>
              <w:rPr>
                <w:rFonts w:ascii="宋体" w:eastAsia="宋体" w:hAnsi="宋体" w:cs="宋体"/>
                <w:b w:val="0"/>
                <w:i w:val="0"/>
                <w:color w:val="000000"/>
                <w:sz w:val="14"/>
              </w:rPr>
              <w:t xml:space="preserve">4,088.69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保障性住房租金补贴</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老旧小区改造</w:t>
            </w:r>
          </w:p>
        </w:tc>
        <w:tc>
          <w:tcPr>
            <w:tcW w:w="1160" w:type="dxa"/>
            <w:tcBorders/>
            <w:vAlign w:val="center"/>
          </w:tcPr>
          <w:p>
            <w:pPr>
              <w:jc w:val="right"/>
            </w:pPr>
            <w:r>
              <w:rPr>
                <w:rFonts w:ascii="宋体" w:eastAsia="宋体" w:hAnsi="宋体" w:cs="宋体"/>
                <w:b w:val="0"/>
                <w:i w:val="0"/>
                <w:color w:val="000000"/>
                <w:sz w:val="14"/>
              </w:rPr>
              <w:t xml:space="preserve">2,903.40</w:t>
            </w:r>
          </w:p>
        </w:tc>
        <w:tc>
          <w:tcPr>
            <w:tcW w:w="1160" w:type="dxa"/>
            <w:tcBorders/>
            <w:vAlign w:val="center"/>
          </w:tcPr>
          <w:p>
            <w:pPr>
              <w:jc w:val="right"/>
            </w:pPr>
            <w:r>
              <w:rPr>
                <w:rFonts w:ascii="宋体" w:eastAsia="宋体" w:hAnsi="宋体" w:cs="宋体"/>
                <w:b w:val="0"/>
                <w:i w:val="0"/>
                <w:color w:val="000000"/>
                <w:sz w:val="14"/>
              </w:rPr>
              <w:t xml:space="preserve">2,903.40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其他保障性安居工程支出</w:t>
            </w:r>
          </w:p>
        </w:tc>
        <w:tc>
          <w:tcPr>
            <w:tcW w:w="1160" w:type="dxa"/>
            <w:tcBorders/>
            <w:vAlign w:val="center"/>
          </w:tcPr>
          <w:p>
            <w:pPr>
              <w:jc w:val="right"/>
            </w:pPr>
            <w:r>
              <w:rPr>
                <w:rFonts w:ascii="宋体" w:eastAsia="宋体" w:hAnsi="宋体" w:cs="宋体"/>
                <w:b w:val="0"/>
                <w:i w:val="0"/>
                <w:color w:val="000000"/>
                <w:sz w:val="14"/>
              </w:rPr>
              <w:t xml:space="preserve">1,185.00</w:t>
            </w:r>
          </w:p>
        </w:tc>
        <w:tc>
          <w:tcPr>
            <w:tcW w:w="1160" w:type="dxa"/>
            <w:tcBorders/>
            <w:vAlign w:val="center"/>
          </w:tcPr>
          <w:p>
            <w:pPr>
              <w:jc w:val="right"/>
            </w:pPr>
            <w:r>
              <w:rPr>
                <w:rFonts w:ascii="宋体" w:eastAsia="宋体" w:hAnsi="宋体" w:cs="宋体"/>
                <w:b w:val="0"/>
                <w:i w:val="0"/>
                <w:color w:val="000000"/>
                <w:sz w:val="14"/>
              </w:rPr>
              <w:t xml:space="preserve">1,185.00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jc w:val="right"/>
            </w:pPr>
            <w:r>
              <w:rPr>
                <w:rFonts w:ascii="宋体" w:eastAsia="宋体" w:hAnsi="宋体" w:cs="宋体"/>
                <w:b w:val="0"/>
                <w:i w:val="0"/>
                <w:color w:val="000000"/>
                <w:sz w:val="14"/>
              </w:rPr>
              <w:t xml:space="preserve">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1,334.00</w:t>
            </w:r>
          </w:p>
        </w:tc>
        <w:tc>
          <w:tcPr>
            <w:tcW w:w="1160" w:type="dxa"/>
            <w:tcBorders/>
            <w:vAlign w:val="center"/>
          </w:tcPr>
          <w:p>
            <w:pPr>
              <w:jc w:val="right"/>
            </w:pPr>
            <w:r>
              <w:rPr>
                <w:rFonts w:ascii="宋体" w:eastAsia="宋体" w:hAnsi="宋体" w:cs="宋体"/>
                <w:b w:val="0"/>
                <w:i w:val="0"/>
                <w:color w:val="000000"/>
                <w:sz w:val="14"/>
              </w:rPr>
              <w:t xml:space="preserve">1,334.00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消防救援事务</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其他消防救援事务支出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jc w:val="right"/>
            </w:pPr>
            <w:r>
              <w:rPr>
                <w:rFonts w:ascii="宋体" w:eastAsia="宋体" w:hAnsi="宋体" w:cs="宋体"/>
                <w:b w:val="0"/>
                <w:i w:val="0"/>
                <w:color w:val="000000"/>
                <w:sz w:val="14"/>
              </w:rPr>
              <w:t xml:space="preserve">1,214.00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11,585.19</w:t>
            </w:r>
          </w:p>
        </w:tc>
        <w:tc>
          <w:tcPr>
            <w:tcW w:w="1120" w:type="dxa"/>
            <w:tcBorders/>
            <w:vAlign w:val="center"/>
          </w:tcPr>
          <w:p>
            <w:pPr>
              <w:jc w:val="right"/>
            </w:pPr>
            <w:r>
              <w:rPr>
                <w:rFonts w:ascii="宋体" w:eastAsia="宋体" w:hAnsi="宋体" w:cs="宋体"/>
                <w:b/>
                <w:i w:val="0"/>
                <w:color w:val="000000"/>
                <w:sz w:val="16"/>
              </w:rPr>
              <w:t xml:space="preserve">86.46</w:t>
            </w:r>
          </w:p>
        </w:tc>
        <w:tc>
          <w:tcPr>
            <w:tcW w:w="1120" w:type="dxa"/>
            <w:tcBorders/>
            <w:vAlign w:val="center"/>
          </w:tcPr>
          <w:p>
            <w:pPr>
              <w:jc w:val="right"/>
            </w:pPr>
            <w:r>
              <w:rPr>
                <w:rFonts w:ascii="宋体" w:eastAsia="宋体" w:hAnsi="宋体" w:cs="宋体"/>
                <w:b/>
                <w:i w:val="0"/>
                <w:color w:val="000000"/>
                <w:sz w:val="16"/>
              </w:rPr>
              <w:t xml:space="preserve">11,498.73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8.64</w:t>
            </w:r>
          </w:p>
        </w:tc>
        <w:tc>
          <w:tcPr>
            <w:tcW w:w="1120" w:type="dxa"/>
            <w:tcBorders/>
            <w:vAlign w:val="center"/>
          </w:tcPr>
          <w:p>
            <w:pPr>
              <w:jc w:val="right"/>
            </w:pPr>
            <w:r>
              <w:rPr>
                <w:rFonts w:ascii="宋体" w:eastAsia="宋体" w:hAnsi="宋体" w:cs="宋体"/>
                <w:b w:val="0"/>
                <w:i w:val="0"/>
                <w:color w:val="000000"/>
                <w:sz w:val="16"/>
              </w:rPr>
              <w:t xml:space="preserve">8.64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8.39</w:t>
            </w:r>
          </w:p>
        </w:tc>
        <w:tc>
          <w:tcPr>
            <w:tcW w:w="1120" w:type="dxa"/>
            <w:tcBorders/>
            <w:vAlign w:val="center"/>
          </w:tcPr>
          <w:p>
            <w:pPr>
              <w:jc w:val="right"/>
            </w:pPr>
            <w:r>
              <w:rPr>
                <w:rFonts w:ascii="宋体" w:eastAsia="宋体" w:hAnsi="宋体" w:cs="宋体"/>
                <w:b w:val="0"/>
                <w:i w:val="0"/>
                <w:color w:val="000000"/>
                <w:sz w:val="16"/>
              </w:rPr>
              <w:t xml:space="preserve">8.39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1,557.78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4,586.76</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4,518.27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2,100.68</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2,032.19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1,407.99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1,407.99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工程建设管理</w:t>
            </w:r>
          </w:p>
        </w:tc>
        <w:tc>
          <w:tcPr>
            <w:tcW w:w="1120" w:type="dxa"/>
            <w:tcBorders/>
            <w:vAlign w:val="center"/>
          </w:tcPr>
          <w:p>
            <w:pPr>
              <w:jc w:val="right"/>
            </w:pPr>
            <w:r>
              <w:rPr>
                <w:rFonts w:ascii="宋体" w:eastAsia="宋体" w:hAnsi="宋体" w:cs="宋体"/>
                <w:b w:val="0"/>
                <w:i w:val="0"/>
                <w:color w:val="000000"/>
                <w:sz w:val="16"/>
              </w:rPr>
              <w:t xml:space="preserve">24.79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599.41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599.41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1,588.21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1,588.21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1,588.21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1,588.21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155.10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155.10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155.10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742.77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742.77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742.77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4,094.82</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4,088.69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4,088.69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4,088.69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保障性住房租金补贴</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老旧小区改造</w:t>
            </w:r>
          </w:p>
        </w:tc>
        <w:tc>
          <w:tcPr>
            <w:tcW w:w="1120" w:type="dxa"/>
            <w:tcBorders/>
            <w:vAlign w:val="center"/>
          </w:tcPr>
          <w:p>
            <w:pPr>
              <w:jc w:val="right"/>
            </w:pPr>
            <w:r>
              <w:rPr>
                <w:rFonts w:ascii="宋体" w:eastAsia="宋体" w:hAnsi="宋体" w:cs="宋体"/>
                <w:b w:val="0"/>
                <w:i w:val="0"/>
                <w:color w:val="000000"/>
                <w:sz w:val="16"/>
              </w:rPr>
              <w:t xml:space="preserve">2,903.40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2,903.40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其他保障性安居工程支出</w:t>
            </w:r>
          </w:p>
        </w:tc>
        <w:tc>
          <w:tcPr>
            <w:tcW w:w="1120" w:type="dxa"/>
            <w:tcBorders/>
            <w:vAlign w:val="center"/>
          </w:tcPr>
          <w:p>
            <w:pPr>
              <w:jc w:val="right"/>
            </w:pPr>
            <w:r>
              <w:rPr>
                <w:rFonts w:ascii="宋体" w:eastAsia="宋体" w:hAnsi="宋体" w:cs="宋体"/>
                <w:b w:val="0"/>
                <w:i w:val="0"/>
                <w:color w:val="000000"/>
                <w:sz w:val="16"/>
              </w:rPr>
              <w:t xml:space="preserve">1,185.00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1,185.00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jc w:val="right"/>
            </w:pPr>
            <w:r>
              <w:rPr>
                <w:rFonts w:ascii="宋体" w:eastAsia="宋体" w:hAnsi="宋体" w:cs="宋体"/>
                <w:b w:val="0"/>
                <w:i w:val="0"/>
                <w:color w:val="000000"/>
                <w:sz w:val="16"/>
              </w:rPr>
              <w:t xml:space="preserve">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1,334.00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消防救援事务</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其他消防救援事务支出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8.63</w:t>
            </w:r>
          </w:p>
        </w:tc>
        <w:tc>
          <w:tcPr>
            <w:tcW w:w="1100" w:type="dxa"/>
            <w:tcBorders/>
            <w:vAlign w:val="center"/>
          </w:tcPr>
          <w:p>
            <w:pPr>
              <w:jc w:val="right"/>
            </w:pPr>
            <w:r>
              <w:rPr>
                <w:rFonts w:ascii="宋体" w:eastAsia="宋体" w:hAnsi="宋体" w:cs="宋体"/>
                <w:b w:val="0"/>
                <w:i w:val="0"/>
                <w:color w:val="000000"/>
                <w:sz w:val="14"/>
              </w:rPr>
              <w:t xml:space="preserve">8.63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3.20</w:t>
            </w:r>
          </w:p>
        </w:tc>
        <w:tc>
          <w:tcPr>
            <w:tcW w:w="1100" w:type="dxa"/>
            <w:tcBorders/>
            <w:vAlign w:val="center"/>
          </w:tcPr>
          <w:p>
            <w:pPr>
              <w:jc w:val="right"/>
            </w:pPr>
            <w:r>
              <w:rPr>
                <w:rFonts w:ascii="宋体" w:eastAsia="宋体" w:hAnsi="宋体" w:cs="宋体"/>
                <w:b w:val="0"/>
                <w:i w:val="0"/>
                <w:color w:val="000000"/>
                <w:sz w:val="14"/>
              </w:rPr>
              <w:t xml:space="preserve">3.20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1,557.78</w:t>
            </w:r>
          </w:p>
        </w:tc>
        <w:tc>
          <w:tcPr>
            <w:tcW w:w="1100" w:type="dxa"/>
            <w:tcBorders/>
            <w:vAlign w:val="center"/>
          </w:tcPr>
          <w:p>
            <w:pPr>
              <w:jc w:val="right"/>
            </w:pPr>
            <w:r>
              <w:rPr>
                <w:rFonts w:ascii="宋体" w:eastAsia="宋体" w:hAnsi="宋体" w:cs="宋体"/>
                <w:b w:val="0"/>
                <w:i w:val="0"/>
                <w:color w:val="000000"/>
                <w:sz w:val="14"/>
              </w:rPr>
              <w:t xml:space="preserve">1,557.78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4,586.75</w:t>
            </w:r>
          </w:p>
        </w:tc>
        <w:tc>
          <w:tcPr>
            <w:tcW w:w="1100" w:type="dxa"/>
            <w:tcBorders/>
            <w:vAlign w:val="center"/>
          </w:tcPr>
          <w:p>
            <w:pPr>
              <w:jc w:val="right"/>
            </w:pPr>
            <w:r>
              <w:rPr>
                <w:rFonts w:ascii="宋体" w:eastAsia="宋体" w:hAnsi="宋体" w:cs="宋体"/>
                <w:b w:val="0"/>
                <w:i w:val="0"/>
                <w:color w:val="000000"/>
                <w:sz w:val="14"/>
              </w:rPr>
              <w:t xml:space="preserve">4,586.75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4,094.82</w:t>
            </w:r>
          </w:p>
        </w:tc>
        <w:tc>
          <w:tcPr>
            <w:tcW w:w="1100" w:type="dxa"/>
            <w:tcBorders/>
            <w:vAlign w:val="center"/>
          </w:tcPr>
          <w:p>
            <w:pPr>
              <w:jc w:val="right"/>
            </w:pPr>
            <w:r>
              <w:rPr>
                <w:rFonts w:ascii="宋体" w:eastAsia="宋体" w:hAnsi="宋体" w:cs="宋体"/>
                <w:b w:val="0"/>
                <w:i w:val="0"/>
                <w:color w:val="000000"/>
                <w:sz w:val="14"/>
              </w:rPr>
              <w:t xml:space="preserve">4,094.82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1,334.00</w:t>
            </w:r>
          </w:p>
        </w:tc>
        <w:tc>
          <w:tcPr>
            <w:tcW w:w="1100" w:type="dxa"/>
            <w:tcBorders/>
            <w:vAlign w:val="center"/>
          </w:tcPr>
          <w:p>
            <w:pPr>
              <w:jc w:val="right"/>
            </w:pPr>
            <w:r>
              <w:rPr>
                <w:rFonts w:ascii="宋体" w:eastAsia="宋体" w:hAnsi="宋体" w:cs="宋体"/>
                <w:b w:val="0"/>
                <w:i w:val="0"/>
                <w:color w:val="000000"/>
                <w:sz w:val="14"/>
              </w:rPr>
              <w:t xml:space="preserve">1,334.00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1100" w:type="dxa"/>
            <w:tcBorders/>
            <w:vAlign w:val="center"/>
          </w:tcPr>
          <w:p>
            <w:pPr>
              <w:jc w:val="right"/>
            </w:pPr>
            <w:r>
              <w:rPr>
                <w:rFonts w:ascii="宋体" w:eastAsia="宋体" w:hAnsi="宋体" w:cs="宋体"/>
                <w:b w:val="0"/>
                <w:i w:val="0"/>
                <w:color w:val="000000"/>
                <w:sz w:val="14"/>
              </w:rPr>
              <w:t xml:space="preserve">11,585.19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11,585.19</w:t>
            </w:r>
          </w:p>
        </w:tc>
        <w:tc>
          <w:tcPr>
            <w:tcW w:w="1980" w:type="dxa"/>
            <w:tcBorders/>
            <w:vAlign w:val="center"/>
          </w:tcPr>
          <w:p>
            <w:pPr>
              <w:jc w:val="right"/>
            </w:pPr>
            <w:r>
              <w:rPr>
                <w:rFonts w:ascii="宋体" w:eastAsia="宋体" w:hAnsi="宋体" w:cs="宋体"/>
                <w:b/>
                <w:i w:val="0"/>
                <w:color w:val="000000"/>
                <w:sz w:val="20"/>
              </w:rPr>
              <w:t xml:space="preserve">86.46</w:t>
            </w:r>
          </w:p>
        </w:tc>
        <w:tc>
          <w:tcPr>
            <w:tcW w:w="1952" w:type="dxa"/>
            <w:tcBorders/>
            <w:vAlign w:val="center"/>
          </w:tcPr>
          <w:p>
            <w:pPr>
              <w:jc w:val="right"/>
            </w:pPr>
            <w:r>
              <w:rPr>
                <w:rFonts w:ascii="宋体" w:eastAsia="宋体" w:hAnsi="宋体" w:cs="宋体"/>
                <w:b/>
                <w:i w:val="0"/>
                <w:color w:val="000000"/>
                <w:sz w:val="20"/>
              </w:rPr>
              <w:t xml:space="preserve">11,498.73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8.64</w:t>
            </w:r>
          </w:p>
        </w:tc>
        <w:tc>
          <w:tcPr>
            <w:tcW w:w="1980" w:type="dxa"/>
            <w:tcBorders/>
            <w:vAlign w:val="center"/>
          </w:tcPr>
          <w:p>
            <w:pPr>
              <w:jc w:val="right"/>
            </w:pPr>
            <w:r>
              <w:rPr>
                <w:rFonts w:ascii="宋体" w:eastAsia="宋体" w:hAnsi="宋体" w:cs="宋体"/>
                <w:b w:val="0"/>
                <w:i w:val="0"/>
                <w:color w:val="000000"/>
                <w:sz w:val="20"/>
              </w:rPr>
              <w:t xml:space="preserve">8.64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8.39</w:t>
            </w:r>
          </w:p>
        </w:tc>
        <w:tc>
          <w:tcPr>
            <w:tcW w:w="1980" w:type="dxa"/>
            <w:tcBorders/>
            <w:vAlign w:val="center"/>
          </w:tcPr>
          <w:p>
            <w:pPr>
              <w:jc w:val="right"/>
            </w:pPr>
            <w:r>
              <w:rPr>
                <w:rFonts w:ascii="宋体" w:eastAsia="宋体" w:hAnsi="宋体" w:cs="宋体"/>
                <w:b w:val="0"/>
                <w:i w:val="0"/>
                <w:color w:val="000000"/>
                <w:sz w:val="20"/>
              </w:rPr>
              <w:t xml:space="preserve">8.39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1,557.78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1,557.78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4,586.76</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4,518.27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2,100.68</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2,032.19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1,407.99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1,407.99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工程建设管理</w:t>
            </w:r>
          </w:p>
        </w:tc>
        <w:tc>
          <w:tcPr>
            <w:tcW w:w="1980" w:type="dxa"/>
            <w:tcBorders/>
            <w:vAlign w:val="center"/>
          </w:tcPr>
          <w:p>
            <w:pPr>
              <w:jc w:val="right"/>
            </w:pPr>
            <w:r>
              <w:rPr>
                <w:rFonts w:ascii="宋体" w:eastAsia="宋体" w:hAnsi="宋体" w:cs="宋体"/>
                <w:b w:val="0"/>
                <w:i w:val="0"/>
                <w:color w:val="000000"/>
                <w:sz w:val="20"/>
              </w:rPr>
              <w:t xml:space="preserve">24.79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599.41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599.41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1,588.21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1,588.21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1,588.21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1,588.21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155.10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155.10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155.10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742.77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742.77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742.77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742.77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4,094.82</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4,088.69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4,088.69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4,088.69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保障性住房租金补贴</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老旧小区改造</w:t>
            </w:r>
          </w:p>
        </w:tc>
        <w:tc>
          <w:tcPr>
            <w:tcW w:w="1980" w:type="dxa"/>
            <w:tcBorders/>
            <w:vAlign w:val="center"/>
          </w:tcPr>
          <w:p>
            <w:pPr>
              <w:jc w:val="right"/>
            </w:pPr>
            <w:r>
              <w:rPr>
                <w:rFonts w:ascii="宋体" w:eastAsia="宋体" w:hAnsi="宋体" w:cs="宋体"/>
                <w:b w:val="0"/>
                <w:i w:val="0"/>
                <w:color w:val="000000"/>
                <w:sz w:val="20"/>
              </w:rPr>
              <w:t xml:space="preserve">2,903.40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2,903.40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其他保障性安居工程支出</w:t>
            </w:r>
          </w:p>
        </w:tc>
        <w:tc>
          <w:tcPr>
            <w:tcW w:w="1980" w:type="dxa"/>
            <w:tcBorders/>
            <w:vAlign w:val="center"/>
          </w:tcPr>
          <w:p>
            <w:pPr>
              <w:jc w:val="right"/>
            </w:pPr>
            <w:r>
              <w:rPr>
                <w:rFonts w:ascii="宋体" w:eastAsia="宋体" w:hAnsi="宋体" w:cs="宋体"/>
                <w:b w:val="0"/>
                <w:i w:val="0"/>
                <w:color w:val="000000"/>
                <w:sz w:val="20"/>
              </w:rPr>
              <w:t xml:space="preserve">1,185.00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1,185.00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80" w:type="dxa"/>
            <w:tcBorders/>
            <w:vAlign w:val="center"/>
          </w:tcPr>
          <w:p>
            <w:pPr>
              <w:jc w:val="right"/>
            </w:pPr>
            <w:r>
              <w:rPr>
                <w:rFonts w:ascii="宋体" w:eastAsia="宋体" w:hAnsi="宋体" w:cs="宋体"/>
                <w:b w:val="0"/>
                <w:i w:val="0"/>
                <w:color w:val="000000"/>
                <w:sz w:val="20"/>
              </w:rPr>
              <w:t xml:space="preserve">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1,334.00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消防救援事务</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其他消防救援事务支出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1,214.00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1,214.00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1,214.00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76.74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27.64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1.84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16.23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14.94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78.90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单位：辽宁省盘锦市双台子区住房和城乡建设局(本级)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0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