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240" w:lineRule="auto"/>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盘锦市医疗保障局2021年度部门预算</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keepNext w:val="false"/>
        <w:keepLines w:val="false"/>
        <w:pageBreakBefore w:val="false"/>
        <w:widowControl w:val="false"/>
        <w:pBdr/>
        <w:spacing w:line="240" w:lineRule="auto"/>
        <w:ind/>
        <w:jc w:val="center"/>
        <w:outlineLvl w:val="9"/>
        <w:rPr>
          <w:rFonts w:hint="eastAsia"/>
          <w:b w:val="0"/>
          <w:bCs/>
          <w:sz w:val="44"/>
          <w:szCs w:val="44"/>
          <w:u w:val="single"/>
        </w:rPr>
      </w:pPr>
      <w:r>
        <w:rPr>
          <w:rFonts w:hint="eastAsia"/>
          <w:b w:val="0"/>
          <w:bCs/>
          <w:sz w:val="44"/>
          <w:szCs w:val="44"/>
          <w:u w:val="single"/>
        </w:rPr>
      </w:r>
      <w:r>
        <w:rPr>
          <w:rFonts w:hint="eastAsia"/>
          <w:b w:val="0"/>
          <w:bCs/>
          <w:sz w:val="44"/>
          <w:szCs w:val="44"/>
          <w:u w:val="single"/>
        </w:rPr>
      </w:r>
    </w:p>
    <w:p>
      <w:pPr>
        <w:pStyle w:val="672"/>
        <w:keepNext w:val="false"/>
        <w:keepLines w:val="false"/>
        <w:pageBreakBefore w:val="false"/>
        <w:widowControl w:val="false"/>
        <w:pBdr/>
        <w:spacing w:line="240" w:lineRule="auto"/>
        <w:ind/>
        <w:jc w:val="center"/>
        <w:outlineLvl w:val="9"/>
        <w:rPr>
          <w:rFonts w:hint="eastAsia" w:ascii="黑体" w:hAnsi="黑体" w:eastAsia="黑体" w:cs="黑体"/>
          <w:b w:val="0"/>
          <w:bCs/>
          <w:sz w:val="32"/>
          <w:szCs w:val="32"/>
        </w:rPr>
      </w:pPr>
      <w:r>
        <w:rPr>
          <w:rFonts w:hint="eastAsia" w:ascii="黑体" w:hAnsi="黑体" w:eastAsia="黑体" w:cs="黑体"/>
          <w:b w:val="0"/>
          <w:bCs/>
          <w:sz w:val="32"/>
          <w:szCs w:val="32"/>
        </w:rPr>
        <w:t xml:space="preserve">目    录</w:t>
      </w:r>
      <w:r>
        <w:rPr>
          <w:rFonts w:hint="eastAsia" w:ascii="黑体" w:hAnsi="黑体" w:eastAsia="黑体" w:cs="黑体"/>
          <w:b w:val="0"/>
          <w:bCs/>
          <w:sz w:val="32"/>
          <w:szCs w:val="32"/>
        </w:rPr>
      </w:r>
      <w:r>
        <w:rPr>
          <w:rFonts w:hint="eastAsia" w:ascii="黑体" w:hAnsi="黑体" w:eastAsia="黑体" w:cs="黑体"/>
          <w:b w:val="0"/>
          <w:bCs/>
          <w:sz w:val="32"/>
          <w:szCs w:val="32"/>
        </w:rPr>
      </w:r>
    </w:p>
    <w:p>
      <w:pPr>
        <w:pStyle w:val="672"/>
        <w:keepNext w:val="false"/>
        <w:keepLines w:val="false"/>
        <w:pageBreakBefore w:val="false"/>
        <w:widowControl w:val="false"/>
        <w:pBdr/>
        <w:spacing w:line="240" w:lineRule="auto"/>
        <w:ind/>
        <w:outlineLvl w:val="9"/>
        <w:rPr>
          <w:rFonts w:hint="eastAsia" w:ascii="黑体" w:hAnsi="黑体" w:eastAsia="黑体"/>
          <w:b w:val="0"/>
          <w:bCs/>
          <w:sz w:val="32"/>
          <w:szCs w:val="32"/>
        </w:rPr>
      </w:pPr>
      <w:r>
        <w:rPr>
          <w:rFonts w:hint="eastAsia" w:ascii="黑体" w:hAnsi="黑体" w:eastAsia="黑体"/>
          <w:b w:val="0"/>
          <w:bCs/>
          <w:sz w:val="32"/>
          <w:szCs w:val="32"/>
        </w:rPr>
      </w:r>
      <w:r>
        <w:rPr>
          <w:rFonts w:hint="eastAsia" w:ascii="黑体" w:hAnsi="黑体" w:eastAsia="黑体"/>
          <w:b w:val="0"/>
          <w:bCs/>
          <w:sz w:val="32"/>
          <w:szCs w:val="32"/>
        </w:rPr>
      </w:r>
    </w:p>
    <w:p>
      <w:pPr>
        <w:pStyle w:val="672"/>
        <w:keepNext w:val="false"/>
        <w:keepLines w:val="false"/>
        <w:pageBreakBefore w:val="false"/>
        <w:widowControl w:val="false"/>
        <w:pBdr/>
        <w:spacing w:line="240" w:lineRule="auto"/>
        <w:ind w:firstLine="640"/>
        <w:outlineLvl w:val="9"/>
        <w:rPr>
          <w:rFonts w:hint="eastAsia" w:ascii="黑体" w:hAnsi="黑体" w:eastAsia="黑体"/>
          <w:b w:val="0"/>
          <w:bCs/>
          <w:sz w:val="32"/>
          <w:szCs w:val="32"/>
        </w:rPr>
      </w:pPr>
      <w:r>
        <w:rPr>
          <w:rFonts w:hint="eastAsia" w:ascii="黑体" w:hAnsi="黑体" w:eastAsia="黑体"/>
          <w:b w:val="0"/>
          <w:bCs/>
          <w:sz w:val="32"/>
          <w:szCs w:val="32"/>
        </w:rPr>
        <w:t xml:space="preserve">第一部分  盘锦市</w:t>
      </w:r>
      <w:r>
        <w:rPr>
          <w:rFonts w:hint="eastAsia" w:ascii="黑体" w:hAnsi="黑体" w:eastAsia="黑体"/>
          <w:b w:val="0"/>
          <w:bCs/>
          <w:sz w:val="32"/>
          <w:szCs w:val="32"/>
          <w:lang w:val="en-US" w:eastAsia="zh-CN"/>
        </w:rPr>
        <w:t xml:space="preserve">医疗保障局</w:t>
      </w:r>
      <w:r>
        <w:rPr>
          <w:rFonts w:hint="eastAsia" w:ascii="黑体" w:hAnsi="黑体" w:eastAsia="黑体"/>
          <w:b w:val="0"/>
          <w:bCs/>
          <w:sz w:val="32"/>
          <w:szCs w:val="32"/>
        </w:rPr>
        <w:t xml:space="preserve">部门概况</w:t>
      </w:r>
      <w:r>
        <w:rPr>
          <w:rFonts w:hint="eastAsia" w:ascii="黑体" w:hAnsi="黑体" w:eastAsia="黑体"/>
          <w:b w:val="0"/>
          <w:bCs/>
          <w:sz w:val="32"/>
          <w:szCs w:val="32"/>
        </w:rPr>
      </w:r>
      <w:r>
        <w:rPr>
          <w:rFonts w:hint="eastAsia" w:ascii="黑体" w:hAnsi="黑体" w:eastAsia="黑体"/>
          <w:b w:val="0"/>
          <w:bCs/>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一、主要职责</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二、机构设置</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三、部门预算单位构成</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 w:hAnsi="仿宋" w:eastAsia="仿宋"/>
          <w:b/>
          <w:sz w:val="32"/>
          <w:szCs w:val="32"/>
        </w:rPr>
      </w:pPr>
      <w:r>
        <w:rPr>
          <w:rFonts w:hint="eastAsia" w:ascii="黑体" w:hAnsi="黑体" w:eastAsia="黑体"/>
          <w:sz w:val="32"/>
          <w:szCs w:val="32"/>
        </w:rPr>
        <w:t xml:space="preserve">第二部分  盘锦市</w:t>
      </w:r>
      <w:r>
        <w:rPr>
          <w:rFonts w:hint="eastAsia" w:ascii="黑体" w:hAnsi="黑体" w:eastAsia="黑体"/>
          <w:sz w:val="32"/>
          <w:szCs w:val="32"/>
          <w:lang w:val="en-US" w:eastAsia="zh-CN"/>
        </w:rPr>
        <w:t xml:space="preserve">医疗保障局</w:t>
      </w:r>
      <w:r>
        <w:rPr>
          <w:rFonts w:hint="eastAsia" w:ascii="黑体" w:hAnsi="黑体" w:eastAsia="黑体"/>
          <w:sz w:val="32"/>
          <w:szCs w:val="32"/>
          <w:lang w:eastAsia="zh-CN"/>
        </w:rPr>
        <w:t xml:space="preserve">2021</w:t>
      </w:r>
      <w:r>
        <w:rPr>
          <w:rFonts w:hint="eastAsia" w:ascii="黑体" w:hAnsi="黑体" w:eastAsia="黑体"/>
          <w:sz w:val="32"/>
          <w:szCs w:val="32"/>
        </w:rPr>
        <w:t xml:space="preserve">年度部门预算</w:t>
      </w:r>
      <w:r>
        <w:rPr>
          <w:rFonts w:hint="eastAsia" w:ascii="黑体" w:hAnsi="黑体" w:eastAsia="黑体"/>
          <w:sz w:val="32"/>
          <w:szCs w:val="32"/>
          <w:lang w:eastAsia="zh-CN"/>
        </w:rPr>
        <w:t xml:space="preserve">公开</w:t>
      </w:r>
      <w:r>
        <w:rPr>
          <w:rFonts w:hint="eastAsia" w:ascii="黑体" w:hAnsi="黑体" w:eastAsia="黑体"/>
          <w:sz w:val="32"/>
          <w:szCs w:val="32"/>
        </w:rPr>
        <w:t xml:space="preserve">表</w:t>
      </w:r>
      <w:r>
        <w:rPr>
          <w:rFonts w:hint="eastAsia" w:ascii="仿宋" w:hAnsi="仿宋" w:eastAsia="仿宋"/>
          <w:b/>
          <w:sz w:val="32"/>
          <w:szCs w:val="32"/>
        </w:rPr>
      </w:r>
      <w:r>
        <w:rPr>
          <w:rFonts w:hint="eastAsia" w:ascii="仿宋" w:hAnsi="仿宋" w:eastAsia="仿宋"/>
          <w:b/>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年度部门收支总体情况表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年度部门收入总体情况表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年度部门支出总体情况表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年度财政拨款收支总体情况表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年度一般公共预算支出情况表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年度一般公共预算基本支出情况表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年度一般公共预算“三公”经费支出情况表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年度政府性基金预算支出情况表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年度综合预算项目支出表</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十、</w:t>
      </w:r>
      <w:r>
        <w:rPr>
          <w:rFonts w:hint="eastAsia" w:ascii="仿宋_GB2312" w:hAnsi="仿宋_GB2312" w:eastAsia="仿宋_GB2312" w:cs="仿宋_GB2312"/>
          <w:sz w:val="32"/>
          <w:szCs w:val="32"/>
          <w:lang w:val="en-US" w:eastAsia="zh-CN"/>
        </w:rPr>
        <w:t xml:space="preserve">2021年度</w:t>
      </w:r>
      <w:r>
        <w:rPr>
          <w:rFonts w:hint="eastAsia" w:ascii="仿宋_GB2312" w:hAnsi="仿宋_GB2312" w:eastAsia="仿宋_GB2312" w:cs="仿宋_GB2312"/>
          <w:sz w:val="32"/>
          <w:szCs w:val="32"/>
          <w:lang w:eastAsia="zh-CN"/>
        </w:rPr>
        <w:t xml:space="preserve">部门（单位）整体绩效目标表（2021</w:t>
      </w:r>
      <w:r>
        <w:rPr>
          <w:rFonts w:hint="eastAsia" w:ascii="仿宋_GB2312" w:hAnsi="仿宋_GB2312" w:eastAsia="仿宋_GB2312" w:cs="仿宋_GB2312"/>
          <w:sz w:val="32"/>
          <w:szCs w:val="32"/>
        </w:rPr>
        <w:t xml:space="preserve">年度部门预算项目（政策）绩效目标情况表</w:t>
      </w:r>
      <w:r>
        <w:rPr>
          <w:rFonts w:hint="eastAsia" w:ascii="仿宋_GB2312" w:hAnsi="仿宋_GB2312" w:eastAsia="仿宋_GB2312" w:cs="仿宋_GB2312"/>
          <w:sz w:val="32"/>
          <w:szCs w:val="32"/>
          <w:lang w:eastAsia="zh-CN"/>
        </w:rPr>
        <w:t xml:space="preserve">）</w:t>
      </w: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p>
      <w:pPr>
        <w:pStyle w:val="672"/>
        <w:keepNext w:val="false"/>
        <w:keepLines w:val="false"/>
        <w:pageBreakBefore w:val="false"/>
        <w:widowControl w:val="false"/>
        <w:pBdr/>
        <w:spacing w:line="240" w:lineRule="auto"/>
        <w:ind w:firstLine="640"/>
        <w:outlineLvl w:val="9"/>
        <w:rPr>
          <w:rFonts w:hint="eastAsia" w:ascii="黑体" w:hAnsi="黑体" w:eastAsia="黑体"/>
          <w:sz w:val="32"/>
          <w:szCs w:val="32"/>
        </w:rPr>
      </w:pPr>
      <w:r>
        <w:rPr>
          <w:rFonts w:hint="eastAsia" w:ascii="黑体" w:hAnsi="黑体" w:eastAsia="黑体"/>
          <w:sz w:val="32"/>
          <w:szCs w:val="32"/>
        </w:rPr>
        <w:t xml:space="preserve">第三部分  盘锦市</w:t>
      </w:r>
      <w:r>
        <w:rPr>
          <w:rFonts w:hint="eastAsia" w:ascii="黑体" w:hAnsi="黑体" w:eastAsia="黑体"/>
          <w:sz w:val="32"/>
          <w:szCs w:val="32"/>
          <w:lang w:val="en-US" w:eastAsia="zh-CN"/>
        </w:rPr>
        <w:t xml:space="preserve">医疗保障局2021</w:t>
      </w:r>
      <w:r>
        <w:rPr>
          <w:rFonts w:hint="eastAsia" w:ascii="黑体" w:hAnsi="黑体" w:eastAsia="黑体"/>
          <w:sz w:val="32"/>
          <w:szCs w:val="32"/>
        </w:rPr>
        <w:t xml:space="preserve">年度部门预算情况说明</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一、收支</w:t>
      </w:r>
      <w:r>
        <w:rPr>
          <w:rFonts w:hint="eastAsia" w:ascii="仿宋_GB2312" w:hAnsi="仿宋_GB2312" w:eastAsia="仿宋_GB2312" w:cs="仿宋_GB2312"/>
          <w:sz w:val="32"/>
          <w:szCs w:val="32"/>
          <w:lang w:eastAsia="zh-CN"/>
        </w:rPr>
        <w:t xml:space="preserve">预算的总体</w:t>
      </w:r>
      <w:r>
        <w:rPr>
          <w:rFonts w:hint="eastAsia" w:ascii="仿宋_GB2312" w:hAnsi="仿宋_GB2312" w:eastAsia="仿宋_GB2312" w:cs="仿宋_GB2312"/>
          <w:sz w:val="32"/>
          <w:szCs w:val="32"/>
        </w:rPr>
        <w:t xml:space="preserve">情况</w:t>
      </w:r>
      <w:r>
        <w:rPr>
          <w:rFonts w:hint="eastAsia" w:ascii="仿宋_GB2312" w:hAnsi="仿宋_GB2312" w:eastAsia="仿宋_GB2312" w:cs="仿宋_GB2312"/>
          <w:sz w:val="32"/>
          <w:szCs w:val="32"/>
          <w:lang w:eastAsia="zh-CN"/>
        </w:rPr>
        <w:t xml:space="preserve">说明</w:t>
      </w: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二、“三公”经费预算安排使用情况说明</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三、机关运行经费预算安排使用情况说明</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四、政府采购安排情况说明</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五、国有资产占用情况说明</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六、项目预算绩效目标情况说明</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黑体" w:hAnsi="黑体" w:eastAsia="黑体"/>
          <w:sz w:val="32"/>
          <w:szCs w:val="32"/>
        </w:rPr>
      </w:pPr>
      <w:r>
        <w:rPr>
          <w:rFonts w:hint="eastAsia" w:ascii="黑体" w:hAnsi="黑体" w:eastAsia="黑体"/>
          <w:sz w:val="32"/>
          <w:szCs w:val="32"/>
        </w:rPr>
        <w:t xml:space="preserve">第四部分  名词解释</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3080"/>
        <w:jc w:val="both"/>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r>
      <w:r>
        <w:rPr>
          <w:rFonts w:hint="eastAsia" w:ascii="方正小标宋_GBK" w:hAnsi="方正小标宋_GBK" w:eastAsia="方正小标宋_GBK" w:cs="方正小标宋_GBK"/>
          <w:b w:val="0"/>
          <w:bCs/>
          <w:sz w:val="44"/>
          <w:szCs w:val="44"/>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第一部分</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盘锦市医疗保障局部门概况</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keepNext w:val="false"/>
        <w:keepLines w:val="false"/>
        <w:pageBreakBefore w:val="false"/>
        <w:widowControl w:val="false"/>
        <w:pBdr/>
        <w:spacing w:line="240" w:lineRule="auto"/>
        <w:ind/>
        <w:jc w:val="left"/>
        <w:outlineLvl w:val="9"/>
        <w:rPr>
          <w:rFonts w:hint="eastAsia" w:ascii="黑体" w:eastAsia="黑体"/>
          <w:sz w:val="32"/>
          <w:szCs w:val="32"/>
          <w:lang w:val="en-US" w:eastAsia="zh-CN"/>
        </w:rPr>
      </w:pPr>
      <w:r>
        <w:rPr>
          <w:rFonts w:hint="eastAsia" w:ascii="黑体" w:eastAsia="黑体"/>
          <w:sz w:val="32"/>
          <w:szCs w:val="32"/>
          <w:lang w:val="en-US" w:eastAsia="zh-CN"/>
        </w:rPr>
      </w:r>
      <w:r>
        <w:rPr>
          <w:rFonts w:hint="eastAsia" w:ascii="黑体" w:eastAsia="黑体"/>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黑体" w:eastAsia="黑体"/>
          <w:sz w:val="32"/>
          <w:szCs w:val="32"/>
        </w:rPr>
      </w:pPr>
      <w:r>
        <w:rPr>
          <w:rFonts w:hint="eastAsia" w:ascii="黑体" w:eastAsia="黑体"/>
          <w:sz w:val="32"/>
          <w:szCs w:val="32"/>
          <w:lang w:val="en-US" w:eastAsia="zh-CN"/>
        </w:rPr>
        <w:t xml:space="preserve">一、</w:t>
      </w:r>
      <w:r>
        <w:rPr>
          <w:rFonts w:hint="eastAsia" w:ascii="黑体" w:eastAsia="黑体"/>
          <w:sz w:val="32"/>
          <w:szCs w:val="32"/>
        </w:rPr>
        <w:t xml:space="preserve">主要职责</w:t>
      </w:r>
      <w:r>
        <w:rPr>
          <w:rFonts w:hint="eastAsia" w:ascii="黑体" w:eastAsia="黑体"/>
          <w:sz w:val="32"/>
          <w:szCs w:val="32"/>
        </w:rPr>
      </w:r>
      <w:r>
        <w:rPr>
          <w:rFonts w:hint="eastAsia" w:asci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（二）组织制定并实施医疗保障基金监督管理办法，建立健全医疗保障基金安全防控机制，推进医疗保障基金支付方式改革。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（三）组织制定医疗保障筹资和待遇政策，完善动态调整和区域调剂平衡机制，统筹城乡医疗保障待遇标准，建立健全与筹资水平相适应的待遇调整机制。组织拟订并实施长期护理保险制度改革方案。 </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（四）贯彻执行城乡统一的药品、医用耗材、医疗服务项目、医疗服务设施等医保目录和支付标准。建立动态调整机制，承担医保目录准入相关工作。</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贯彻执行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（六）贯彻执行药品、医用耗材的招标采购政策并监督实施，指导药品和医用耗材集中采购平台建设。</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（八）负责医疗保障经办管理、公共服务体系和信息化建设。组织实施异地就医管理和费用结算政策。建立健全医疗保障关系转移接续制度。</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（九）拟定并组织实施全市医疗保险、公务员补助、大额医疗费用补充保险（含大病保险）政策，指导全市医疗保险、生育保险经办机构开展业务工作。</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（十）完成市委、市政府交办的其他任务。</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二）与市卫生健康委员会的有关职责分工。市卫生健康委员会、市医疗保障局等部门在医疗、医保、医药等方面加强制度、政策衔接，建立沟通协商机制，协调推进改革，提高医疗资源使用效率和医疗保障水平。</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jc w:val="left"/>
        <w:outlineLvl w:val="9"/>
        <w:rPr>
          <w:rFonts w:hint="eastAsia" w:ascii="黑体" w:eastAsia="黑体"/>
          <w:sz w:val="32"/>
          <w:szCs w:val="32"/>
          <w:lang w:val="en-US" w:eastAsia="zh-CN"/>
        </w:rPr>
      </w:pPr>
      <w:r>
        <w:rPr>
          <w:rFonts w:hint="eastAsia" w:ascii="黑体" w:eastAsia="黑体"/>
          <w:sz w:val="32"/>
          <w:szCs w:val="32"/>
          <w:lang w:val="en-US" w:eastAsia="zh-CN"/>
        </w:rPr>
      </w:r>
      <w:r>
        <w:rPr>
          <w:rFonts w:hint="eastAsia" w:ascii="黑体" w:eastAsia="黑体"/>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黑体" w:eastAsia="黑体"/>
          <w:sz w:val="32"/>
          <w:szCs w:val="32"/>
        </w:rPr>
      </w:pPr>
      <w:r>
        <w:rPr>
          <w:rFonts w:hint="eastAsia" w:ascii="黑体" w:eastAsia="黑体"/>
          <w:sz w:val="32"/>
          <w:szCs w:val="32"/>
          <w:lang w:val="en-US" w:eastAsia="zh-CN"/>
        </w:rPr>
        <w:t xml:space="preserve">二、</w:t>
      </w:r>
      <w:r>
        <w:rPr>
          <w:rFonts w:ascii="黑体" w:eastAsia="黑体"/>
          <w:sz w:val="32"/>
          <w:szCs w:val="32"/>
        </w:rPr>
        <w:t xml:space="preserve">机构设置</w:t>
      </w:r>
      <w:r>
        <w:rPr>
          <w:rFonts w:hint="eastAsia" w:ascii="黑体" w:eastAsia="黑体"/>
          <w:sz w:val="32"/>
          <w:szCs w:val="32"/>
        </w:rPr>
      </w:r>
      <w:r>
        <w:rPr>
          <w:rFonts w:hint="eastAsia" w:asci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根据本部门主要职责，内设机构如下：</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机关党委办公室（综合办公室）。</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待遇保障和医药服务管理科。</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拟订全市医疗保障筹资和待遇政策，统筹城乡医疗保障待遇标准。完善大病保险制度，</w:t>
      </w:r>
      <w:r>
        <w:rPr>
          <w:rFonts w:hint="eastAsia" w:ascii="仿宋_GB2312" w:hAnsi="仿宋_GB2312" w:eastAsia="仿宋_GB2312" w:cs="仿宋_GB2312"/>
          <w:sz w:val="32"/>
          <w:szCs w:val="32"/>
        </w:rPr>
        <w:t xml:space="preserve">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基金监管科（医药价格和招标采购科）。</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拟定药品、医用耗材价格和医疗无法项目、医疗服务设施收费等政策并组织实施，建立价格信息监测和信息发布制度。拟定药品、医用耗材的招标采购、配送及结算政策并监督实施，推进药品供应保障制度建设，推进招标采购平台建设。组织开展药品医用耗材、医疗技术的经济性评价。</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所属二级单位设置如下：</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盘锦市医疗保障事务服务中心双台子分中心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盘锦市医疗保障事务服务中心兴隆台分中心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盘锦市医疗保障事务服务中心大洼分中心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盘锦市医疗保障事务服务中心盘山县分中心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盘锦市医疗保障事务服务中心辽河油田分中心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jc w:val="left"/>
        <w:outlineLvl w:val="9"/>
        <w:rPr>
          <w:rFonts w:hint="eastAsia" w:ascii="黑体" w:eastAsia="黑体"/>
          <w:sz w:val="32"/>
          <w:szCs w:val="32"/>
        </w:rPr>
      </w:pPr>
      <w:r>
        <w:rPr>
          <w:rFonts w:hint="eastAsia" w:ascii="黑体" w:eastAsia="黑体"/>
          <w:sz w:val="32"/>
          <w:szCs w:val="32"/>
        </w:rPr>
      </w:r>
      <w:r>
        <w:rPr>
          <w:rFonts w:hint="eastAsia" w:ascii="黑体" w:eastAsia="黑体"/>
          <w:sz w:val="32"/>
          <w:szCs w:val="32"/>
        </w:rPr>
      </w:r>
    </w:p>
    <w:p>
      <w:pPr>
        <w:pStyle w:val="672"/>
        <w:keepNext w:val="false"/>
        <w:keepLines w:val="false"/>
        <w:pageBreakBefore w:val="false"/>
        <w:widowControl w:val="false"/>
        <w:pBdr/>
        <w:spacing w:line="240" w:lineRule="auto"/>
        <w:ind w:firstLine="640"/>
        <w:jc w:val="left"/>
        <w:outlineLvl w:val="9"/>
        <w:rPr>
          <w:rFonts w:hint="eastAsia" w:ascii="黑体" w:eastAsia="黑体"/>
          <w:sz w:val="32"/>
          <w:szCs w:val="32"/>
        </w:rPr>
      </w:pPr>
      <w:r>
        <w:rPr>
          <w:rFonts w:hint="eastAsia" w:ascii="黑体" w:eastAsia="黑体"/>
          <w:sz w:val="32"/>
          <w:szCs w:val="32"/>
        </w:rPr>
        <w:t xml:space="preserve">三、部门预算单位构成</w:t>
      </w:r>
      <w:r>
        <w:rPr>
          <w:rFonts w:hint="eastAsia" w:ascii="黑体" w:eastAsia="黑体"/>
          <w:sz w:val="32"/>
          <w:szCs w:val="32"/>
        </w:rPr>
      </w:r>
      <w:r>
        <w:rPr>
          <w:rFonts w:hint="eastAsia" w:asci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纳入盘锦市</w:t>
      </w:r>
      <w:r>
        <w:rPr>
          <w:rFonts w:hint="eastAsia" w:ascii="仿宋_GB2312" w:hAnsi="仿宋_GB2312" w:eastAsia="仿宋_GB2312" w:cs="仿宋_GB2312"/>
          <w:sz w:val="32"/>
          <w:szCs w:val="32"/>
          <w:lang w:val="en-US" w:eastAsia="zh-CN"/>
        </w:rPr>
        <w:t xml:space="preserve">医疗保障局</w:t>
      </w:r>
      <w:r>
        <w:rPr>
          <w:rFonts w:hint="eastAsia" w:ascii="仿宋_GB2312" w:hAnsi="仿宋_GB2312" w:eastAsia="仿宋_GB2312" w:cs="仿宋_GB2312"/>
          <w:sz w:val="32"/>
          <w:szCs w:val="32"/>
          <w:lang w:eastAsia="zh-CN"/>
        </w:rPr>
        <w:t xml:space="preserve">2021</w:t>
      </w:r>
      <w:r>
        <w:rPr>
          <w:rFonts w:hint="eastAsia" w:ascii="仿宋_GB2312" w:hAnsi="仿宋_GB2312" w:eastAsia="仿宋_GB2312" w:cs="仿宋_GB2312"/>
          <w:sz w:val="32"/>
          <w:szCs w:val="32"/>
        </w:rPr>
        <w:t xml:space="preserve">年度部门预算编制范围的二级</w:t>
      </w:r>
      <w:r>
        <w:rPr>
          <w:rFonts w:hint="eastAsia" w:ascii="仿宋_GB2312" w:hAnsi="仿宋_GB2312" w:eastAsia="仿宋_GB2312" w:cs="仿宋_GB2312"/>
          <w:sz w:val="32"/>
          <w:szCs w:val="32"/>
          <w:lang w:eastAsia="zh-CN"/>
        </w:rPr>
        <w:t xml:space="preserve">预算</w:t>
      </w:r>
      <w:r>
        <w:rPr>
          <w:rFonts w:hint="eastAsia" w:ascii="仿宋_GB2312" w:hAnsi="仿宋_GB2312" w:eastAsia="仿宋_GB2312" w:cs="仿宋_GB2312"/>
          <w:sz w:val="32"/>
          <w:szCs w:val="32"/>
        </w:rPr>
        <w:t xml:space="preserve">单位包括：</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1.盘锦市医疗保障事务服务中心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2.盘锦市医疗保障事务服务中心双台子分中心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盘锦市医疗保障事务服务中心兴隆台分中心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盘锦市医疗保障事务服务中心大洼分中心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盘锦市医疗保障事务服务中心盘山县分中心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w:t>
      </w:r>
      <w:r>
        <w:rPr>
          <w:rFonts w:hint="eastAsia" w:ascii="仿宋_GB2312" w:hAnsi="仿宋_GB2312" w:eastAsia="仿宋_GB2312" w:cs="仿宋_GB2312"/>
          <w:sz w:val="32"/>
          <w:szCs w:val="32"/>
          <w:lang w:val="en-US" w:eastAsia="zh-CN"/>
        </w:rPr>
        <w:t xml:space="preserve">.</w:t>
      </w:r>
      <w:r>
        <w:rPr>
          <w:rFonts w:hint="eastAsia" w:ascii="仿宋_GB2312" w:hAnsi="仿宋_GB2312" w:eastAsia="仿宋_GB2312" w:cs="仿宋_GB2312"/>
          <w:sz w:val="32"/>
          <w:szCs w:val="32"/>
        </w:rPr>
        <w:t xml:space="preserve">盘锦市医疗保障事务服务中心辽河油田分中心</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第二部分</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盘锦市医疗保障局2021年度部门预算公开表</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keepNext w:val="false"/>
        <w:keepLines w:val="false"/>
        <w:pageBreakBefore w:val="false"/>
        <w:widowControl w:val="false"/>
        <w:pBdr/>
        <w:spacing w:line="240" w:lineRule="auto"/>
        <w:ind/>
        <w:jc w:val="center"/>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r>
      <w:r>
        <w:rPr>
          <w:rFonts w:hint="eastAsia" w:ascii="方正小标宋_GBK" w:hAnsi="方正小标宋_GBK" w:eastAsia="方正小标宋_GBK" w:cs="方正小标宋_GBK"/>
          <w:b w:val="0"/>
          <w:bCs/>
          <w:sz w:val="32"/>
          <w:szCs w:val="32"/>
          <w:lang w:eastAsia="zh-CN"/>
        </w:rPr>
      </w:r>
    </w:p>
    <w:p>
      <w:pPr>
        <w:pStyle w:val="672"/>
        <w:keepNext w:val="false"/>
        <w:keepLines w:val="false"/>
        <w:pageBreakBefore w:val="false"/>
        <w:widowControl w:val="false"/>
        <w:pBdr/>
        <w:spacing w:line="240" w:lineRule="auto"/>
        <w:ind/>
        <w:jc w:val="center"/>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 xml:space="preserve">（该部分内容详见附件）</w:t>
      </w:r>
      <w:r>
        <w:rPr>
          <w:rFonts w:hint="eastAsia" w:ascii="方正小标宋_GBK" w:hAnsi="方正小标宋_GBK" w:eastAsia="方正小标宋_GBK" w:cs="方正小标宋_GBK"/>
          <w:b w:val="0"/>
          <w:bCs/>
          <w:sz w:val="32"/>
          <w:szCs w:val="32"/>
          <w:lang w:eastAsia="zh-CN"/>
        </w:rPr>
      </w:r>
      <w:r>
        <w:rPr>
          <w:rFonts w:hint="eastAsia" w:ascii="方正小标宋_GBK" w:hAnsi="方正小标宋_GBK" w:eastAsia="方正小标宋_GBK" w:cs="方正小标宋_GBK"/>
          <w:b w:val="0"/>
          <w:bCs/>
          <w:sz w:val="32"/>
          <w:szCs w:val="32"/>
          <w:lang w:eastAsia="zh-CN"/>
        </w:rPr>
      </w:r>
    </w:p>
    <w:p>
      <w:pPr>
        <w:pStyle w:val="672"/>
        <w:pBdr/>
        <w:spacing w:line="520" w:lineRule="exact"/>
        <w:ind/>
        <w:jc w:val="both"/>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520" w:lineRule="exact"/>
        <w:ind/>
        <w:jc w:val="both"/>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第三部分</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520" w:lineRule="exact"/>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盘锦市医疗保障局2021年度部门预算情况说明</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keepNext w:val="false"/>
        <w:keepLines w:val="false"/>
        <w:pageBreakBefore w:val="false"/>
        <w:widowControl w:val="false"/>
        <w:pBdr/>
        <w:spacing w:line="240" w:lineRule="auto"/>
        <w:ind/>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r>
      <w:r>
        <w:rPr>
          <w:rFonts w:hint="eastAsia" w:ascii="方正小标宋_GBK" w:hAnsi="方正小标宋_GBK" w:eastAsia="方正小标宋_GBK" w:cs="方正小标宋_GBK"/>
          <w:b w:val="0"/>
          <w:bCs/>
          <w:sz w:val="44"/>
          <w:szCs w:val="44"/>
        </w:rPr>
      </w:r>
    </w:p>
    <w:p>
      <w:pPr>
        <w:pStyle w:val="672"/>
        <w:keepNext w:val="false"/>
        <w:keepLines w:val="false"/>
        <w:pageBreakBefore w:val="false"/>
        <w:widowControl w:val="false"/>
        <w:pBdr/>
        <w:spacing w:line="240" w:lineRule="auto"/>
        <w:ind w:firstLine="660"/>
        <w:outlineLvl w:val="9"/>
        <w:rPr>
          <w:rFonts w:hint="eastAsia" w:ascii="黑体" w:hAnsi="黑体" w:eastAsia="黑体"/>
          <w:sz w:val="32"/>
          <w:szCs w:val="32"/>
          <w:lang w:eastAsia="zh-CN"/>
        </w:rPr>
      </w:pPr>
      <w:r>
        <w:rPr>
          <w:rFonts w:hint="eastAsia" w:ascii="黑体" w:hAnsi="黑体" w:eastAsia="黑体"/>
          <w:sz w:val="32"/>
          <w:szCs w:val="32"/>
        </w:rPr>
        <w:t xml:space="preserve">一、</w:t>
      </w:r>
      <w:r>
        <w:rPr>
          <w:rFonts w:hint="eastAsia" w:ascii="黑体" w:hAnsi="黑体" w:eastAsia="黑体"/>
          <w:sz w:val="32"/>
          <w:szCs w:val="32"/>
          <w:lang w:eastAsia="zh-CN"/>
        </w:rPr>
        <w:t xml:space="preserve">收支</w:t>
      </w:r>
      <w:r>
        <w:rPr>
          <w:rFonts w:hint="eastAsia" w:ascii="黑体" w:hAnsi="黑体" w:eastAsia="黑体"/>
          <w:sz w:val="32"/>
          <w:szCs w:val="32"/>
        </w:rPr>
        <w:t xml:space="preserve">预算</w:t>
      </w:r>
      <w:r>
        <w:rPr>
          <w:rFonts w:hint="eastAsia" w:ascii="黑体" w:hAnsi="黑体" w:eastAsia="黑体"/>
          <w:sz w:val="32"/>
          <w:szCs w:val="32"/>
          <w:lang w:eastAsia="zh-CN"/>
        </w:rPr>
        <w:t xml:space="preserve">的</w:t>
      </w:r>
      <w:r>
        <w:rPr>
          <w:rFonts w:hint="eastAsia" w:ascii="黑体" w:hAnsi="黑体" w:eastAsia="黑体"/>
          <w:sz w:val="32"/>
          <w:szCs w:val="32"/>
        </w:rPr>
        <w:t xml:space="preserve">总体</w:t>
      </w:r>
      <w:r>
        <w:rPr>
          <w:rFonts w:hint="eastAsia" w:ascii="黑体" w:hAnsi="黑体" w:eastAsia="黑体"/>
          <w:sz w:val="32"/>
          <w:szCs w:val="32"/>
          <w:lang w:eastAsia="zh-CN"/>
        </w:rPr>
        <w:t xml:space="preserve">情况说明</w:t>
      </w:r>
      <w:r>
        <w:rPr>
          <w:rFonts w:hint="eastAsia" w:ascii="黑体" w:hAnsi="黑体" w:eastAsia="黑体"/>
          <w:sz w:val="32"/>
          <w:szCs w:val="32"/>
          <w:lang w:eastAsia="zh-CN"/>
        </w:rPr>
      </w:r>
      <w:r>
        <w:rPr>
          <w:rFonts w:hint="eastAsia" w:ascii="黑体" w:hAnsi="黑体" w:eastAsia="黑体"/>
          <w:sz w:val="32"/>
          <w:szCs w:val="32"/>
          <w:lang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按照综合预算的原则，</w:t>
      </w:r>
      <w:r>
        <w:rPr>
          <w:rFonts w:hint="eastAsia" w:ascii="仿宋_GB2312" w:hAnsi="仿宋_GB2312" w:eastAsia="仿宋_GB2312" w:cs="仿宋_GB2312"/>
          <w:sz w:val="32"/>
          <w:szCs w:val="32"/>
          <w:lang w:val="en-US" w:eastAsia="zh-CN"/>
        </w:rPr>
        <w:t xml:space="preserve">2021年盘锦市医疗保障局所有收入和支出均纳入部门预算管理。其中</w:t>
      </w:r>
      <w:r>
        <w:rPr>
          <w:rFonts w:hint="eastAsia" w:ascii="仿宋_GB2312" w:hAnsi="仿宋_GB2312" w:eastAsia="仿宋_GB2312" w:cs="仿宋_GB2312"/>
          <w:sz w:val="32"/>
          <w:szCs w:val="32"/>
        </w:rPr>
        <w:t xml:space="preserve">：</w:t>
      </w: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 xml:space="preserve">（</w:t>
      </w:r>
      <w:r>
        <w:rPr>
          <w:rFonts w:hint="eastAsia" w:ascii="楷体" w:hAnsi="楷体" w:eastAsia="楷体" w:cs="楷体"/>
          <w:sz w:val="32"/>
          <w:szCs w:val="32"/>
          <w:lang w:val="en-US" w:eastAsia="zh-CN"/>
        </w:rPr>
        <w:t xml:space="preserve">一</w:t>
      </w:r>
      <w:r>
        <w:rPr>
          <w:rFonts w:hint="eastAsia" w:ascii="楷体" w:hAnsi="楷体" w:eastAsia="楷体" w:cs="楷体"/>
          <w:sz w:val="32"/>
          <w:szCs w:val="32"/>
          <w:lang w:eastAsia="zh-CN"/>
        </w:rPr>
        <w:t xml:space="preserve">）收入预算</w:t>
      </w:r>
      <w:r>
        <w:rPr>
          <w:rFonts w:hint="eastAsia" w:ascii="楷体" w:hAnsi="楷体" w:eastAsia="楷体" w:cs="楷体"/>
          <w:sz w:val="32"/>
          <w:szCs w:val="32"/>
          <w:lang w:val="en-US" w:eastAsia="zh-CN"/>
        </w:rPr>
        <w:t xml:space="preserve">20189.26</w:t>
      </w:r>
      <w:r>
        <w:rPr>
          <w:rFonts w:hint="eastAsia" w:ascii="楷体" w:hAnsi="楷体" w:eastAsia="楷体" w:cs="楷体"/>
          <w:sz w:val="32"/>
          <w:szCs w:val="32"/>
          <w:lang w:eastAsia="zh-CN"/>
        </w:rPr>
        <w:t xml:space="preserve">万元，包括：</w:t>
      </w:r>
      <w:r>
        <w:rPr>
          <w:rFonts w:hint="eastAsia" w:ascii="仿宋_GB2312" w:hAnsi="仿宋_GB2312" w:eastAsia="仿宋_GB2312" w:cs="仿宋_GB2312"/>
          <w:sz w:val="32"/>
          <w:szCs w:val="32"/>
          <w:lang w:eastAsia="zh-CN"/>
        </w:rPr>
      </w:r>
      <w:r>
        <w:rPr>
          <w:rFonts w:hint="eastAsia" w:ascii="仿宋_GB2312" w:hAnsi="仿宋_GB2312" w:eastAsia="仿宋_GB2312" w:cs="仿宋_GB2312"/>
          <w:sz w:val="32"/>
          <w:szCs w:val="32"/>
          <w:lang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1.一般公共预算收入20189.26万元；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2.政府性基金预算收入0万元；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3.国有资本经营预算收入0万元；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4.财政专户管理资金收入0万元；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5.事业收入0万元；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6.事业单位经营收入0万元；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7.上级补助收入0万元；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8.附属单位上缴收入0万元；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9.其他收入0万元；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10.上年结转0万元。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（二）支出预算</w:t>
      </w:r>
      <w:r>
        <w:rPr>
          <w:rFonts w:hint="eastAsia" w:ascii="楷体" w:hAnsi="楷体" w:eastAsia="楷体" w:cs="楷体"/>
          <w:sz w:val="32"/>
          <w:szCs w:val="32"/>
          <w:lang w:val="en-US" w:eastAsia="zh-CN"/>
        </w:rPr>
        <w:t xml:space="preserve">20189.26</w:t>
      </w:r>
      <w:r>
        <w:rPr>
          <w:rFonts w:hint="eastAsia" w:ascii="楷体" w:hAnsi="楷体" w:eastAsia="楷体" w:cs="楷体"/>
          <w:sz w:val="32"/>
          <w:szCs w:val="32"/>
          <w:lang w:eastAsia="zh-CN"/>
        </w:rPr>
        <w:t xml:space="preserve">万元，包括：</w:t>
      </w:r>
      <w:r>
        <w:rPr>
          <w:rFonts w:hint="eastAsia" w:ascii="楷体" w:hAnsi="楷体" w:eastAsia="楷体" w:cs="楷体"/>
          <w:sz w:val="32"/>
          <w:szCs w:val="32"/>
          <w:lang w:eastAsia="zh-CN"/>
        </w:rPr>
      </w:r>
      <w:r>
        <w:rPr>
          <w:rFonts w:hint="eastAsia" w:ascii="楷体" w:hAnsi="楷体" w:eastAsia="楷体" w:cs="楷体"/>
          <w:sz w:val="32"/>
          <w:szCs w:val="32"/>
          <w:lang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1.基本支出1813.76万元；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2.项目支出18375.50万元。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支出预算中，政府采购支出0万元，债务支出0万元，政府购买服务支出3万元。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2021年预算同上年比较，收入增加1053.32万元，增长5%；支出增加1053.32万元，增加5%。增减变化的主要原因是新增人员。</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60"/>
        <w:outlineLvl w:val="9"/>
        <w:rPr>
          <w:rFonts w:hint="eastAsia" w:ascii="黑体" w:hAnsi="黑体" w:eastAsia="黑体"/>
          <w:sz w:val="32"/>
          <w:szCs w:val="32"/>
        </w:rPr>
      </w:pPr>
      <w:r>
        <w:rPr>
          <w:rFonts w:hint="eastAsia" w:ascii="黑体" w:hAnsi="黑体" w:eastAsia="黑体"/>
          <w:sz w:val="32"/>
          <w:szCs w:val="32"/>
        </w:rPr>
        <w:t xml:space="preserve">二、“三公”经费预算安排使用情况说明</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2021年度“三公”经费预算支出安排14万元，与上年持平。</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1.因公出国（境）0万元，与上年持平。</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2.公务接待费0万元，与上年持平。</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3.公务用车购置及运行费14万元，与上年持平（其中：公务用车购置费0万元，与2020年度持平，无增减变动，主要是2020年和2021年无公车采购事宜和预算；公务用车运行费114万元，与2020年度持平，无增减变动）。</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黑体" w:hAnsi="黑体" w:eastAsia="黑体"/>
          <w:sz w:val="32"/>
          <w:szCs w:val="32"/>
        </w:rPr>
      </w:pPr>
      <w:r>
        <w:rPr>
          <w:rFonts w:hint="eastAsia" w:ascii="黑体" w:hAnsi="黑体" w:eastAsia="黑体"/>
          <w:sz w:val="32"/>
          <w:szCs w:val="32"/>
        </w:rPr>
        <w:t xml:space="preserve">三、机关运行经费预算安排使用情况说明</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机关运行经费预算安排476.81万元，比上预算增加25.62万元，增长5%，主要原因是严格执行厉行节约八项规定压缩一般性支出，牢固树立“过紧日子”的思想。主要包括：办公费256.18万元、培训费3万元、专用材料购置费15万元、委托业务费141.25万元、公务用车运行维护费14万元、维护费31.10万元、其他商品和服务支出16.28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黑体" w:hAnsi="黑体" w:eastAsia="黑体"/>
          <w:sz w:val="32"/>
          <w:szCs w:val="32"/>
        </w:rPr>
      </w:pPr>
      <w:r>
        <w:rPr>
          <w:rFonts w:hint="eastAsia" w:ascii="黑体" w:hAnsi="黑体" w:eastAsia="黑体"/>
          <w:sz w:val="32"/>
          <w:szCs w:val="32"/>
        </w:rPr>
        <w:t xml:space="preserve">四、政府采购安排情况说明</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2021年安排政府采购预算0万元，政府购买服务预算3万元。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黑体" w:hAnsi="黑体" w:eastAsia="黑体"/>
          <w:sz w:val="32"/>
          <w:szCs w:val="32"/>
        </w:rPr>
      </w:pPr>
      <w:r>
        <w:rPr>
          <w:rFonts w:hint="eastAsia" w:ascii="黑体" w:hAnsi="黑体" w:eastAsia="黑体"/>
          <w:sz w:val="32"/>
          <w:szCs w:val="32"/>
        </w:rPr>
        <w:t xml:space="preserve">五、国有资产占用情况说明</w:t>
      </w:r>
      <w:r>
        <w:rPr>
          <w:rFonts w:hint="eastAsia" w:ascii="黑体" w:hAnsi="黑体" w:eastAsia="黑体"/>
          <w:sz w:val="32"/>
          <w:szCs w:val="32"/>
        </w:rPr>
      </w:r>
      <w:r>
        <w:rPr>
          <w:rFonts w:hint="eastAsia" w:ascii="黑体" w:hAnsi="黑体" w:eastAsia="黑体"/>
          <w:sz w:val="32"/>
          <w:szCs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截至2021年12月31日，盘锦市医疗保障局部门资产总额3240553.49 元，其中，流动资产1088210.72元，固定资产2152342.77元。固定资产中共有车辆3辆（一般公务用车3辆，其他用车0辆），价值526400元。</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黑体" w:hAnsi="黑体" w:eastAsia="黑体" w:cs="黑体"/>
          <w:sz w:val="32"/>
        </w:rPr>
      </w:pPr>
      <w:r>
        <w:rPr>
          <w:rFonts w:hint="eastAsia" w:ascii="黑体" w:hAnsi="黑体" w:eastAsia="黑体" w:cs="黑体"/>
          <w:sz w:val="32"/>
        </w:rPr>
        <w:t xml:space="preserve">六、项目预算绩效目标情况说明</w:t>
      </w:r>
      <w:r>
        <w:rPr>
          <w:rFonts w:hint="eastAsia" w:ascii="黑体" w:hAnsi="黑体" w:eastAsia="黑体" w:cs="黑体"/>
          <w:sz w:val="32"/>
        </w:rPr>
      </w:r>
      <w:r>
        <w:rPr>
          <w:rFonts w:hint="eastAsia" w:ascii="黑体" w:hAnsi="黑体" w:eastAsia="黑体" w:cs="黑体"/>
          <w:sz w:val="32"/>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根据预算绩效管理要求，盘锦市医疗保障局2021年应编制绩效目标的项目共25个，实际编制绩效目标的项目共25个，涉及资金18375.50万元，编制绩效目标的项目覆盖率（实际编制绩效目标的项目/应编制绩效目标的项目）为100%。</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pBdr/>
        <w:spacing w:line="240" w:lineRule="auto"/>
        <w:ind/>
        <w:jc w:val="both"/>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240" w:lineRule="auto"/>
        <w:ind/>
        <w:jc w:val="both"/>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pBdr/>
        <w:spacing w:line="240" w:lineRule="auto"/>
        <w:ind/>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 xml:space="preserve">第四部分 名词解释</w:t>
      </w:r>
      <w:r>
        <w:rPr>
          <w:rFonts w:hint="eastAsia" w:ascii="方正小标宋_GBK" w:hAnsi="方正小标宋_GBK" w:eastAsia="方正小标宋_GBK" w:cs="方正小标宋_GBK"/>
          <w:b w:val="0"/>
          <w:bCs w:val="0"/>
          <w:sz w:val="44"/>
          <w:szCs w:val="44"/>
          <w:lang w:val="en-US" w:eastAsia="zh-CN"/>
        </w:rPr>
      </w:r>
      <w:r>
        <w:rPr>
          <w:rFonts w:hint="eastAsia" w:ascii="方正小标宋_GBK" w:hAnsi="方正小标宋_GBK" w:eastAsia="方正小标宋_GBK" w:cs="方正小标宋_GBK"/>
          <w:b w:val="0"/>
          <w:bCs w:val="0"/>
          <w:sz w:val="44"/>
          <w:szCs w:val="44"/>
          <w:lang w:val="en-US" w:eastAsia="zh-CN"/>
        </w:rPr>
      </w:r>
    </w:p>
    <w:p>
      <w:pPr>
        <w:pStyle w:val="672"/>
        <w:keepNext w:val="false"/>
        <w:keepLines w:val="false"/>
        <w:pageBreakBefore w:val="false"/>
        <w:widowControl w:val="false"/>
        <w:pBdr/>
        <w:spacing w:line="240" w:lineRule="auto"/>
        <w:ind/>
        <w:jc w:val="center"/>
        <w:outlineLvl w:val="9"/>
        <w:rPr>
          <w:rFonts w:hint="eastAsia" w:ascii="黑体" w:eastAsia="黑体"/>
          <w:sz w:val="36"/>
          <w:szCs w:val="36"/>
        </w:rPr>
      </w:pPr>
      <w:r>
        <w:rPr>
          <w:rFonts w:hint="eastAsia" w:ascii="黑体" w:eastAsia="黑体"/>
          <w:sz w:val="36"/>
          <w:szCs w:val="36"/>
        </w:rPr>
      </w:r>
      <w:r>
        <w:rPr>
          <w:rFonts w:hint="eastAsia" w:ascii="黑体" w:eastAsia="黑体"/>
          <w:sz w:val="36"/>
          <w:szCs w:val="36"/>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1.财政拨款收入：指市级财政当年拨付的资金。</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2.基本支出：指保障机构正常运转、完成日常工作任务而发生的人员支出和公用支出。</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3.项目支出：指在基本支出之外为完成特定行政任务和事业发展目标所发生的支出。</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7.其他收入：指除上述“财政拨款收入”、“行政事业性收费收入”、“政府性基金收入”以外的收入。</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9.社会保障和就业（类）行政事业单位离退休（款）归口管理的行政单位离退休（项）：反映实行归口管理的行政单位（包括实行公务员管理的事业单位）开支的离退休经费。</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10.社会保障和就业（类）行政事业单位离退休（款）事业单位离退休（项）：反映实行归口管理的事业单位开支的离退休经费。</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卫生健康类（类）行政事业单位医疗（款）事业单位医疗（项）：反映财政部门安排的事业单位基本医疗保险缴费经费，未参加医疗保险的事业单位的公费医疗经费，按国家规定享受离休人员待遇人员的医疗经费。</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p>
      <w:pPr>
        <w:pStyle w:val="672"/>
        <w:keepNext w:val="false"/>
        <w:keepLines w:val="false"/>
        <w:pageBreakBefore w:val="false"/>
        <w:widowControl w:val="false"/>
        <w:pBdr/>
        <w:spacing w:line="240" w:lineRule="auto"/>
        <w:ind w:firstLine="640"/>
        <w:jc w:val="left"/>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13.住房保障（类）住房改革（款）住房公积金（项）：反映行政事业单位按人力资源和社会保障部、财政部规定的基本工资和津贴补贴以及规定比例为职工缴纳的住房公积金。</w:t>
      </w:r>
      <w:r>
        <w:rPr>
          <w:rFonts w:hint="eastAsia" w:ascii="仿宋_GB2312" w:hAnsi="仿宋_GB2312" w:eastAsia="仿宋_GB2312" w:cs="仿宋_GB2312"/>
          <w:sz w:val="32"/>
          <w:szCs w:val="32"/>
          <w:lang w:val="en-US" w:eastAsia="zh-CN"/>
        </w:rPr>
      </w:r>
      <w:r>
        <w:rPr>
          <w:rFonts w:hint="eastAsia" w:ascii="仿宋_GB2312" w:hAnsi="仿宋_GB2312" w:eastAsia="仿宋_GB2312" w:cs="仿宋_GB2312"/>
          <w:sz w:val="32"/>
          <w:szCs w:val="32"/>
          <w:lang w:val="en-US" w:eastAsia="zh-CN"/>
        </w:rPr>
      </w:r>
    </w:p>
    <w:sectPr>
      <w:footerReference w:type="default" r:id="rId8"/>
      <w:footerReference w:type="even" r:id="rId9"/>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仿宋">
    <w:panose1 w:val="02010609060101010101"/>
  </w:font>
  <w:font w:name="黑体">
    <w:panose1 w:val="02010609060101010101"/>
  </w:font>
  <w:font w:name="方正小标宋_GBK">
    <w:panose1 w:val="03000509000000000000"/>
  </w:font>
  <w:font w:name="仿宋_GB2312">
    <w:panose1 w:val="02010609030101010101"/>
  </w:font>
  <w:font w:name="Arial">
    <w:panose1 w:val="020B0604020202020204"/>
  </w:font>
  <w:font w:name="Verdana">
    <w:panose1 w:val="020B060403050404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7"/>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_x0000_s307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round/>
                      </a:ln>
                    </wps:spPr>
                    <wps:txbx>
                      <w:txbxContent>
                        <w:p>
                          <w:pPr>
                            <w:pStyle w:val="677"/>
                            <w:pBdr/>
                            <w:tabs>
                              <w:tab w:val="center" w:leader="none" w:pos="4153"/>
                              <w:tab w:val="right" w:leader="none" w:pos="8306"/>
                            </w:tabs>
                            <w:spacing/>
                            <w:ind/>
                            <w:rPr>
                              <w:rStyle w:val="680"/>
                            </w:rPr>
                          </w:pPr>
                          <w:r>
                            <w:rPr>
                              <w:rFonts w:hint="eastAsia" w:ascii="宋体" w:hAnsi="宋体" w:eastAsia="宋体" w:cs="宋体"/>
                              <w:sz w:val="24"/>
                              <w:szCs w:val="24"/>
                            </w:rPr>
                            <w:fldChar w:fldCharType="begin"/>
                          </w:r>
                          <w:r>
                            <w:rPr>
                              <w:rStyle w:val="680"/>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680"/>
                              <w:rFonts w:hint="eastAsia" w:ascii="宋体" w:hAnsi="宋体" w:eastAsia="宋体" w:cs="宋体"/>
                              <w:sz w:val="24"/>
                              <w:szCs w:val="24"/>
                            </w:rPr>
                            <w:t xml:space="preserve">9</w:t>
                          </w:r>
                          <w:r>
                            <w:rPr>
                              <w:rFonts w:hint="eastAsia" w:ascii="宋体" w:hAnsi="宋体" w:eastAsia="宋体" w:cs="宋体"/>
                              <w:sz w:val="24"/>
                              <w:szCs w:val="24"/>
                            </w:rPr>
                            <w:fldChar w:fldCharType="end"/>
                          </w:r>
                          <w:r>
                            <w:rPr>
                              <w:rStyle w:val="680"/>
                            </w:rPr>
                          </w:r>
                          <w:r>
                            <w:rPr>
                              <w:rStyle w:val="680"/>
                            </w:rPr>
                          </w:r>
                        </w:p>
                        <w:p>
                          <w:pPr>
                            <w:pStyle w:val="672"/>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77"/>
                      <w:pBdr/>
                      <w:tabs>
                        <w:tab w:val="center" w:leader="none" w:pos="4153"/>
                        <w:tab w:val="right" w:leader="none" w:pos="8306"/>
                      </w:tabs>
                      <w:spacing/>
                      <w:ind/>
                      <w:rPr>
                        <w:rStyle w:val="680"/>
                      </w:rPr>
                    </w:pPr>
                    <w:r>
                      <w:rPr>
                        <w:rFonts w:hint="eastAsia" w:ascii="宋体" w:hAnsi="宋体" w:eastAsia="宋体" w:cs="宋体"/>
                        <w:sz w:val="24"/>
                        <w:szCs w:val="24"/>
                      </w:rPr>
                      <w:fldChar w:fldCharType="begin"/>
                    </w:r>
                    <w:r>
                      <w:rPr>
                        <w:rStyle w:val="680"/>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680"/>
                        <w:rFonts w:hint="eastAsia" w:ascii="宋体" w:hAnsi="宋体" w:eastAsia="宋体" w:cs="宋体"/>
                        <w:sz w:val="24"/>
                        <w:szCs w:val="24"/>
                      </w:rPr>
                      <w:t xml:space="preserve">9</w:t>
                    </w:r>
                    <w:r>
                      <w:rPr>
                        <w:rFonts w:hint="eastAsia" w:ascii="宋体" w:hAnsi="宋体" w:eastAsia="宋体" w:cs="宋体"/>
                        <w:sz w:val="24"/>
                        <w:szCs w:val="24"/>
                      </w:rPr>
                      <w:fldChar w:fldCharType="end"/>
                    </w:r>
                    <w:r>
                      <w:rPr>
                        <w:rStyle w:val="680"/>
                      </w:rPr>
                    </w:r>
                    <w:r>
                      <w:rPr>
                        <w:rStyle w:val="680"/>
                      </w:rPr>
                    </w:r>
                  </w:p>
                  <w:p>
                    <w:pPr>
                      <w:pStyle w:val="672"/>
                      <w:pBdr/>
                      <w:spacing/>
                      <w:ind/>
                      <w:rPr/>
                    </w:pPr>
                    <w:r/>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7"/>
      <w:framePr w:hAnchor="margin" w:vAnchor="text" w:wrap="around" w:xAlign="center" w:y="1"/>
      <w:pBdr/>
      <w:tabs>
        <w:tab w:val="center" w:leader="none" w:pos="4153"/>
        <w:tab w:val="right" w:leader="none" w:pos="8306"/>
      </w:tabs>
      <w:spacing/>
      <w:ind/>
      <w:rPr>
        <w:rStyle w:val="680"/>
      </w:rPr>
    </w:pPr>
    <w:r>
      <w:fldChar w:fldCharType="begin"/>
    </w:r>
    <w:r>
      <w:rPr>
        <w:rStyle w:val="680"/>
      </w:rPr>
      <w:instrText xml:space="preserve">PAGE  </w:instrText>
    </w:r>
    <w:r>
      <w:fldChar w:fldCharType="end"/>
    </w:r>
    <w:r>
      <w:rPr>
        <w:rStyle w:val="680"/>
      </w:rPr>
    </w:r>
    <w:r>
      <w:rPr>
        <w:rStyle w:val="680"/>
      </w:rPr>
    </w:r>
  </w:p>
  <w:p>
    <w:pPr>
      <w:pStyle w:val="677"/>
      <w:pBdr/>
      <w:tabs>
        <w:tab w:val="center" w:leader="none" w:pos="4153"/>
        <w:tab w:val="right" w:leader="none" w:pos="8306"/>
      </w:tabs>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72"/>
    <w:next w:val="672"/>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72"/>
    <w:next w:val="672"/>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72"/>
    <w:next w:val="672"/>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72"/>
    <w:next w:val="672"/>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72"/>
    <w:next w:val="672"/>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72"/>
    <w:next w:val="672"/>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72"/>
    <w:next w:val="672"/>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72"/>
    <w:next w:val="672"/>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72"/>
    <w:next w:val="672"/>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72"/>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72"/>
    <w:next w:val="672"/>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72"/>
    <w:next w:val="672"/>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72"/>
    <w:next w:val="672"/>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2"/>
    <w:next w:val="672"/>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72"/>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72"/>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72"/>
    <w:next w:val="672"/>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72"/>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72"/>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72"/>
    <w:next w:val="672"/>
    <w:uiPriority w:val="39"/>
    <w:unhideWhenUsed/>
    <w:pPr>
      <w:pBdr/>
      <w:spacing w:after="57"/>
      <w:ind w:right="0" w:firstLine="0" w:left="0"/>
    </w:pPr>
  </w:style>
  <w:style w:type="paragraph" w:styleId="182">
    <w:name w:val="toc 2"/>
    <w:basedOn w:val="672"/>
    <w:next w:val="672"/>
    <w:uiPriority w:val="39"/>
    <w:unhideWhenUsed/>
    <w:pPr>
      <w:pBdr/>
      <w:spacing w:after="57"/>
      <w:ind w:right="0" w:firstLine="0" w:left="283"/>
    </w:pPr>
  </w:style>
  <w:style w:type="paragraph" w:styleId="183">
    <w:name w:val="toc 3"/>
    <w:basedOn w:val="672"/>
    <w:next w:val="672"/>
    <w:uiPriority w:val="39"/>
    <w:unhideWhenUsed/>
    <w:pPr>
      <w:pBdr/>
      <w:spacing w:after="57"/>
      <w:ind w:right="0" w:firstLine="0" w:left="567"/>
    </w:pPr>
  </w:style>
  <w:style w:type="paragraph" w:styleId="184">
    <w:name w:val="toc 4"/>
    <w:basedOn w:val="672"/>
    <w:next w:val="672"/>
    <w:uiPriority w:val="39"/>
    <w:unhideWhenUsed/>
    <w:pPr>
      <w:pBdr/>
      <w:spacing w:after="57"/>
      <w:ind w:right="0" w:firstLine="0" w:left="850"/>
    </w:pPr>
  </w:style>
  <w:style w:type="paragraph" w:styleId="185">
    <w:name w:val="toc 5"/>
    <w:basedOn w:val="672"/>
    <w:next w:val="672"/>
    <w:uiPriority w:val="39"/>
    <w:unhideWhenUsed/>
    <w:pPr>
      <w:pBdr/>
      <w:spacing w:after="57"/>
      <w:ind w:right="0" w:firstLine="0" w:left="1134"/>
    </w:pPr>
  </w:style>
  <w:style w:type="paragraph" w:styleId="186">
    <w:name w:val="toc 6"/>
    <w:basedOn w:val="672"/>
    <w:next w:val="672"/>
    <w:uiPriority w:val="39"/>
    <w:unhideWhenUsed/>
    <w:pPr>
      <w:pBdr/>
      <w:spacing w:after="57"/>
      <w:ind w:right="0" w:firstLine="0" w:left="1417"/>
    </w:pPr>
  </w:style>
  <w:style w:type="paragraph" w:styleId="187">
    <w:name w:val="toc 7"/>
    <w:basedOn w:val="672"/>
    <w:next w:val="672"/>
    <w:uiPriority w:val="39"/>
    <w:unhideWhenUsed/>
    <w:pPr>
      <w:pBdr/>
      <w:spacing w:after="57"/>
      <w:ind w:right="0" w:firstLine="0" w:left="1701"/>
    </w:pPr>
  </w:style>
  <w:style w:type="paragraph" w:styleId="188">
    <w:name w:val="toc 8"/>
    <w:basedOn w:val="672"/>
    <w:next w:val="672"/>
    <w:uiPriority w:val="39"/>
    <w:unhideWhenUsed/>
    <w:pPr>
      <w:pBdr/>
      <w:spacing w:after="57"/>
      <w:ind w:right="0" w:firstLine="0" w:left="1984"/>
    </w:pPr>
  </w:style>
  <w:style w:type="paragraph" w:styleId="189">
    <w:name w:val="toc 9"/>
    <w:basedOn w:val="672"/>
    <w:next w:val="672"/>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2"/>
    <w:next w:val="672"/>
    <w:uiPriority w:val="99"/>
    <w:unhideWhenUsed/>
    <w:pPr>
      <w:pBdr/>
      <w:spacing w:after="0" w:afterAutospacing="0"/>
      <w:ind/>
    </w:pPr>
  </w:style>
  <w:style w:type="paragraph" w:styleId="672" w:default="1">
    <w:name w:val="Normal"/>
    <w:next w:val="672"/>
    <w:link w:val="672"/>
    <w:qFormat/>
    <w:pPr>
      <w:widowControl w:val="false"/>
      <w:pBdr/>
      <w:spacing/>
      <w:ind/>
      <w:jc w:val="both"/>
    </w:pPr>
    <w:rPr>
      <w:sz w:val="21"/>
      <w:szCs w:val="24"/>
      <w:lang w:val="en-US" w:eastAsia="zh-CN" w:bidi="ar-SA"/>
    </w:rPr>
  </w:style>
  <w:style w:type="character" w:styleId="673">
    <w:name w:val="默认段落字体"/>
    <w:next w:val="673"/>
    <w:link w:val="672"/>
    <w:semiHidden/>
    <w:pPr>
      <w:pBdr/>
      <w:spacing/>
      <w:ind/>
    </w:pPr>
  </w:style>
  <w:style w:type="table" w:styleId="674">
    <w:name w:val="普通表格"/>
    <w:next w:val="674"/>
    <w:link w:val="672"/>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75">
    <w:name w:val="批注框文本"/>
    <w:basedOn w:val="672"/>
    <w:next w:val="675"/>
    <w:link w:val="676"/>
    <w:pPr>
      <w:pBdr/>
      <w:spacing/>
      <w:ind/>
    </w:pPr>
    <w:rPr>
      <w:sz w:val="18"/>
      <w:szCs w:val="18"/>
    </w:rPr>
  </w:style>
  <w:style w:type="character" w:styleId="676">
    <w:name w:val="批注框文本 Char"/>
    <w:next w:val="676"/>
    <w:link w:val="675"/>
    <w:pPr>
      <w:pBdr/>
      <w:spacing/>
      <w:ind/>
    </w:pPr>
    <w:rPr>
      <w:sz w:val="18"/>
      <w:szCs w:val="18"/>
    </w:rPr>
  </w:style>
  <w:style w:type="paragraph" w:styleId="677">
    <w:name w:val="页脚"/>
    <w:basedOn w:val="672"/>
    <w:next w:val="677"/>
    <w:link w:val="672"/>
    <w:pPr>
      <w:pBdr/>
      <w:tabs>
        <w:tab w:val="center" w:leader="none" w:pos="4153"/>
        <w:tab w:val="right" w:leader="none" w:pos="8306"/>
      </w:tabs>
      <w:spacing/>
      <w:ind/>
      <w:jc w:val="left"/>
    </w:pPr>
    <w:rPr>
      <w:sz w:val="18"/>
      <w:szCs w:val="18"/>
    </w:rPr>
  </w:style>
  <w:style w:type="paragraph" w:styleId="678">
    <w:name w:val="页眉"/>
    <w:basedOn w:val="672"/>
    <w:next w:val="678"/>
    <w:link w:val="679"/>
    <w:pPr>
      <w:pBdr>
        <w:bottom w:val="single" w:color="000000" w:sz="6" w:space="1"/>
      </w:pBdr>
      <w:tabs>
        <w:tab w:val="center" w:leader="none" w:pos="4153"/>
        <w:tab w:val="right" w:leader="none" w:pos="8306"/>
      </w:tabs>
      <w:spacing/>
      <w:ind/>
      <w:jc w:val="center"/>
    </w:pPr>
    <w:rPr>
      <w:sz w:val="18"/>
      <w:szCs w:val="18"/>
    </w:rPr>
  </w:style>
  <w:style w:type="character" w:styleId="679">
    <w:name w:val="页眉 Char"/>
    <w:next w:val="679"/>
    <w:link w:val="678"/>
    <w:pPr>
      <w:pBdr/>
      <w:spacing/>
      <w:ind/>
    </w:pPr>
    <w:rPr>
      <w:sz w:val="18"/>
      <w:szCs w:val="18"/>
    </w:rPr>
  </w:style>
  <w:style w:type="character" w:styleId="680">
    <w:name w:val="页码"/>
    <w:basedOn w:val="673"/>
    <w:next w:val="680"/>
    <w:link w:val="672"/>
    <w:pPr>
      <w:pBdr/>
      <w:spacing/>
      <w:ind/>
    </w:pPr>
  </w:style>
  <w:style w:type="paragraph" w:styleId="681">
    <w:name w:val=" Char"/>
    <w:basedOn w:val="672"/>
    <w:next w:val="681"/>
    <w:link w:val="672"/>
    <w:pPr>
      <w:widowControl w:val="true"/>
      <w:pBdr/>
      <w:spacing/>
      <w:ind/>
      <w:jc w:val="left"/>
    </w:pPr>
    <w:rPr>
      <w:rFonts w:ascii="Verdana" w:hAnsi="Verdana" w:eastAsia="仿宋_GB2312"/>
      <w:sz w:val="28"/>
      <w:szCs w:val="20"/>
      <w:lang w:eastAsia="en-US"/>
    </w:rPr>
  </w:style>
  <w:style w:type="paragraph" w:styleId="682">
    <w:name w:val="Char Char Char Char Char Char Char"/>
    <w:basedOn w:val="672"/>
    <w:next w:val="682"/>
    <w:link w:val="672"/>
    <w:pPr>
      <w:pBdr/>
      <w:spacing/>
      <w:ind/>
    </w:pPr>
    <w:rPr>
      <w:szCs w:val="21"/>
    </w:rPr>
  </w:style>
  <w:style w:type="character" w:styleId="1383" w:default="1">
    <w:name w:val="Default Paragraph Font"/>
    <w:uiPriority w:val="1"/>
    <w:semiHidden/>
    <w:unhideWhenUsed/>
    <w:pPr>
      <w:pBdr/>
      <w:spacing/>
      <w:ind/>
    </w:pPr>
  </w:style>
  <w:style w:type="numbering" w:styleId="1384" w:default="1">
    <w:name w:val="No List"/>
    <w:uiPriority w:val="99"/>
    <w:semiHidden/>
    <w:unhideWhenUsed/>
    <w:pPr>
      <w:pBdr/>
      <w:spacing/>
      <w:ind/>
    </w:pPr>
  </w:style>
  <w:style w:type="table" w:styleId="138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Company>Micro</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匿名</cp:lastModifiedBy>
  <cp:revision>4</cp:revision>
  <dcterms:created xsi:type="dcterms:W3CDTF">2014-08-18T08:46:00Z</dcterms:created>
  <dcterms:modified xsi:type="dcterms:W3CDTF">2024-09-25T01:10:45Z</dcterms:modified>
</cp:coreProperties>
</file>